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B2" w:rsidRPr="00DE3260" w:rsidRDefault="00064DB2" w:rsidP="00064DB2">
      <w:pPr>
        <w:jc w:val="center"/>
        <w:outlineLvl w:val="0"/>
        <w:rPr>
          <w:rFonts w:ascii="Times New Roman" w:hAnsi="Times New Roman"/>
          <w:b/>
          <w:sz w:val="24"/>
          <w:lang w:val="pt-BR"/>
        </w:rPr>
      </w:pPr>
      <w:r w:rsidRPr="00DE3260">
        <w:rPr>
          <w:rFonts w:ascii="Times New Roman" w:hAnsi="Times New Roman"/>
          <w:b/>
          <w:sz w:val="24"/>
          <w:lang w:val="pt-BR"/>
        </w:rPr>
        <w:t>COMITÊ DE PRONUNCIAMENTOS CONTÁBEIS</w:t>
      </w:r>
    </w:p>
    <w:p w:rsidR="00064DB2" w:rsidRPr="00DE3260" w:rsidRDefault="00064DB2" w:rsidP="00064DB2">
      <w:pPr>
        <w:jc w:val="center"/>
        <w:outlineLvl w:val="0"/>
        <w:rPr>
          <w:rFonts w:ascii="Times New Roman" w:hAnsi="Times New Roman"/>
          <w:b/>
          <w:sz w:val="24"/>
          <w:lang w:val="pt-BR"/>
        </w:rPr>
      </w:pPr>
    </w:p>
    <w:p w:rsidR="00064DB2" w:rsidRPr="00DE3260" w:rsidRDefault="00064DB2" w:rsidP="00064DB2">
      <w:pPr>
        <w:jc w:val="center"/>
        <w:outlineLvl w:val="0"/>
        <w:rPr>
          <w:rFonts w:ascii="Times New Roman" w:hAnsi="Times New Roman"/>
          <w:b/>
          <w:sz w:val="24"/>
          <w:lang w:val="pt-BR"/>
        </w:rPr>
      </w:pPr>
      <w:r w:rsidRPr="00DE3260">
        <w:rPr>
          <w:rFonts w:ascii="Times New Roman" w:hAnsi="Times New Roman"/>
          <w:b/>
          <w:sz w:val="24"/>
          <w:lang w:val="pt-BR"/>
        </w:rPr>
        <w:t>INTERPRETAÇÃO TÉCNICA ICPC 20</w:t>
      </w:r>
    </w:p>
    <w:p w:rsidR="00064DB2" w:rsidRPr="00DE3260" w:rsidRDefault="00064DB2" w:rsidP="00064DB2">
      <w:pPr>
        <w:jc w:val="center"/>
        <w:outlineLvl w:val="0"/>
        <w:rPr>
          <w:rFonts w:ascii="Times New Roman" w:hAnsi="Times New Roman"/>
          <w:b/>
          <w:sz w:val="24"/>
          <w:lang w:val="pt-BR"/>
        </w:rPr>
      </w:pPr>
    </w:p>
    <w:p w:rsidR="00064DB2" w:rsidRPr="00DE3260" w:rsidRDefault="00064DB2" w:rsidP="00064DB2">
      <w:pPr>
        <w:jc w:val="center"/>
        <w:outlineLvl w:val="0"/>
        <w:rPr>
          <w:rFonts w:ascii="Times New Roman" w:hAnsi="Times New Roman"/>
          <w:b/>
          <w:sz w:val="24"/>
          <w:lang w:val="pt-BR"/>
        </w:rPr>
      </w:pPr>
      <w:r w:rsidRPr="00DE3260">
        <w:rPr>
          <w:rFonts w:ascii="Times New Roman" w:hAnsi="Times New Roman"/>
          <w:b/>
          <w:sz w:val="24"/>
          <w:lang w:val="pt-BR"/>
        </w:rPr>
        <w:t>Limite de Ativo de Benefício Definido, Requisitos de Custeio (</w:t>
      </w:r>
      <w:proofErr w:type="spellStart"/>
      <w:r w:rsidRPr="009D50CA">
        <w:rPr>
          <w:rFonts w:ascii="Times New Roman" w:hAnsi="Times New Roman"/>
          <w:b/>
          <w:i/>
          <w:sz w:val="24"/>
          <w:lang w:val="pt-BR"/>
        </w:rPr>
        <w:t>Funding</w:t>
      </w:r>
      <w:proofErr w:type="spellEnd"/>
      <w:r w:rsidRPr="00DE3260">
        <w:rPr>
          <w:rFonts w:ascii="Times New Roman" w:hAnsi="Times New Roman"/>
          <w:b/>
          <w:sz w:val="24"/>
          <w:lang w:val="pt-BR"/>
        </w:rPr>
        <w:t xml:space="preserve">) Mínimo e sua </w:t>
      </w:r>
      <w:proofErr w:type="gramStart"/>
      <w:r w:rsidRPr="00DE3260">
        <w:rPr>
          <w:rFonts w:ascii="Times New Roman" w:hAnsi="Times New Roman"/>
          <w:b/>
          <w:sz w:val="24"/>
          <w:lang w:val="pt-BR"/>
        </w:rPr>
        <w:t>Interação</w:t>
      </w:r>
      <w:proofErr w:type="gramEnd"/>
    </w:p>
    <w:p w:rsidR="00064DB2" w:rsidRPr="00DE3260" w:rsidRDefault="00064DB2" w:rsidP="00064DB2">
      <w:pPr>
        <w:jc w:val="center"/>
        <w:outlineLvl w:val="0"/>
        <w:rPr>
          <w:rFonts w:ascii="Times New Roman" w:hAnsi="Times New Roman"/>
          <w:b/>
          <w:sz w:val="24"/>
          <w:lang w:val="pt-BR"/>
        </w:rPr>
      </w:pPr>
    </w:p>
    <w:p w:rsidR="00064DB2" w:rsidRPr="00DE3260" w:rsidRDefault="00064DB2" w:rsidP="00064DB2">
      <w:pPr>
        <w:spacing w:before="60" w:after="60"/>
        <w:jc w:val="center"/>
        <w:outlineLvl w:val="0"/>
        <w:rPr>
          <w:rFonts w:ascii="Times New Roman" w:hAnsi="Times New Roman"/>
          <w:b/>
          <w:bCs/>
          <w:sz w:val="24"/>
          <w:lang w:val="pt-BR"/>
        </w:rPr>
      </w:pPr>
      <w:r w:rsidRPr="00DE3260">
        <w:rPr>
          <w:rFonts w:ascii="Times New Roman" w:hAnsi="Times New Roman"/>
          <w:b/>
          <w:bCs/>
          <w:sz w:val="24"/>
          <w:lang w:val="pt-BR"/>
        </w:rPr>
        <w:t xml:space="preserve">Correlação às Normas Internacionais de Contabilidade – </w:t>
      </w:r>
      <w:r w:rsidRPr="00DE3260">
        <w:rPr>
          <w:rFonts w:ascii="Times New Roman" w:hAnsi="Times New Roman"/>
          <w:b/>
          <w:sz w:val="24"/>
          <w:lang w:val="pt-BR"/>
        </w:rPr>
        <w:t xml:space="preserve">IFRIC 14 </w:t>
      </w:r>
      <w:r w:rsidRPr="00DE3260">
        <w:rPr>
          <w:rFonts w:ascii="Times New Roman" w:hAnsi="Times New Roman"/>
          <w:b/>
          <w:bCs/>
          <w:sz w:val="24"/>
          <w:lang w:val="pt-BR"/>
        </w:rPr>
        <w:t>(BV2014)</w:t>
      </w:r>
    </w:p>
    <w:p w:rsidR="00064DB2" w:rsidRPr="00DE3260" w:rsidRDefault="00064DB2" w:rsidP="00064DB2">
      <w:pPr>
        <w:jc w:val="center"/>
        <w:outlineLvl w:val="0"/>
        <w:rPr>
          <w:rFonts w:ascii="Times New Roman" w:hAnsi="Times New Roman"/>
          <w:b/>
          <w:sz w:val="24"/>
          <w:lang w:val="pt-BR"/>
        </w:rPr>
      </w:pPr>
    </w:p>
    <w:tbl>
      <w:tblPr>
        <w:tblW w:w="907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1152"/>
      </w:tblGrid>
      <w:tr w:rsidR="00064DB2" w:rsidRPr="00976679" w:rsidTr="00064DB2">
        <w:tc>
          <w:tcPr>
            <w:tcW w:w="7920" w:type="dxa"/>
          </w:tcPr>
          <w:p w:rsidR="00064DB2" w:rsidRPr="00DE3260" w:rsidRDefault="00064DB2" w:rsidP="00064DB2">
            <w:pPr>
              <w:spacing w:before="60" w:after="60"/>
              <w:rPr>
                <w:rFonts w:ascii="Times New Roman" w:hAnsi="Times New Roman"/>
                <w:b/>
                <w:bCs/>
                <w:kern w:val="36"/>
                <w:sz w:val="24"/>
              </w:rPr>
            </w:pPr>
            <w:r w:rsidRPr="00DE3260">
              <w:rPr>
                <w:rFonts w:ascii="Times New Roman" w:hAnsi="Times New Roman"/>
                <w:b/>
                <w:bCs/>
                <w:kern w:val="36"/>
                <w:sz w:val="24"/>
              </w:rPr>
              <w:t>Sumário</w:t>
            </w:r>
          </w:p>
        </w:tc>
        <w:tc>
          <w:tcPr>
            <w:tcW w:w="1152" w:type="dxa"/>
          </w:tcPr>
          <w:p w:rsidR="00064DB2" w:rsidRPr="00DE3260" w:rsidRDefault="00064DB2" w:rsidP="00064DB2">
            <w:pPr>
              <w:spacing w:before="60" w:after="60"/>
              <w:jc w:val="center"/>
              <w:rPr>
                <w:rFonts w:ascii="Times New Roman" w:hAnsi="Times New Roman"/>
                <w:b/>
                <w:bCs/>
                <w:kern w:val="36"/>
                <w:sz w:val="24"/>
              </w:rPr>
            </w:pPr>
            <w:r w:rsidRPr="00DE3260">
              <w:rPr>
                <w:rFonts w:ascii="Times New Roman" w:hAnsi="Times New Roman"/>
                <w:b/>
                <w:bCs/>
                <w:kern w:val="36"/>
                <w:sz w:val="24"/>
              </w:rPr>
              <w:t>Item</w:t>
            </w:r>
          </w:p>
        </w:tc>
      </w:tr>
      <w:tr w:rsidR="00064DB2" w:rsidRPr="00976679" w:rsidTr="00064DB2">
        <w:tc>
          <w:tcPr>
            <w:tcW w:w="7920" w:type="dxa"/>
          </w:tcPr>
          <w:p w:rsidR="00064DB2" w:rsidRPr="00DE3260" w:rsidRDefault="00064DB2" w:rsidP="00064DB2">
            <w:pPr>
              <w:spacing w:before="60" w:after="60"/>
              <w:rPr>
                <w:rFonts w:ascii="Times New Roman" w:hAnsi="Times New Roman"/>
                <w:b/>
                <w:bCs/>
                <w:kern w:val="36"/>
                <w:sz w:val="24"/>
              </w:rPr>
            </w:pPr>
            <w:r w:rsidRPr="00DE3260">
              <w:rPr>
                <w:rFonts w:ascii="Times New Roman" w:hAnsi="Times New Roman"/>
                <w:b/>
                <w:bCs/>
                <w:kern w:val="36"/>
                <w:sz w:val="24"/>
              </w:rPr>
              <w:t>REFERÊNCIAS</w:t>
            </w:r>
          </w:p>
        </w:tc>
        <w:tc>
          <w:tcPr>
            <w:tcW w:w="1152" w:type="dxa"/>
          </w:tcPr>
          <w:p w:rsidR="00064DB2" w:rsidRPr="00DE3260" w:rsidRDefault="00064DB2" w:rsidP="00064DB2">
            <w:pPr>
              <w:spacing w:before="60" w:after="60"/>
              <w:jc w:val="center"/>
              <w:rPr>
                <w:rFonts w:ascii="Times New Roman" w:hAnsi="Times New Roman"/>
                <w:b/>
                <w:bCs/>
                <w:kern w:val="36"/>
                <w:sz w:val="24"/>
              </w:rPr>
            </w:pPr>
          </w:p>
        </w:tc>
      </w:tr>
      <w:tr w:rsidR="00064DB2" w:rsidRPr="00976679" w:rsidTr="00064DB2">
        <w:tc>
          <w:tcPr>
            <w:tcW w:w="7920" w:type="dxa"/>
          </w:tcPr>
          <w:p w:rsidR="00064DB2" w:rsidRPr="00DE3260" w:rsidRDefault="00064DB2" w:rsidP="00064DB2">
            <w:pPr>
              <w:spacing w:before="60" w:after="60"/>
              <w:rPr>
                <w:rFonts w:ascii="Times New Roman" w:hAnsi="Times New Roman"/>
                <w:b/>
                <w:bCs/>
                <w:kern w:val="36"/>
                <w:sz w:val="24"/>
              </w:rPr>
            </w:pPr>
            <w:r w:rsidRPr="00DE3260">
              <w:rPr>
                <w:rFonts w:ascii="Times New Roman" w:hAnsi="Times New Roman"/>
                <w:b/>
                <w:bCs/>
                <w:kern w:val="36"/>
                <w:sz w:val="24"/>
              </w:rPr>
              <w:t>CONTEXTO</w:t>
            </w:r>
          </w:p>
        </w:tc>
        <w:tc>
          <w:tcPr>
            <w:tcW w:w="1152" w:type="dxa"/>
          </w:tcPr>
          <w:p w:rsidR="00064DB2" w:rsidRPr="00DE3260" w:rsidRDefault="00064DB2" w:rsidP="00064DB2">
            <w:pPr>
              <w:spacing w:before="60" w:after="60"/>
              <w:jc w:val="center"/>
              <w:rPr>
                <w:rFonts w:ascii="Times New Roman" w:hAnsi="Times New Roman"/>
                <w:b/>
                <w:bCs/>
                <w:kern w:val="36"/>
                <w:sz w:val="24"/>
              </w:rPr>
            </w:pPr>
            <w:r w:rsidRPr="00DE3260">
              <w:rPr>
                <w:rFonts w:ascii="Times New Roman" w:hAnsi="Times New Roman"/>
                <w:b/>
                <w:bCs/>
                <w:kern w:val="36"/>
                <w:sz w:val="24"/>
              </w:rPr>
              <w:t>1 – 3A</w:t>
            </w:r>
          </w:p>
        </w:tc>
      </w:tr>
      <w:tr w:rsidR="00064DB2" w:rsidRPr="00976679" w:rsidTr="00064DB2">
        <w:tc>
          <w:tcPr>
            <w:tcW w:w="7920" w:type="dxa"/>
          </w:tcPr>
          <w:p w:rsidR="00064DB2" w:rsidRPr="00DE3260" w:rsidRDefault="00064DB2" w:rsidP="00064DB2">
            <w:pPr>
              <w:spacing w:before="60" w:after="60"/>
              <w:rPr>
                <w:rFonts w:ascii="Times New Roman" w:hAnsi="Times New Roman"/>
                <w:b/>
                <w:bCs/>
                <w:kern w:val="36"/>
                <w:sz w:val="24"/>
              </w:rPr>
            </w:pPr>
            <w:r w:rsidRPr="00DE3260">
              <w:rPr>
                <w:rFonts w:ascii="Times New Roman" w:hAnsi="Times New Roman"/>
                <w:b/>
                <w:bCs/>
                <w:kern w:val="36"/>
                <w:sz w:val="24"/>
              </w:rPr>
              <w:t>ALCANCE</w:t>
            </w:r>
          </w:p>
        </w:tc>
        <w:tc>
          <w:tcPr>
            <w:tcW w:w="1152" w:type="dxa"/>
          </w:tcPr>
          <w:p w:rsidR="00064DB2" w:rsidRPr="00DE3260" w:rsidRDefault="00064DB2" w:rsidP="00064DB2">
            <w:pPr>
              <w:spacing w:before="60" w:after="60"/>
              <w:jc w:val="center"/>
              <w:rPr>
                <w:rFonts w:ascii="Times New Roman" w:hAnsi="Times New Roman"/>
                <w:b/>
                <w:bCs/>
                <w:kern w:val="36"/>
                <w:sz w:val="24"/>
              </w:rPr>
            </w:pPr>
            <w:r w:rsidRPr="00DE3260">
              <w:rPr>
                <w:rFonts w:ascii="Times New Roman" w:hAnsi="Times New Roman"/>
                <w:b/>
                <w:bCs/>
                <w:kern w:val="36"/>
                <w:sz w:val="24"/>
              </w:rPr>
              <w:t>4 – 5</w:t>
            </w:r>
          </w:p>
        </w:tc>
      </w:tr>
      <w:tr w:rsidR="00064DB2" w:rsidRPr="00976679" w:rsidTr="00064DB2">
        <w:tc>
          <w:tcPr>
            <w:tcW w:w="7920" w:type="dxa"/>
          </w:tcPr>
          <w:p w:rsidR="00064DB2" w:rsidRPr="00DE3260" w:rsidRDefault="00064DB2" w:rsidP="00064DB2">
            <w:pPr>
              <w:spacing w:before="60" w:after="60"/>
              <w:rPr>
                <w:rFonts w:ascii="Times New Roman" w:hAnsi="Times New Roman"/>
                <w:b/>
                <w:bCs/>
                <w:kern w:val="36"/>
                <w:sz w:val="24"/>
              </w:rPr>
            </w:pPr>
            <w:r w:rsidRPr="00DE3260">
              <w:rPr>
                <w:rFonts w:ascii="Times New Roman" w:hAnsi="Times New Roman"/>
                <w:b/>
                <w:bCs/>
                <w:kern w:val="36"/>
                <w:sz w:val="24"/>
              </w:rPr>
              <w:t>QUESTÕES</w:t>
            </w:r>
          </w:p>
        </w:tc>
        <w:tc>
          <w:tcPr>
            <w:tcW w:w="1152" w:type="dxa"/>
          </w:tcPr>
          <w:p w:rsidR="00064DB2" w:rsidRPr="00DE3260" w:rsidRDefault="00064DB2" w:rsidP="00064DB2">
            <w:pPr>
              <w:spacing w:before="60" w:after="60"/>
              <w:jc w:val="center"/>
              <w:rPr>
                <w:rFonts w:ascii="Times New Roman" w:hAnsi="Times New Roman"/>
                <w:b/>
                <w:bCs/>
                <w:kern w:val="36"/>
                <w:sz w:val="24"/>
              </w:rPr>
            </w:pPr>
            <w:r w:rsidRPr="00DE3260">
              <w:rPr>
                <w:rFonts w:ascii="Times New Roman" w:hAnsi="Times New Roman"/>
                <w:b/>
                <w:bCs/>
                <w:kern w:val="36"/>
                <w:sz w:val="24"/>
              </w:rPr>
              <w:t>6</w:t>
            </w:r>
          </w:p>
        </w:tc>
      </w:tr>
      <w:tr w:rsidR="00064DB2" w:rsidRPr="00976679" w:rsidTr="00064DB2">
        <w:tc>
          <w:tcPr>
            <w:tcW w:w="7920" w:type="dxa"/>
          </w:tcPr>
          <w:p w:rsidR="00064DB2" w:rsidRPr="00DE3260" w:rsidRDefault="00064DB2" w:rsidP="00064DB2">
            <w:pPr>
              <w:spacing w:before="60" w:after="60"/>
              <w:rPr>
                <w:rFonts w:ascii="Times New Roman" w:hAnsi="Times New Roman"/>
                <w:b/>
                <w:bCs/>
                <w:kern w:val="36"/>
                <w:sz w:val="24"/>
              </w:rPr>
            </w:pPr>
            <w:r w:rsidRPr="00DE3260">
              <w:rPr>
                <w:rFonts w:ascii="Times New Roman" w:hAnsi="Times New Roman"/>
                <w:b/>
                <w:bCs/>
                <w:kern w:val="36"/>
                <w:sz w:val="24"/>
              </w:rPr>
              <w:t>CONSENSO</w:t>
            </w:r>
          </w:p>
        </w:tc>
        <w:tc>
          <w:tcPr>
            <w:tcW w:w="1152" w:type="dxa"/>
          </w:tcPr>
          <w:p w:rsidR="00064DB2" w:rsidRPr="00DE3260" w:rsidRDefault="00064DB2" w:rsidP="00064DB2">
            <w:pPr>
              <w:spacing w:before="60" w:after="60"/>
              <w:jc w:val="center"/>
              <w:rPr>
                <w:rFonts w:ascii="Times New Roman" w:hAnsi="Times New Roman"/>
                <w:b/>
                <w:bCs/>
                <w:kern w:val="36"/>
                <w:sz w:val="24"/>
              </w:rPr>
            </w:pPr>
            <w:r w:rsidRPr="00DE3260">
              <w:rPr>
                <w:rFonts w:ascii="Times New Roman" w:hAnsi="Times New Roman"/>
                <w:b/>
                <w:bCs/>
                <w:kern w:val="36"/>
                <w:sz w:val="24"/>
              </w:rPr>
              <w:t>7 – 14</w:t>
            </w:r>
          </w:p>
        </w:tc>
      </w:tr>
      <w:tr w:rsidR="00064DB2" w:rsidRPr="006D46C1" w:rsidTr="00064DB2">
        <w:tc>
          <w:tcPr>
            <w:tcW w:w="7920" w:type="dxa"/>
          </w:tcPr>
          <w:p w:rsidR="00064DB2" w:rsidRPr="00DE3260" w:rsidRDefault="00064DB2" w:rsidP="00064DB2">
            <w:pPr>
              <w:spacing w:before="60" w:after="60"/>
              <w:rPr>
                <w:rFonts w:ascii="Times New Roman" w:hAnsi="Times New Roman"/>
                <w:b/>
                <w:bCs/>
                <w:kern w:val="36"/>
                <w:sz w:val="24"/>
                <w:lang w:val="pt-BR"/>
              </w:rPr>
            </w:pPr>
            <w:r w:rsidRPr="00DE3260">
              <w:rPr>
                <w:rFonts w:ascii="Times New Roman" w:hAnsi="Times New Roman"/>
                <w:sz w:val="24"/>
                <w:lang w:val="pt-BR"/>
              </w:rPr>
              <w:t>Disponibilidade de restituição ou redução nas contribuições futuras</w:t>
            </w:r>
          </w:p>
        </w:tc>
        <w:tc>
          <w:tcPr>
            <w:tcW w:w="1152" w:type="dxa"/>
          </w:tcPr>
          <w:p w:rsidR="00064DB2" w:rsidRPr="00DE3260" w:rsidRDefault="00064DB2" w:rsidP="00064DB2">
            <w:pPr>
              <w:spacing w:before="60" w:after="60"/>
              <w:jc w:val="center"/>
              <w:rPr>
                <w:rFonts w:ascii="Times New Roman" w:hAnsi="Times New Roman"/>
                <w:b/>
                <w:bCs/>
                <w:kern w:val="36"/>
                <w:sz w:val="24"/>
                <w:lang w:val="pt-BR"/>
              </w:rPr>
            </w:pPr>
            <w:r w:rsidRPr="00DE3260">
              <w:rPr>
                <w:rFonts w:ascii="Times New Roman" w:hAnsi="Times New Roman"/>
                <w:b/>
                <w:bCs/>
                <w:kern w:val="36"/>
                <w:sz w:val="24"/>
                <w:lang w:val="pt-BR"/>
              </w:rPr>
              <w:t>7 – 17</w:t>
            </w:r>
          </w:p>
        </w:tc>
      </w:tr>
      <w:tr w:rsidR="00064DB2" w:rsidRPr="006D46C1" w:rsidTr="00064DB2">
        <w:tc>
          <w:tcPr>
            <w:tcW w:w="7920" w:type="dxa"/>
          </w:tcPr>
          <w:p w:rsidR="00064DB2" w:rsidRPr="00DE3260" w:rsidRDefault="00064DB2" w:rsidP="00064DB2">
            <w:pPr>
              <w:spacing w:before="60" w:after="60"/>
              <w:rPr>
                <w:rFonts w:ascii="Times New Roman" w:hAnsi="Times New Roman"/>
                <w:b/>
                <w:bCs/>
                <w:kern w:val="36"/>
                <w:sz w:val="24"/>
                <w:lang w:val="pt-BR"/>
              </w:rPr>
            </w:pPr>
            <w:r w:rsidRPr="00DE3260">
              <w:rPr>
                <w:rFonts w:ascii="Times New Roman" w:hAnsi="Times New Roman"/>
                <w:sz w:val="24"/>
                <w:lang w:val="pt-BR"/>
              </w:rPr>
              <w:t>Efeito de requisito de custeio (</w:t>
            </w:r>
            <w:proofErr w:type="spellStart"/>
            <w:r w:rsidRPr="009D50CA">
              <w:rPr>
                <w:rFonts w:ascii="Times New Roman" w:hAnsi="Times New Roman"/>
                <w:i/>
                <w:sz w:val="24"/>
                <w:lang w:val="pt-BR"/>
              </w:rPr>
              <w:t>funding</w:t>
            </w:r>
            <w:proofErr w:type="spellEnd"/>
            <w:r w:rsidRPr="00DE3260">
              <w:rPr>
                <w:rFonts w:ascii="Times New Roman" w:hAnsi="Times New Roman"/>
                <w:sz w:val="24"/>
                <w:lang w:val="pt-BR"/>
              </w:rPr>
              <w:t>) mínimo sobre o benefício econômico disponível como redução nas contribuições futuras</w:t>
            </w:r>
          </w:p>
        </w:tc>
        <w:tc>
          <w:tcPr>
            <w:tcW w:w="1152" w:type="dxa"/>
          </w:tcPr>
          <w:p w:rsidR="00064DB2" w:rsidRPr="00DE3260" w:rsidRDefault="00064DB2" w:rsidP="00064DB2">
            <w:pPr>
              <w:spacing w:before="60" w:after="60"/>
              <w:jc w:val="center"/>
              <w:rPr>
                <w:rFonts w:ascii="Times New Roman" w:hAnsi="Times New Roman"/>
                <w:b/>
                <w:bCs/>
                <w:kern w:val="36"/>
                <w:sz w:val="24"/>
                <w:lang w:val="pt-BR"/>
              </w:rPr>
            </w:pPr>
            <w:r w:rsidRPr="00DE3260">
              <w:rPr>
                <w:rFonts w:ascii="Times New Roman" w:hAnsi="Times New Roman"/>
                <w:b/>
                <w:bCs/>
                <w:kern w:val="36"/>
                <w:sz w:val="24"/>
                <w:lang w:val="pt-BR"/>
              </w:rPr>
              <w:t>18 – 22</w:t>
            </w:r>
          </w:p>
        </w:tc>
      </w:tr>
      <w:tr w:rsidR="00064DB2" w:rsidRPr="006D46C1" w:rsidTr="00064DB2">
        <w:tc>
          <w:tcPr>
            <w:tcW w:w="7920" w:type="dxa"/>
          </w:tcPr>
          <w:p w:rsidR="00064DB2" w:rsidRPr="00DE3260" w:rsidRDefault="00064DB2" w:rsidP="00DE3260">
            <w:pPr>
              <w:spacing w:before="60" w:after="60"/>
              <w:rPr>
                <w:rFonts w:ascii="Times New Roman" w:hAnsi="Times New Roman"/>
                <w:b/>
                <w:bCs/>
                <w:kern w:val="36"/>
                <w:sz w:val="24"/>
                <w:lang w:val="pt-BR"/>
              </w:rPr>
            </w:pPr>
            <w:r w:rsidRPr="00DE3260">
              <w:rPr>
                <w:rFonts w:ascii="Times New Roman" w:hAnsi="Times New Roman"/>
                <w:sz w:val="24"/>
                <w:lang w:val="pt-BR"/>
              </w:rPr>
              <w:t>Quando um requisito de custeio (</w:t>
            </w:r>
            <w:proofErr w:type="spellStart"/>
            <w:r w:rsidRPr="009D50CA">
              <w:rPr>
                <w:rFonts w:ascii="Times New Roman" w:hAnsi="Times New Roman"/>
                <w:i/>
                <w:sz w:val="24"/>
                <w:lang w:val="pt-BR"/>
              </w:rPr>
              <w:t>funding</w:t>
            </w:r>
            <w:proofErr w:type="spellEnd"/>
            <w:r w:rsidRPr="00DE3260">
              <w:rPr>
                <w:rFonts w:ascii="Times New Roman" w:hAnsi="Times New Roman"/>
                <w:sz w:val="24"/>
                <w:lang w:val="pt-BR"/>
              </w:rPr>
              <w:t>) mínimo pode originar um passivo</w:t>
            </w:r>
          </w:p>
        </w:tc>
        <w:tc>
          <w:tcPr>
            <w:tcW w:w="1152" w:type="dxa"/>
          </w:tcPr>
          <w:p w:rsidR="00064DB2" w:rsidRPr="00DE3260" w:rsidRDefault="00064DB2" w:rsidP="00064DB2">
            <w:pPr>
              <w:spacing w:before="60" w:after="60"/>
              <w:jc w:val="center"/>
              <w:rPr>
                <w:rFonts w:ascii="Times New Roman" w:hAnsi="Times New Roman"/>
                <w:b/>
                <w:bCs/>
                <w:kern w:val="36"/>
                <w:sz w:val="24"/>
                <w:lang w:val="pt-BR"/>
              </w:rPr>
            </w:pPr>
            <w:r w:rsidRPr="00DE3260">
              <w:rPr>
                <w:rFonts w:ascii="Times New Roman" w:hAnsi="Times New Roman"/>
                <w:b/>
                <w:bCs/>
                <w:kern w:val="36"/>
                <w:sz w:val="24"/>
                <w:lang w:val="pt-BR"/>
              </w:rPr>
              <w:t xml:space="preserve">23 – 26 </w:t>
            </w:r>
          </w:p>
        </w:tc>
      </w:tr>
      <w:tr w:rsidR="00064DB2" w:rsidRPr="006D46C1" w:rsidTr="00064DB2">
        <w:tc>
          <w:tcPr>
            <w:tcW w:w="7920" w:type="dxa"/>
          </w:tcPr>
          <w:p w:rsidR="00064DB2" w:rsidRPr="00DE3260" w:rsidRDefault="00064DB2" w:rsidP="00064DB2">
            <w:pPr>
              <w:spacing w:before="60" w:after="60"/>
              <w:rPr>
                <w:rFonts w:ascii="Times New Roman" w:hAnsi="Times New Roman"/>
                <w:b/>
                <w:sz w:val="24"/>
                <w:lang w:val="pt-BR"/>
              </w:rPr>
            </w:pPr>
            <w:r w:rsidRPr="00DE3260">
              <w:rPr>
                <w:rFonts w:ascii="Times New Roman" w:hAnsi="Times New Roman"/>
                <w:b/>
                <w:sz w:val="24"/>
                <w:lang w:val="pt-BR"/>
              </w:rPr>
              <w:t>DATA DE VIGÊNCIA</w:t>
            </w:r>
          </w:p>
        </w:tc>
        <w:tc>
          <w:tcPr>
            <w:tcW w:w="1152" w:type="dxa"/>
          </w:tcPr>
          <w:p w:rsidR="00064DB2" w:rsidRPr="00DE3260" w:rsidRDefault="00064DB2" w:rsidP="00064DB2">
            <w:pPr>
              <w:spacing w:before="60" w:after="60"/>
              <w:jc w:val="center"/>
              <w:rPr>
                <w:rFonts w:ascii="Times New Roman" w:hAnsi="Times New Roman"/>
                <w:b/>
                <w:bCs/>
                <w:kern w:val="36"/>
                <w:sz w:val="24"/>
                <w:lang w:val="pt-BR"/>
              </w:rPr>
            </w:pPr>
            <w:r w:rsidRPr="00DE3260">
              <w:rPr>
                <w:rFonts w:ascii="Times New Roman" w:hAnsi="Times New Roman"/>
                <w:b/>
                <w:bCs/>
                <w:kern w:val="36"/>
                <w:sz w:val="24"/>
                <w:lang w:val="pt-BR"/>
              </w:rPr>
              <w:t>27 – 27C</w:t>
            </w:r>
          </w:p>
        </w:tc>
      </w:tr>
      <w:tr w:rsidR="00064DB2" w:rsidRPr="00976679" w:rsidTr="00064DB2">
        <w:tc>
          <w:tcPr>
            <w:tcW w:w="7920" w:type="dxa"/>
          </w:tcPr>
          <w:p w:rsidR="00064DB2" w:rsidRPr="00DE3260" w:rsidRDefault="00064DB2" w:rsidP="00064DB2">
            <w:pPr>
              <w:pStyle w:val="Textoembloco"/>
              <w:tabs>
                <w:tab w:val="clear" w:pos="6804"/>
                <w:tab w:val="left" w:pos="709"/>
              </w:tabs>
              <w:spacing w:before="60" w:after="60" w:line="240" w:lineRule="auto"/>
              <w:ind w:left="0" w:right="0" w:firstLine="0"/>
              <w:jc w:val="both"/>
              <w:rPr>
                <w:rFonts w:ascii="Times New Roman" w:hAnsi="Times New Roman" w:cs="Times New Roman"/>
                <w:b/>
                <w:sz w:val="24"/>
              </w:rPr>
            </w:pPr>
            <w:r w:rsidRPr="00DE3260">
              <w:rPr>
                <w:rFonts w:ascii="Times New Roman" w:hAnsi="Times New Roman" w:cs="Times New Roman"/>
                <w:b/>
                <w:bCs/>
                <w:kern w:val="36"/>
                <w:sz w:val="24"/>
              </w:rPr>
              <w:t>TRANSIÇÃO</w:t>
            </w:r>
          </w:p>
        </w:tc>
        <w:tc>
          <w:tcPr>
            <w:tcW w:w="1152" w:type="dxa"/>
          </w:tcPr>
          <w:p w:rsidR="00064DB2" w:rsidRPr="00DE3260" w:rsidRDefault="00064DB2" w:rsidP="00064DB2">
            <w:pPr>
              <w:spacing w:before="60" w:after="60"/>
              <w:jc w:val="center"/>
              <w:rPr>
                <w:rFonts w:ascii="Times New Roman" w:hAnsi="Times New Roman"/>
                <w:b/>
                <w:bCs/>
                <w:kern w:val="36"/>
                <w:sz w:val="24"/>
              </w:rPr>
            </w:pPr>
            <w:r w:rsidRPr="00DE3260">
              <w:rPr>
                <w:rFonts w:ascii="Times New Roman" w:hAnsi="Times New Roman"/>
                <w:b/>
                <w:bCs/>
                <w:kern w:val="36"/>
                <w:sz w:val="24"/>
              </w:rPr>
              <w:t>28 – 29</w:t>
            </w:r>
          </w:p>
        </w:tc>
      </w:tr>
      <w:tr w:rsidR="00064DB2" w:rsidRPr="00976679" w:rsidTr="00064DB2">
        <w:tc>
          <w:tcPr>
            <w:tcW w:w="7920" w:type="dxa"/>
          </w:tcPr>
          <w:p w:rsidR="00064DB2" w:rsidRPr="00DE3260" w:rsidRDefault="00064DB2" w:rsidP="00064DB2">
            <w:pPr>
              <w:pStyle w:val="Textoembloco"/>
              <w:tabs>
                <w:tab w:val="clear" w:pos="6804"/>
                <w:tab w:val="left" w:pos="0"/>
              </w:tabs>
              <w:spacing w:before="60" w:after="60" w:line="240" w:lineRule="auto"/>
              <w:ind w:left="0" w:right="0" w:firstLine="0"/>
              <w:jc w:val="both"/>
              <w:rPr>
                <w:rFonts w:ascii="Times New Roman" w:hAnsi="Times New Roman" w:cs="Times New Roman"/>
                <w:b/>
                <w:sz w:val="24"/>
              </w:rPr>
            </w:pPr>
            <w:r w:rsidRPr="00DE3260">
              <w:rPr>
                <w:rStyle w:val="FontStyle33"/>
                <w:rFonts w:ascii="Times New Roman" w:hAnsi="Times New Roman" w:cs="Times New Roman"/>
                <w:bCs w:val="0"/>
                <w:sz w:val="24"/>
                <w:szCs w:val="24"/>
              </w:rPr>
              <w:t>EXEMPLOS ILUSTRATIVOS</w:t>
            </w:r>
          </w:p>
        </w:tc>
        <w:tc>
          <w:tcPr>
            <w:tcW w:w="1152" w:type="dxa"/>
          </w:tcPr>
          <w:p w:rsidR="00064DB2" w:rsidRPr="00DE3260" w:rsidRDefault="00064DB2" w:rsidP="00064DB2">
            <w:pPr>
              <w:spacing w:before="60" w:after="60"/>
              <w:jc w:val="center"/>
              <w:rPr>
                <w:rFonts w:ascii="Times New Roman" w:hAnsi="Times New Roman"/>
                <w:b/>
                <w:bCs/>
                <w:kern w:val="36"/>
                <w:sz w:val="24"/>
              </w:rPr>
            </w:pPr>
          </w:p>
        </w:tc>
      </w:tr>
    </w:tbl>
    <w:p w:rsidR="00064DB2" w:rsidRDefault="00064DB2" w:rsidP="00064DB2">
      <w:pPr>
        <w:pStyle w:val="Textoembloco"/>
        <w:spacing w:before="0" w:after="0" w:line="240" w:lineRule="auto"/>
        <w:ind w:left="0" w:firstLine="0"/>
        <w:jc w:val="both"/>
        <w:rPr>
          <w:rFonts w:ascii="Times New Roman" w:hAnsi="Times New Roman" w:cs="Times New Roman"/>
          <w:b/>
          <w:sz w:val="24"/>
          <w:lang w:val="pt-BR"/>
        </w:rPr>
      </w:pPr>
    </w:p>
    <w:p w:rsidR="00DE3260" w:rsidRPr="00976679" w:rsidRDefault="00DE3260" w:rsidP="00064DB2">
      <w:pPr>
        <w:pStyle w:val="Textoembloco"/>
        <w:spacing w:before="0" w:after="0" w:line="240" w:lineRule="auto"/>
        <w:ind w:left="0" w:firstLine="0"/>
        <w:jc w:val="both"/>
        <w:rPr>
          <w:rFonts w:ascii="Times New Roman" w:hAnsi="Times New Roman" w:cs="Times New Roman"/>
          <w:b/>
          <w:sz w:val="24"/>
          <w:lang w:val="pt-BR"/>
        </w:rPr>
      </w:pPr>
    </w:p>
    <w:p w:rsidR="00DE3260" w:rsidRDefault="00650385" w:rsidP="00DE3260">
      <w:pPr>
        <w:pStyle w:val="IASBSectionTitle1NonInd"/>
        <w:pBdr>
          <w:bottom w:val="none" w:sz="0" w:space="0" w:color="auto"/>
        </w:pBdr>
        <w:spacing w:before="0" w:after="0"/>
        <w:rPr>
          <w:rFonts w:ascii="Times New Roman" w:hAnsi="Times New Roman" w:cs="Times New Roman"/>
          <w:sz w:val="28"/>
          <w:szCs w:val="28"/>
          <w:lang w:val="pt-BR"/>
        </w:rPr>
      </w:pPr>
      <w:r w:rsidRPr="00650385">
        <w:rPr>
          <w:rStyle w:val="tw4winMark"/>
          <w:rFonts w:ascii="Times New Roman" w:hAnsi="Times New Roman" w:cs="Times New Roman"/>
          <w:b w:val="0"/>
          <w:sz w:val="28"/>
          <w:szCs w:val="28"/>
          <w:lang w:val="pt-BR"/>
        </w:rPr>
        <w:t>{0&gt;</w:t>
      </w:r>
      <w:r w:rsidRPr="00650385">
        <w:rPr>
          <w:rFonts w:ascii="Times New Roman" w:hAnsi="Times New Roman" w:cs="Times New Roman"/>
          <w:noProof/>
          <w:vanish/>
          <w:color w:val="0000FF"/>
          <w:sz w:val="28"/>
          <w:szCs w:val="28"/>
          <w:lang w:val="pt-BR"/>
        </w:rPr>
        <w:t>References</w:t>
      </w:r>
      <w:r w:rsidRPr="00650385">
        <w:rPr>
          <w:rStyle w:val="tw4winMark"/>
          <w:rFonts w:ascii="Times New Roman" w:hAnsi="Times New Roman" w:cs="Times New Roman"/>
          <w:b w:val="0"/>
          <w:sz w:val="28"/>
          <w:szCs w:val="28"/>
          <w:lang w:val="pt-BR"/>
        </w:rPr>
        <w:t>&lt;}100{&gt;</w:t>
      </w:r>
      <w:r w:rsidRPr="00650385">
        <w:rPr>
          <w:rFonts w:ascii="Times New Roman" w:hAnsi="Times New Roman" w:cs="Times New Roman"/>
          <w:sz w:val="28"/>
          <w:szCs w:val="28"/>
          <w:lang w:val="pt-BR"/>
        </w:rPr>
        <w:t>Referências</w:t>
      </w:r>
    </w:p>
    <w:p w:rsidR="00650385" w:rsidRPr="00650385" w:rsidRDefault="00650385" w:rsidP="00DE3260">
      <w:pPr>
        <w:pStyle w:val="IASBSectionTitle1NonInd"/>
        <w:pBdr>
          <w:bottom w:val="none" w:sz="0" w:space="0" w:color="auto"/>
        </w:pBdr>
        <w:spacing w:before="0" w:after="0"/>
        <w:rPr>
          <w:rFonts w:ascii="Times New Roman" w:hAnsi="Times New Roman" w:cs="Times New Roman"/>
          <w:sz w:val="28"/>
          <w:szCs w:val="28"/>
          <w:lang w:val="pt-BR"/>
        </w:rPr>
      </w:pPr>
      <w:r w:rsidRPr="00650385">
        <w:rPr>
          <w:rStyle w:val="tw4winMark"/>
          <w:rFonts w:ascii="Times New Roman" w:hAnsi="Times New Roman" w:cs="Times New Roman"/>
          <w:b w:val="0"/>
          <w:sz w:val="28"/>
          <w:szCs w:val="28"/>
          <w:lang w:val="pt-BR"/>
        </w:rPr>
        <w:t>&lt;0}</w:t>
      </w:r>
    </w:p>
    <w:p w:rsidR="00650385" w:rsidRPr="00DE3260" w:rsidRDefault="00650385" w:rsidP="00DE3260">
      <w:pPr>
        <w:pStyle w:val="IASBNormalL1"/>
        <w:numPr>
          <w:ilvl w:val="0"/>
          <w:numId w:val="11"/>
        </w:numPr>
        <w:spacing w:before="0"/>
        <w:ind w:left="567" w:hanging="283"/>
        <w:rPr>
          <w:sz w:val="24"/>
          <w:szCs w:val="24"/>
          <w:lang w:val="pt-BR"/>
        </w:rPr>
      </w:pPr>
      <w:bookmarkStart w:id="0" w:name="F3902409"/>
      <w:r w:rsidRPr="00DE3260">
        <w:rPr>
          <w:rStyle w:val="tw4winMark"/>
          <w:rFonts w:ascii="Times New Roman" w:hAnsi="Times New Roman"/>
          <w:sz w:val="24"/>
          <w:szCs w:val="24"/>
          <w:vertAlign w:val="baseline"/>
          <w:lang w:val="pt-BR"/>
        </w:rPr>
        <w:t>{0&gt;</w:t>
      </w:r>
      <w:r w:rsidRPr="00DE3260">
        <w:rPr>
          <w:noProof/>
          <w:vanish/>
          <w:color w:val="0000FF"/>
          <w:sz w:val="24"/>
          <w:szCs w:val="24"/>
          <w:lang w:val="pt-BR"/>
        </w:rPr>
        <w:t>IAS 1 Presentation of Financial Statements</w:t>
      </w:r>
      <w:r w:rsidRPr="00DE3260">
        <w:rPr>
          <w:rStyle w:val="tw4winMark"/>
          <w:rFonts w:ascii="Times New Roman" w:hAnsi="Times New Roman"/>
          <w:sz w:val="24"/>
          <w:szCs w:val="24"/>
          <w:vertAlign w:val="baseline"/>
          <w:lang w:val="pt-BR"/>
        </w:rPr>
        <w:t>&lt;}100{&gt;</w:t>
      </w:r>
      <w:r w:rsidRPr="00DE3260">
        <w:rPr>
          <w:sz w:val="24"/>
          <w:szCs w:val="24"/>
          <w:lang w:val="pt-BR"/>
        </w:rPr>
        <w:t>CPC 26 – Apresentação d</w:t>
      </w:r>
      <w:r w:rsidR="00DE3260">
        <w:rPr>
          <w:sz w:val="24"/>
          <w:szCs w:val="24"/>
          <w:lang w:val="pt-BR"/>
        </w:rPr>
        <w:t>as</w:t>
      </w:r>
      <w:r w:rsidRPr="00DE3260">
        <w:rPr>
          <w:sz w:val="24"/>
          <w:szCs w:val="24"/>
          <w:lang w:val="pt-BR"/>
        </w:rPr>
        <w:t xml:space="preserve"> Demonstrações Contábeis</w:t>
      </w:r>
      <w:r w:rsidRPr="00DE3260">
        <w:rPr>
          <w:rStyle w:val="tw4winMark"/>
          <w:rFonts w:ascii="Times New Roman" w:hAnsi="Times New Roman"/>
          <w:sz w:val="24"/>
          <w:szCs w:val="24"/>
          <w:lang w:val="pt-BR"/>
        </w:rPr>
        <w:t>&lt;0}</w:t>
      </w:r>
    </w:p>
    <w:p w:rsidR="00650385" w:rsidRPr="00DE3260" w:rsidRDefault="00650385" w:rsidP="00DE3260">
      <w:pPr>
        <w:pStyle w:val="IASBNormalL1"/>
        <w:numPr>
          <w:ilvl w:val="0"/>
          <w:numId w:val="11"/>
        </w:numPr>
        <w:spacing w:before="0"/>
        <w:ind w:left="567" w:hanging="283"/>
        <w:rPr>
          <w:sz w:val="24"/>
          <w:szCs w:val="24"/>
          <w:lang w:val="pt-BR"/>
        </w:rPr>
      </w:pPr>
      <w:bookmarkStart w:id="1" w:name="F3902412"/>
      <w:bookmarkEnd w:id="0"/>
      <w:r w:rsidRPr="00DE3260">
        <w:rPr>
          <w:rStyle w:val="tw4winMark"/>
          <w:rFonts w:ascii="Times New Roman" w:hAnsi="Times New Roman"/>
          <w:sz w:val="24"/>
          <w:szCs w:val="24"/>
          <w:vertAlign w:val="baseline"/>
          <w:lang w:val="pt-BR"/>
        </w:rPr>
        <w:t>{0&gt;</w:t>
      </w:r>
      <w:r w:rsidRPr="00DE3260">
        <w:rPr>
          <w:noProof/>
          <w:vanish/>
          <w:color w:val="0000FF"/>
          <w:sz w:val="24"/>
          <w:szCs w:val="24"/>
          <w:lang w:val="pt-BR"/>
        </w:rPr>
        <w:t>IAS 8 Accounting Policies, Changes in Accounting Estimates and Errors</w:t>
      </w:r>
      <w:r w:rsidRPr="00DE3260">
        <w:rPr>
          <w:rStyle w:val="tw4winMark"/>
          <w:rFonts w:ascii="Times New Roman" w:hAnsi="Times New Roman"/>
          <w:sz w:val="24"/>
          <w:szCs w:val="24"/>
          <w:vertAlign w:val="baseline"/>
          <w:lang w:val="pt-BR"/>
        </w:rPr>
        <w:t>&lt;}100{&gt;</w:t>
      </w:r>
      <w:r w:rsidRPr="00DE3260">
        <w:rPr>
          <w:sz w:val="24"/>
          <w:szCs w:val="24"/>
          <w:lang w:val="pt-BR"/>
        </w:rPr>
        <w:t>CPC 23 – Políticas Contábeis, Mudança</w:t>
      </w:r>
      <w:r w:rsidR="00DE3260">
        <w:rPr>
          <w:sz w:val="24"/>
          <w:szCs w:val="24"/>
          <w:lang w:val="pt-BR"/>
        </w:rPr>
        <w:t xml:space="preserve"> de</w:t>
      </w:r>
      <w:r w:rsidRPr="00DE3260">
        <w:rPr>
          <w:sz w:val="24"/>
          <w:szCs w:val="24"/>
          <w:lang w:val="pt-BR"/>
        </w:rPr>
        <w:t xml:space="preserve"> Estimativa</w:t>
      </w:r>
      <w:r w:rsidR="00DE3260">
        <w:rPr>
          <w:sz w:val="24"/>
          <w:szCs w:val="24"/>
          <w:lang w:val="pt-BR"/>
        </w:rPr>
        <w:t xml:space="preserve"> e Retificação de</w:t>
      </w:r>
      <w:r w:rsidRPr="00DE3260">
        <w:rPr>
          <w:sz w:val="24"/>
          <w:szCs w:val="24"/>
          <w:lang w:val="pt-BR"/>
        </w:rPr>
        <w:t xml:space="preserve"> Erro</w:t>
      </w:r>
      <w:proofErr w:type="gramStart"/>
      <w:r w:rsidRPr="00DE3260">
        <w:rPr>
          <w:rStyle w:val="tw4winMark"/>
          <w:rFonts w:ascii="Times New Roman" w:hAnsi="Times New Roman"/>
          <w:sz w:val="24"/>
          <w:szCs w:val="24"/>
          <w:lang w:val="pt-BR"/>
        </w:rPr>
        <w:t>&lt;0}</w:t>
      </w:r>
      <w:proofErr w:type="gramEnd"/>
    </w:p>
    <w:p w:rsidR="00650385" w:rsidRPr="00DE3260" w:rsidRDefault="00650385" w:rsidP="00DE3260">
      <w:pPr>
        <w:pStyle w:val="IASBNormalL1"/>
        <w:numPr>
          <w:ilvl w:val="0"/>
          <w:numId w:val="11"/>
        </w:numPr>
        <w:spacing w:before="0"/>
        <w:ind w:left="567" w:hanging="283"/>
        <w:rPr>
          <w:sz w:val="24"/>
          <w:szCs w:val="24"/>
          <w:lang w:val="pt-BR"/>
        </w:rPr>
      </w:pPr>
      <w:bookmarkStart w:id="2" w:name="F3902415"/>
      <w:bookmarkEnd w:id="1"/>
      <w:r w:rsidRPr="00DE3260">
        <w:rPr>
          <w:rStyle w:val="tw4winMark"/>
          <w:rFonts w:ascii="Times New Roman" w:hAnsi="Times New Roman"/>
          <w:sz w:val="24"/>
          <w:szCs w:val="24"/>
          <w:vertAlign w:val="baseline"/>
          <w:lang w:val="pt-BR"/>
        </w:rPr>
        <w:t>{0&gt;</w:t>
      </w:r>
      <w:r w:rsidRPr="00DE3260">
        <w:rPr>
          <w:noProof/>
          <w:vanish/>
          <w:color w:val="0000FF"/>
          <w:sz w:val="24"/>
          <w:szCs w:val="24"/>
          <w:lang w:val="pt-BR"/>
        </w:rPr>
        <w:t>IAS 19 Employee Benefits (as amended in 2011)</w:t>
      </w:r>
      <w:r w:rsidRPr="00DE3260">
        <w:rPr>
          <w:rStyle w:val="tw4winMark"/>
          <w:rFonts w:ascii="Times New Roman" w:hAnsi="Times New Roman"/>
          <w:sz w:val="24"/>
          <w:szCs w:val="24"/>
          <w:vertAlign w:val="baseline"/>
          <w:lang w:val="pt-BR"/>
        </w:rPr>
        <w:t>&lt;}100{&gt;</w:t>
      </w:r>
      <w:r w:rsidRPr="00DE3260">
        <w:rPr>
          <w:sz w:val="24"/>
          <w:szCs w:val="24"/>
          <w:lang w:val="pt-BR"/>
        </w:rPr>
        <w:t>CPC 33 – Benefícios a Empregados</w:t>
      </w:r>
      <w:r w:rsidRPr="00DE3260">
        <w:rPr>
          <w:rStyle w:val="tw4winMark"/>
          <w:rFonts w:ascii="Times New Roman" w:hAnsi="Times New Roman"/>
          <w:sz w:val="24"/>
          <w:szCs w:val="24"/>
          <w:lang w:val="pt-BR"/>
        </w:rPr>
        <w:t>&lt;0}</w:t>
      </w:r>
    </w:p>
    <w:p w:rsidR="00650385" w:rsidRPr="00DE3260" w:rsidRDefault="00650385" w:rsidP="00DE3260">
      <w:pPr>
        <w:pStyle w:val="IASBNormalL1"/>
        <w:numPr>
          <w:ilvl w:val="0"/>
          <w:numId w:val="11"/>
        </w:numPr>
        <w:spacing w:before="0"/>
        <w:ind w:left="567" w:hanging="283"/>
        <w:rPr>
          <w:sz w:val="24"/>
          <w:szCs w:val="24"/>
          <w:lang w:val="pt-BR"/>
        </w:rPr>
      </w:pPr>
      <w:bookmarkStart w:id="3" w:name="F3902421"/>
      <w:bookmarkStart w:id="4" w:name="F3902418"/>
      <w:bookmarkEnd w:id="2"/>
      <w:r w:rsidRPr="00DE3260">
        <w:rPr>
          <w:rStyle w:val="tw4winMark"/>
          <w:rFonts w:ascii="Times New Roman" w:hAnsi="Times New Roman"/>
          <w:sz w:val="24"/>
          <w:szCs w:val="24"/>
          <w:vertAlign w:val="baseline"/>
          <w:lang w:val="pt-BR"/>
        </w:rPr>
        <w:t>{0&gt;</w:t>
      </w:r>
      <w:r w:rsidRPr="00DE3260">
        <w:rPr>
          <w:noProof/>
          <w:vanish/>
          <w:color w:val="0000FF"/>
          <w:sz w:val="24"/>
          <w:szCs w:val="24"/>
          <w:lang w:val="pt-BR"/>
        </w:rPr>
        <w:t>IAS 37 Provisions, Contingent Liabilities and Contingent Assets</w:t>
      </w:r>
      <w:r w:rsidRPr="00DE3260">
        <w:rPr>
          <w:rStyle w:val="tw4winMark"/>
          <w:rFonts w:ascii="Times New Roman" w:hAnsi="Times New Roman"/>
          <w:sz w:val="24"/>
          <w:szCs w:val="24"/>
          <w:vertAlign w:val="baseline"/>
          <w:lang w:val="pt-BR"/>
        </w:rPr>
        <w:t>&lt;}100{&gt;</w:t>
      </w:r>
      <w:r w:rsidRPr="00DE3260">
        <w:rPr>
          <w:sz w:val="24"/>
          <w:szCs w:val="24"/>
          <w:lang w:val="pt-BR"/>
        </w:rPr>
        <w:t>CPC 25 – Provisões, Passivos Contingentes e Ativos Contingentes</w:t>
      </w:r>
      <w:proofErr w:type="gramStart"/>
      <w:r w:rsidRPr="00DE3260">
        <w:rPr>
          <w:rStyle w:val="tw4winMark"/>
          <w:rFonts w:ascii="Times New Roman" w:hAnsi="Times New Roman"/>
          <w:sz w:val="24"/>
          <w:szCs w:val="24"/>
          <w:lang w:val="pt-BR"/>
        </w:rPr>
        <w:t>&lt;0}</w:t>
      </w:r>
      <w:proofErr w:type="gramEnd"/>
    </w:p>
    <w:bookmarkEnd w:id="3"/>
    <w:bookmarkEnd w:id="4"/>
    <w:p w:rsidR="00650385" w:rsidRPr="00DE3260" w:rsidRDefault="00650385" w:rsidP="00DE3260">
      <w:pPr>
        <w:spacing w:before="0" w:after="0"/>
        <w:rPr>
          <w:rFonts w:ascii="Times New Roman" w:hAnsi="Times New Roman"/>
          <w:b/>
          <w:sz w:val="24"/>
          <w:lang w:val="pt-BR"/>
        </w:rPr>
      </w:pPr>
    </w:p>
    <w:p w:rsidR="00DF25E0" w:rsidRPr="00DE3260" w:rsidRDefault="00DF25E0" w:rsidP="00DE3260">
      <w:pPr>
        <w:spacing w:before="0" w:after="0"/>
        <w:rPr>
          <w:rFonts w:ascii="Times New Roman" w:hAnsi="Times New Roman"/>
          <w:b/>
          <w:sz w:val="24"/>
        </w:rPr>
      </w:pPr>
      <w:r w:rsidRPr="00DE3260">
        <w:rPr>
          <w:rFonts w:ascii="Times New Roman" w:hAnsi="Times New Roman"/>
          <w:b/>
          <w:sz w:val="24"/>
        </w:rPr>
        <w:t>Contexto</w:t>
      </w:r>
    </w:p>
    <w:p w:rsidR="00DF25E0" w:rsidRPr="00DE3260" w:rsidRDefault="00DF25E0" w:rsidP="00DE3260">
      <w:pPr>
        <w:spacing w:before="0" w:after="0"/>
        <w:rPr>
          <w:rFonts w:ascii="Times New Roman" w:hAnsi="Times New Roman"/>
          <w:b/>
          <w:sz w:val="24"/>
        </w:rPr>
      </w:pPr>
    </w:p>
    <w:p w:rsidR="009269C3" w:rsidRPr="00DE3260" w:rsidRDefault="009269C3" w:rsidP="00DE3260">
      <w:pPr>
        <w:pStyle w:val="IASBNormalnpara"/>
        <w:numPr>
          <w:ilvl w:val="0"/>
          <w:numId w:val="5"/>
        </w:numPr>
        <w:spacing w:before="0"/>
        <w:ind w:left="567" w:hanging="567"/>
        <w:rPr>
          <w:sz w:val="24"/>
          <w:szCs w:val="24"/>
          <w:lang w:val="pt-PT" w:eastAsia="pt-BR"/>
        </w:rPr>
      </w:pPr>
      <w:r w:rsidRPr="00DE3260">
        <w:rPr>
          <w:sz w:val="24"/>
          <w:szCs w:val="24"/>
          <w:lang w:val="pt-PT" w:eastAsia="pt-BR"/>
        </w:rPr>
        <w:t xml:space="preserve">O item 64 </w:t>
      </w:r>
      <w:r w:rsidRPr="00DE3260">
        <w:rPr>
          <w:sz w:val="24"/>
          <w:szCs w:val="24"/>
          <w:lang w:val="pt-BR"/>
        </w:rPr>
        <w:t>do Pronunciamento Técnico CPC 33</w:t>
      </w:r>
      <w:r w:rsidR="00791F2B">
        <w:rPr>
          <w:sz w:val="24"/>
          <w:szCs w:val="24"/>
          <w:lang w:val="pt-BR"/>
        </w:rPr>
        <w:t xml:space="preserve"> – Benefícios a Empregados</w:t>
      </w:r>
      <w:r w:rsidRPr="00DE3260">
        <w:rPr>
          <w:sz w:val="24"/>
          <w:szCs w:val="24"/>
          <w:lang w:val="pt-BR"/>
        </w:rPr>
        <w:t xml:space="preserve"> </w:t>
      </w:r>
      <w:r w:rsidRPr="00DE3260">
        <w:rPr>
          <w:sz w:val="24"/>
          <w:szCs w:val="24"/>
          <w:lang w:val="pt-PT" w:eastAsia="pt-BR"/>
        </w:rPr>
        <w:t xml:space="preserve">limita a mensuração de ativo de benefício definido líquido ao que for menor </w:t>
      </w:r>
      <w:r w:rsidR="00DE3260">
        <w:rPr>
          <w:sz w:val="24"/>
          <w:szCs w:val="24"/>
          <w:lang w:val="pt-PT" w:eastAsia="pt-BR"/>
        </w:rPr>
        <w:t xml:space="preserve">entre o </w:t>
      </w:r>
      <w:r w:rsidR="00DE3260" w:rsidRPr="00DE3260">
        <w:rPr>
          <w:i/>
          <w:sz w:val="24"/>
          <w:szCs w:val="24"/>
          <w:lang w:val="pt-PT" w:eastAsia="pt-BR"/>
        </w:rPr>
        <w:t>superá</w:t>
      </w:r>
      <w:r w:rsidRPr="00DE3260">
        <w:rPr>
          <w:i/>
          <w:sz w:val="24"/>
          <w:szCs w:val="24"/>
          <w:lang w:val="pt-PT" w:eastAsia="pt-BR"/>
        </w:rPr>
        <w:t>vit</w:t>
      </w:r>
      <w:r w:rsidRPr="00DE3260">
        <w:rPr>
          <w:sz w:val="24"/>
          <w:szCs w:val="24"/>
          <w:lang w:val="pt-PT" w:eastAsia="pt-BR"/>
        </w:rPr>
        <w:t xml:space="preserve"> do plano de benefício definido e o teto de ativo. O item 8 do CPC 33 define o teto de ativo como o “valor presente de quaisquer benefícios econômicos disponíveis na forma de restituições provenientes do plano ou reduções em contribuições futuras para o plano”. </w:t>
      </w:r>
      <w:r w:rsidRPr="00DE3260">
        <w:rPr>
          <w:vanish/>
          <w:sz w:val="24"/>
          <w:szCs w:val="24"/>
          <w:lang w:val="pt-PT" w:eastAsia="pt-BR"/>
        </w:rPr>
        <w:t>&lt;0} &lt;}100{&gt;</w:t>
      </w:r>
      <w:r w:rsidRPr="00DE3260">
        <w:rPr>
          <w:sz w:val="24"/>
          <w:szCs w:val="24"/>
          <w:lang w:val="pt-PT" w:eastAsia="pt-BR"/>
        </w:rPr>
        <w:t>Surgiram questões sobre quando as restituições ou reduções nas contribuições futuras podem ser consideradas como disponíveis, particularmente</w:t>
      </w:r>
      <w:r w:rsidR="00522639">
        <w:rPr>
          <w:sz w:val="24"/>
          <w:szCs w:val="24"/>
          <w:lang w:val="pt-PT" w:eastAsia="pt-BR"/>
        </w:rPr>
        <w:t>,</w:t>
      </w:r>
      <w:r w:rsidRPr="00DE3260">
        <w:rPr>
          <w:sz w:val="24"/>
          <w:szCs w:val="24"/>
          <w:lang w:val="pt-PT" w:eastAsia="pt-BR"/>
        </w:rPr>
        <w:t xml:space="preserve"> quando existir requisito de </w:t>
      </w:r>
      <w:r w:rsidR="00E61348" w:rsidRPr="00DE3260">
        <w:rPr>
          <w:sz w:val="24"/>
          <w:szCs w:val="24"/>
          <w:lang w:val="pt-PT" w:eastAsia="pt-BR"/>
        </w:rPr>
        <w:t>custeio (</w:t>
      </w:r>
      <w:r w:rsidR="00E61348" w:rsidRPr="00522639">
        <w:rPr>
          <w:i/>
          <w:sz w:val="24"/>
          <w:szCs w:val="24"/>
          <w:lang w:val="pt-PT" w:eastAsia="pt-BR"/>
        </w:rPr>
        <w:t>funding</w:t>
      </w:r>
      <w:r w:rsidR="00E61348" w:rsidRPr="00DE3260">
        <w:rPr>
          <w:sz w:val="24"/>
          <w:szCs w:val="24"/>
          <w:lang w:val="pt-PT" w:eastAsia="pt-BR"/>
        </w:rPr>
        <w:t>)</w:t>
      </w:r>
      <w:r w:rsidRPr="00DE3260">
        <w:rPr>
          <w:sz w:val="24"/>
          <w:szCs w:val="24"/>
          <w:lang w:val="pt-PT" w:eastAsia="pt-BR"/>
        </w:rPr>
        <w:t xml:space="preserve"> mínimo.</w:t>
      </w:r>
      <w:r w:rsidRPr="00DE3260">
        <w:rPr>
          <w:vanish/>
          <w:sz w:val="24"/>
          <w:szCs w:val="24"/>
          <w:lang w:val="pt-PT" w:eastAsia="pt-BR"/>
        </w:rPr>
        <w:t>&lt;0}</w:t>
      </w:r>
    </w:p>
    <w:p w:rsidR="009269C3" w:rsidRPr="00DE3260" w:rsidRDefault="009269C3" w:rsidP="00DE3260">
      <w:pPr>
        <w:pStyle w:val="IASBNormalnpara"/>
        <w:spacing w:before="0"/>
        <w:ind w:left="720" w:firstLine="0"/>
        <w:rPr>
          <w:sz w:val="24"/>
          <w:szCs w:val="24"/>
          <w:lang w:val="pt-PT" w:eastAsia="pt-BR"/>
        </w:rPr>
      </w:pPr>
    </w:p>
    <w:p w:rsidR="009269C3" w:rsidRPr="00DE3260" w:rsidRDefault="00DF25E0" w:rsidP="00791F2B">
      <w:pPr>
        <w:pStyle w:val="IASBNormalnpara"/>
        <w:numPr>
          <w:ilvl w:val="0"/>
          <w:numId w:val="5"/>
        </w:numPr>
        <w:spacing w:before="0"/>
        <w:ind w:left="567" w:hanging="567"/>
        <w:rPr>
          <w:sz w:val="24"/>
          <w:szCs w:val="24"/>
          <w:lang w:val="pt-BR"/>
        </w:rPr>
      </w:pPr>
      <w:r w:rsidRPr="00DE3260">
        <w:rPr>
          <w:sz w:val="24"/>
          <w:szCs w:val="24"/>
          <w:lang w:val="pt-BR"/>
        </w:rPr>
        <w:t xml:space="preserve">Os requisitos de </w:t>
      </w:r>
      <w:r w:rsidR="00E61348" w:rsidRPr="00DE3260">
        <w:rPr>
          <w:sz w:val="24"/>
          <w:szCs w:val="24"/>
          <w:lang w:val="pt-BR"/>
        </w:rPr>
        <w:t>custeio (</w:t>
      </w:r>
      <w:proofErr w:type="spellStart"/>
      <w:r w:rsidR="00E61348" w:rsidRPr="00522639">
        <w:rPr>
          <w:i/>
          <w:sz w:val="24"/>
          <w:szCs w:val="24"/>
          <w:lang w:val="pt-BR"/>
        </w:rPr>
        <w:t>funding</w:t>
      </w:r>
      <w:proofErr w:type="spellEnd"/>
      <w:r w:rsidR="00E61348" w:rsidRPr="00DE3260">
        <w:rPr>
          <w:sz w:val="24"/>
          <w:szCs w:val="24"/>
          <w:lang w:val="pt-BR"/>
        </w:rPr>
        <w:t>)</w:t>
      </w:r>
      <w:r w:rsidRPr="00DE3260">
        <w:rPr>
          <w:sz w:val="24"/>
          <w:szCs w:val="24"/>
          <w:lang w:val="pt-BR"/>
        </w:rPr>
        <w:t xml:space="preserve"> mínimo existem em muitos países para melhorar a garantia da promessa de benefício pós-emprego feita aos participantes de plano de benefício a empregados. Esses requisitos normalmente estipulam </w:t>
      </w:r>
      <w:r w:rsidR="00791F2B">
        <w:rPr>
          <w:sz w:val="24"/>
          <w:szCs w:val="24"/>
          <w:lang w:val="pt-BR"/>
        </w:rPr>
        <w:t>o</w:t>
      </w:r>
      <w:r w:rsidRPr="00DE3260">
        <w:rPr>
          <w:sz w:val="24"/>
          <w:szCs w:val="24"/>
          <w:lang w:val="pt-BR"/>
        </w:rPr>
        <w:t xml:space="preserve"> valor ou nível mínimo de contribuições que devem ser feitas ao plano durante determinado período. Portanto, um requisito de </w:t>
      </w:r>
      <w:r w:rsidR="00E61348" w:rsidRPr="00DE3260">
        <w:rPr>
          <w:sz w:val="24"/>
          <w:szCs w:val="24"/>
          <w:lang w:val="pt-BR"/>
        </w:rPr>
        <w:t>custeio (</w:t>
      </w:r>
      <w:proofErr w:type="spellStart"/>
      <w:r w:rsidR="00E61348" w:rsidRPr="00522639">
        <w:rPr>
          <w:i/>
          <w:sz w:val="24"/>
          <w:szCs w:val="24"/>
          <w:lang w:val="pt-BR"/>
        </w:rPr>
        <w:t>funding</w:t>
      </w:r>
      <w:proofErr w:type="spellEnd"/>
      <w:r w:rsidR="00E61348" w:rsidRPr="00DE3260">
        <w:rPr>
          <w:sz w:val="24"/>
          <w:szCs w:val="24"/>
          <w:lang w:val="pt-BR"/>
        </w:rPr>
        <w:t>)</w:t>
      </w:r>
      <w:r w:rsidRPr="00DE3260">
        <w:rPr>
          <w:sz w:val="24"/>
          <w:szCs w:val="24"/>
          <w:lang w:val="pt-BR"/>
        </w:rPr>
        <w:t xml:space="preserve"> mínimo pode limitar a capacidade da entidade de reduzir contribuições futuras.</w:t>
      </w:r>
    </w:p>
    <w:p w:rsidR="009269C3" w:rsidRPr="00DE3260" w:rsidRDefault="009269C3" w:rsidP="00DE3260">
      <w:pPr>
        <w:pStyle w:val="IASBNormalnpara"/>
        <w:spacing w:before="0"/>
        <w:ind w:left="720" w:firstLine="0"/>
        <w:rPr>
          <w:sz w:val="24"/>
          <w:szCs w:val="24"/>
          <w:lang w:val="pt-BR"/>
        </w:rPr>
      </w:pPr>
    </w:p>
    <w:p w:rsidR="00DF25E0" w:rsidRPr="00DE3260" w:rsidRDefault="00DF25E0" w:rsidP="00791F2B">
      <w:pPr>
        <w:pStyle w:val="IASBNormalnpara"/>
        <w:numPr>
          <w:ilvl w:val="0"/>
          <w:numId w:val="5"/>
        </w:numPr>
        <w:spacing w:before="0"/>
        <w:ind w:left="567" w:hanging="567"/>
        <w:rPr>
          <w:sz w:val="24"/>
          <w:szCs w:val="24"/>
          <w:lang w:val="pt-BR"/>
        </w:rPr>
      </w:pPr>
      <w:r w:rsidRPr="00DE3260">
        <w:rPr>
          <w:sz w:val="24"/>
          <w:szCs w:val="24"/>
          <w:lang w:val="pt-BR"/>
        </w:rPr>
        <w:t xml:space="preserve">Além disso, o limite na mensuração de ativo de benefício definido pode fazer com que o requisito de </w:t>
      </w:r>
      <w:r w:rsidR="00E61348" w:rsidRPr="00DE3260">
        <w:rPr>
          <w:sz w:val="24"/>
          <w:szCs w:val="24"/>
          <w:lang w:val="pt-BR"/>
        </w:rPr>
        <w:t>custeio (</w:t>
      </w:r>
      <w:proofErr w:type="spellStart"/>
      <w:r w:rsidR="00522639" w:rsidRPr="00522639">
        <w:rPr>
          <w:i/>
          <w:sz w:val="24"/>
          <w:szCs w:val="24"/>
          <w:lang w:val="pt-BR"/>
        </w:rPr>
        <w:t>funding</w:t>
      </w:r>
      <w:proofErr w:type="spellEnd"/>
      <w:r w:rsidR="00E61348" w:rsidRPr="00DE3260">
        <w:rPr>
          <w:sz w:val="24"/>
          <w:szCs w:val="24"/>
          <w:lang w:val="pt-BR"/>
        </w:rPr>
        <w:t>)</w:t>
      </w:r>
      <w:r w:rsidRPr="00DE3260">
        <w:rPr>
          <w:sz w:val="24"/>
          <w:szCs w:val="24"/>
          <w:lang w:val="pt-BR"/>
        </w:rPr>
        <w:t xml:space="preserve"> mínimo seja oneroso. Normalmente, um requisito para fazer contribuições a</w:t>
      </w:r>
      <w:r w:rsidR="00791F2B">
        <w:rPr>
          <w:sz w:val="24"/>
          <w:szCs w:val="24"/>
          <w:lang w:val="pt-BR"/>
        </w:rPr>
        <w:t>o</w:t>
      </w:r>
      <w:r w:rsidRPr="00DE3260">
        <w:rPr>
          <w:sz w:val="24"/>
          <w:szCs w:val="24"/>
          <w:lang w:val="pt-BR"/>
        </w:rPr>
        <w:t xml:space="preserve"> plano não afetaria a mensuração do ativo ou passivo de benefício definido. Isso se deve ao fato de que as contribuições, quando pagas, se tornarão ativos do plano e, portanto, não há passivo líquido adicional. Contudo, o requisito de </w:t>
      </w:r>
      <w:r w:rsidR="00E61348" w:rsidRPr="00DE3260">
        <w:rPr>
          <w:sz w:val="24"/>
          <w:szCs w:val="24"/>
          <w:lang w:val="pt-BR"/>
        </w:rPr>
        <w:t>custeio (</w:t>
      </w:r>
      <w:proofErr w:type="spellStart"/>
      <w:r w:rsidR="00522639" w:rsidRPr="00522639">
        <w:rPr>
          <w:i/>
          <w:sz w:val="24"/>
          <w:szCs w:val="24"/>
          <w:lang w:val="pt-BR"/>
        </w:rPr>
        <w:t>funding</w:t>
      </w:r>
      <w:proofErr w:type="spellEnd"/>
      <w:r w:rsidR="00E61348" w:rsidRPr="00DE3260">
        <w:rPr>
          <w:sz w:val="24"/>
          <w:szCs w:val="24"/>
          <w:lang w:val="pt-BR"/>
        </w:rPr>
        <w:t>)</w:t>
      </w:r>
      <w:r w:rsidRPr="00DE3260">
        <w:rPr>
          <w:sz w:val="24"/>
          <w:szCs w:val="24"/>
          <w:lang w:val="pt-BR"/>
        </w:rPr>
        <w:t xml:space="preserve"> mínimo pode originar um passivo se as contribuições exigidas não estiverem disponíveis para a entidade uma vez que tenham sido pagas.</w:t>
      </w:r>
    </w:p>
    <w:p w:rsidR="00BF0B3E" w:rsidRPr="00DE3260" w:rsidRDefault="00BF0B3E" w:rsidP="00DE3260">
      <w:pPr>
        <w:pStyle w:val="PargrafodaLista"/>
        <w:spacing w:before="0" w:after="0"/>
        <w:contextualSpacing w:val="0"/>
        <w:rPr>
          <w:rFonts w:ascii="Times New Roman" w:hAnsi="Times New Roman"/>
          <w:sz w:val="24"/>
          <w:lang w:val="pt-BR"/>
        </w:rPr>
      </w:pPr>
    </w:p>
    <w:p w:rsidR="00BF0B3E" w:rsidRPr="00DE3260" w:rsidRDefault="00BF0B3E" w:rsidP="00791F2B">
      <w:pPr>
        <w:pStyle w:val="IASBNormalnpara"/>
        <w:spacing w:before="0"/>
        <w:ind w:left="567" w:hanging="567"/>
        <w:rPr>
          <w:sz w:val="24"/>
          <w:szCs w:val="24"/>
          <w:lang w:val="pt-BR"/>
        </w:rPr>
      </w:pPr>
      <w:proofErr w:type="gramStart"/>
      <w:r w:rsidRPr="00DE3260">
        <w:rPr>
          <w:sz w:val="24"/>
          <w:szCs w:val="24"/>
          <w:lang w:val="pt-BR"/>
        </w:rPr>
        <w:t>3A</w:t>
      </w:r>
      <w:proofErr w:type="gramEnd"/>
      <w:r w:rsidR="00791F2B">
        <w:rPr>
          <w:sz w:val="24"/>
          <w:szCs w:val="24"/>
          <w:lang w:val="pt-BR"/>
        </w:rPr>
        <w:t>.</w:t>
      </w:r>
      <w:r w:rsidRPr="00DE3260">
        <w:rPr>
          <w:sz w:val="24"/>
          <w:szCs w:val="24"/>
          <w:lang w:val="pt-BR"/>
        </w:rPr>
        <w:t xml:space="preserve"> </w:t>
      </w:r>
      <w:r w:rsidR="00791F2B">
        <w:rPr>
          <w:sz w:val="24"/>
          <w:szCs w:val="24"/>
          <w:lang w:val="pt-BR"/>
        </w:rPr>
        <w:tab/>
      </w:r>
      <w:r w:rsidRPr="00DE3260">
        <w:rPr>
          <w:sz w:val="24"/>
          <w:szCs w:val="24"/>
          <w:lang w:val="pt-BR"/>
        </w:rPr>
        <w:t xml:space="preserve">A terminologia custeio utilizada nesta Interpretação tem o mesmo significado da palavra financiamento utilizada na versão atual Pronunciamento CPC 33 e da palavra </w:t>
      </w:r>
      <w:proofErr w:type="spellStart"/>
      <w:r w:rsidR="00522639" w:rsidRPr="00522639">
        <w:rPr>
          <w:i/>
          <w:sz w:val="24"/>
          <w:szCs w:val="24"/>
          <w:lang w:val="pt-BR"/>
        </w:rPr>
        <w:t>funding</w:t>
      </w:r>
      <w:proofErr w:type="spellEnd"/>
      <w:r w:rsidRPr="00DE3260">
        <w:rPr>
          <w:sz w:val="24"/>
          <w:szCs w:val="24"/>
          <w:lang w:val="pt-BR"/>
        </w:rPr>
        <w:t xml:space="preserve"> utilizada na atual versão </w:t>
      </w:r>
      <w:r w:rsidR="00EC5A88" w:rsidRPr="00DE3260">
        <w:rPr>
          <w:sz w:val="24"/>
          <w:szCs w:val="24"/>
          <w:lang w:val="pt-BR"/>
        </w:rPr>
        <w:t>do</w:t>
      </w:r>
      <w:bookmarkStart w:id="5" w:name="_GoBack"/>
      <w:bookmarkEnd w:id="5"/>
      <w:r w:rsidR="001F7B44" w:rsidRPr="00DE3260">
        <w:rPr>
          <w:sz w:val="24"/>
          <w:szCs w:val="24"/>
          <w:lang w:val="pt-BR"/>
        </w:rPr>
        <w:t xml:space="preserve"> </w:t>
      </w:r>
      <w:r w:rsidRPr="00DE3260">
        <w:rPr>
          <w:sz w:val="24"/>
          <w:szCs w:val="24"/>
          <w:lang w:val="pt-BR"/>
        </w:rPr>
        <w:t>IAS 19 emitido pelo IASB</w:t>
      </w:r>
      <w:r w:rsidR="00791F2B">
        <w:rPr>
          <w:sz w:val="24"/>
          <w:szCs w:val="24"/>
          <w:lang w:val="pt-BR"/>
        </w:rPr>
        <w:t>.</w:t>
      </w:r>
      <w:r w:rsidRPr="00DE3260">
        <w:rPr>
          <w:sz w:val="24"/>
          <w:szCs w:val="24"/>
          <w:lang w:val="pt-BR"/>
        </w:rPr>
        <w:t xml:space="preserve"> </w:t>
      </w:r>
    </w:p>
    <w:p w:rsidR="009269C3" w:rsidRPr="00DE3260" w:rsidRDefault="009269C3" w:rsidP="00DE3260">
      <w:pPr>
        <w:pStyle w:val="PargrafodaLista"/>
        <w:spacing w:before="0" w:after="0"/>
        <w:contextualSpacing w:val="0"/>
        <w:rPr>
          <w:rFonts w:ascii="Times New Roman" w:hAnsi="Times New Roman"/>
          <w:sz w:val="24"/>
        </w:rPr>
      </w:pPr>
    </w:p>
    <w:p w:rsidR="00DF25E0" w:rsidRPr="00DE3260" w:rsidRDefault="00DF25E0" w:rsidP="00DE3260">
      <w:pPr>
        <w:spacing w:before="0" w:after="0"/>
        <w:rPr>
          <w:rFonts w:ascii="Times New Roman" w:hAnsi="Times New Roman"/>
          <w:b/>
          <w:sz w:val="24"/>
        </w:rPr>
      </w:pPr>
      <w:r w:rsidRPr="00DE3260">
        <w:rPr>
          <w:rFonts w:ascii="Times New Roman" w:hAnsi="Times New Roman"/>
          <w:b/>
          <w:sz w:val="24"/>
        </w:rPr>
        <w:t>Alcance</w:t>
      </w:r>
    </w:p>
    <w:p w:rsidR="00DF25E0" w:rsidRPr="00DE3260" w:rsidRDefault="00DF25E0" w:rsidP="00DE3260">
      <w:pPr>
        <w:spacing w:before="0" w:after="0"/>
        <w:rPr>
          <w:rFonts w:ascii="Times New Roman" w:hAnsi="Times New Roman"/>
          <w:b/>
          <w:sz w:val="24"/>
        </w:rPr>
      </w:pPr>
    </w:p>
    <w:p w:rsidR="00DF25E0" w:rsidRPr="00DE3260" w:rsidRDefault="00DF25E0" w:rsidP="00791F2B">
      <w:pPr>
        <w:pStyle w:val="IASBNormalnpara"/>
        <w:numPr>
          <w:ilvl w:val="0"/>
          <w:numId w:val="5"/>
        </w:numPr>
        <w:spacing w:before="0"/>
        <w:ind w:left="567" w:hanging="567"/>
        <w:rPr>
          <w:sz w:val="24"/>
        </w:rPr>
      </w:pPr>
      <w:r w:rsidRPr="00DE3260">
        <w:rPr>
          <w:sz w:val="24"/>
        </w:rPr>
        <w:t xml:space="preserve">Esta Interpretação se aplica a todos os benefícios definidos pós-emprego e outros benefícios definidos de longo prazo aos empregados. </w:t>
      </w:r>
    </w:p>
    <w:p w:rsidR="00DF25E0" w:rsidRPr="00DE3260" w:rsidRDefault="00DF25E0" w:rsidP="00DE3260">
      <w:pPr>
        <w:spacing w:before="0" w:after="0"/>
        <w:rPr>
          <w:rFonts w:ascii="Times New Roman" w:hAnsi="Times New Roman"/>
          <w:sz w:val="24"/>
        </w:rPr>
      </w:pPr>
    </w:p>
    <w:p w:rsidR="00DF25E0" w:rsidRPr="00791F2B" w:rsidRDefault="00DF25E0" w:rsidP="00791F2B">
      <w:pPr>
        <w:pStyle w:val="IASBNormalnpara"/>
        <w:numPr>
          <w:ilvl w:val="0"/>
          <w:numId w:val="5"/>
        </w:numPr>
        <w:spacing w:before="0"/>
        <w:ind w:left="567" w:hanging="567"/>
        <w:rPr>
          <w:sz w:val="24"/>
          <w:lang w:val="pt-BR"/>
        </w:rPr>
      </w:pPr>
      <w:r w:rsidRPr="00791F2B">
        <w:rPr>
          <w:sz w:val="24"/>
          <w:lang w:val="pt-BR"/>
        </w:rPr>
        <w:t xml:space="preserve">Para a finalidade desta Interpretação, os requisitos de </w:t>
      </w:r>
      <w:r w:rsidR="00E61348" w:rsidRPr="00791F2B">
        <w:rPr>
          <w:sz w:val="24"/>
          <w:lang w:val="pt-BR"/>
        </w:rPr>
        <w:t>custeio (</w:t>
      </w:r>
      <w:proofErr w:type="spellStart"/>
      <w:r w:rsidR="00522639" w:rsidRPr="00522639">
        <w:rPr>
          <w:i/>
          <w:sz w:val="24"/>
          <w:lang w:val="pt-BR"/>
        </w:rPr>
        <w:t>funding</w:t>
      </w:r>
      <w:proofErr w:type="spellEnd"/>
      <w:r w:rsidR="00E61348" w:rsidRPr="00791F2B">
        <w:rPr>
          <w:sz w:val="24"/>
          <w:lang w:val="pt-BR"/>
        </w:rPr>
        <w:t>)</w:t>
      </w:r>
      <w:r w:rsidRPr="00791F2B">
        <w:rPr>
          <w:sz w:val="24"/>
          <w:lang w:val="pt-BR"/>
        </w:rPr>
        <w:t xml:space="preserve"> mínimo são quaisquer requisitos para </w:t>
      </w:r>
      <w:r w:rsidR="00E61348" w:rsidRPr="00791F2B">
        <w:rPr>
          <w:sz w:val="24"/>
          <w:lang w:val="pt-BR"/>
        </w:rPr>
        <w:t>custeio (</w:t>
      </w:r>
      <w:proofErr w:type="spellStart"/>
      <w:r w:rsidR="00E61348" w:rsidRPr="00791F2B">
        <w:rPr>
          <w:i/>
          <w:sz w:val="24"/>
          <w:lang w:val="pt-BR"/>
        </w:rPr>
        <w:t>funding</w:t>
      </w:r>
      <w:proofErr w:type="spellEnd"/>
      <w:r w:rsidR="00E61348" w:rsidRPr="00791F2B">
        <w:rPr>
          <w:sz w:val="24"/>
          <w:lang w:val="pt-BR"/>
        </w:rPr>
        <w:t>)</w:t>
      </w:r>
      <w:r w:rsidRPr="00791F2B">
        <w:rPr>
          <w:sz w:val="24"/>
          <w:lang w:val="pt-BR"/>
        </w:rPr>
        <w:t xml:space="preserve"> de plano de benefício definido pós-emprego ou outro de longo prazo. </w:t>
      </w:r>
    </w:p>
    <w:p w:rsidR="00DF25E0" w:rsidRPr="00DE3260" w:rsidRDefault="00DF25E0" w:rsidP="00DE3260">
      <w:pPr>
        <w:spacing w:before="0" w:after="0"/>
        <w:rPr>
          <w:rFonts w:ascii="Times New Roman" w:hAnsi="Times New Roman"/>
          <w:b/>
          <w:sz w:val="24"/>
        </w:rPr>
      </w:pPr>
    </w:p>
    <w:p w:rsidR="00DF25E0" w:rsidRPr="00DE3260" w:rsidRDefault="00DF25E0" w:rsidP="00DE3260">
      <w:pPr>
        <w:spacing w:before="0" w:after="0"/>
        <w:rPr>
          <w:rFonts w:ascii="Times New Roman" w:hAnsi="Times New Roman"/>
          <w:b/>
          <w:sz w:val="24"/>
        </w:rPr>
      </w:pPr>
      <w:r w:rsidRPr="00DE3260">
        <w:rPr>
          <w:rFonts w:ascii="Times New Roman" w:hAnsi="Times New Roman"/>
          <w:b/>
          <w:sz w:val="24"/>
        </w:rPr>
        <w:t>Questões</w:t>
      </w:r>
    </w:p>
    <w:p w:rsidR="00DF25E0" w:rsidRPr="00DE3260" w:rsidRDefault="00DF25E0" w:rsidP="00DE3260">
      <w:pPr>
        <w:spacing w:before="0" w:after="0"/>
        <w:rPr>
          <w:rFonts w:ascii="Times New Roman" w:hAnsi="Times New Roman"/>
          <w:b/>
          <w:sz w:val="24"/>
        </w:rPr>
      </w:pPr>
    </w:p>
    <w:p w:rsidR="00DF25E0" w:rsidRPr="00DE3260" w:rsidRDefault="00DF25E0" w:rsidP="00791F2B">
      <w:pPr>
        <w:pStyle w:val="IASBNormalnpara"/>
        <w:numPr>
          <w:ilvl w:val="0"/>
          <w:numId w:val="5"/>
        </w:numPr>
        <w:spacing w:before="0"/>
        <w:ind w:left="567" w:hanging="567"/>
        <w:rPr>
          <w:sz w:val="24"/>
        </w:rPr>
      </w:pPr>
      <w:r w:rsidRPr="00DE3260">
        <w:rPr>
          <w:sz w:val="24"/>
        </w:rPr>
        <w:t>As questões tratadas nesta Interpretação são:</w:t>
      </w:r>
    </w:p>
    <w:p w:rsidR="00DF25E0" w:rsidRPr="00791F2B" w:rsidRDefault="00DF25E0" w:rsidP="00791F2B">
      <w:pPr>
        <w:pStyle w:val="PargrafodaLista"/>
        <w:numPr>
          <w:ilvl w:val="1"/>
          <w:numId w:val="7"/>
        </w:numPr>
        <w:spacing w:before="0" w:after="0"/>
        <w:ind w:left="993" w:hanging="426"/>
        <w:rPr>
          <w:rFonts w:ascii="Times New Roman" w:hAnsi="Times New Roman"/>
          <w:sz w:val="24"/>
        </w:rPr>
      </w:pPr>
      <w:r w:rsidRPr="00791F2B">
        <w:rPr>
          <w:rFonts w:ascii="Times New Roman" w:hAnsi="Times New Roman"/>
          <w:sz w:val="24"/>
        </w:rPr>
        <w:t xml:space="preserve">quando as restituições ou reduções nas contribuições futuras devem ser consideradas como disponíveis de acordo com </w:t>
      </w:r>
      <w:r w:rsidR="00C06D16" w:rsidRPr="00791F2B">
        <w:rPr>
          <w:rFonts w:ascii="Times New Roman" w:hAnsi="Times New Roman"/>
          <w:sz w:val="24"/>
        </w:rPr>
        <w:t>a definição de teto de ativo d</w:t>
      </w:r>
      <w:r w:rsidRPr="00791F2B">
        <w:rPr>
          <w:rFonts w:ascii="Times New Roman" w:hAnsi="Times New Roman"/>
          <w:sz w:val="24"/>
        </w:rPr>
        <w:t>o item</w:t>
      </w:r>
      <w:r w:rsidR="00C06D16" w:rsidRPr="00791F2B">
        <w:rPr>
          <w:rFonts w:ascii="Times New Roman" w:hAnsi="Times New Roman"/>
          <w:sz w:val="24"/>
        </w:rPr>
        <w:t xml:space="preserve"> </w:t>
      </w:r>
      <w:r w:rsidRPr="00791F2B">
        <w:rPr>
          <w:rFonts w:ascii="Times New Roman" w:hAnsi="Times New Roman"/>
          <w:sz w:val="24"/>
        </w:rPr>
        <w:t>8 do Pronunciamento Técnico CPC 33</w:t>
      </w:r>
      <w:r w:rsidR="00791F2B" w:rsidRPr="00791F2B">
        <w:rPr>
          <w:rFonts w:ascii="Times New Roman" w:hAnsi="Times New Roman"/>
          <w:sz w:val="24"/>
        </w:rPr>
        <w:t>;</w:t>
      </w:r>
    </w:p>
    <w:p w:rsidR="00DF25E0" w:rsidRPr="00DE3260" w:rsidRDefault="00DF25E0" w:rsidP="00791F2B">
      <w:pPr>
        <w:pStyle w:val="PargrafodaLista"/>
        <w:numPr>
          <w:ilvl w:val="1"/>
          <w:numId w:val="7"/>
        </w:numPr>
        <w:spacing w:before="0" w:after="0"/>
        <w:ind w:left="993" w:hanging="426"/>
        <w:rPr>
          <w:rFonts w:ascii="Times New Roman" w:hAnsi="Times New Roman"/>
          <w:sz w:val="24"/>
        </w:rPr>
      </w:pPr>
      <w:r w:rsidRPr="00DE3260">
        <w:rPr>
          <w:rFonts w:ascii="Times New Roman" w:hAnsi="Times New Roman"/>
          <w:sz w:val="24"/>
        </w:rPr>
        <w:t xml:space="preserve">como um requisito de </w:t>
      </w:r>
      <w:r w:rsidR="00E61348" w:rsidRPr="00DE3260">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sidRPr="00DE3260">
        <w:rPr>
          <w:rFonts w:ascii="Times New Roman" w:hAnsi="Times New Roman"/>
          <w:sz w:val="24"/>
        </w:rPr>
        <w:t>)</w:t>
      </w:r>
      <w:r w:rsidRPr="00DE3260">
        <w:rPr>
          <w:rFonts w:ascii="Times New Roman" w:hAnsi="Times New Roman"/>
          <w:sz w:val="24"/>
        </w:rPr>
        <w:t xml:space="preserve"> mínimo pode afetar a disponibilidade de reduções nas contribuições futuras</w:t>
      </w:r>
      <w:r w:rsidR="00791F2B">
        <w:rPr>
          <w:rFonts w:ascii="Times New Roman" w:hAnsi="Times New Roman"/>
          <w:sz w:val="24"/>
        </w:rPr>
        <w:t>;</w:t>
      </w:r>
    </w:p>
    <w:p w:rsidR="00DF25E0" w:rsidRPr="00DE3260" w:rsidRDefault="00DF25E0" w:rsidP="00791F2B">
      <w:pPr>
        <w:pStyle w:val="PargrafodaLista"/>
        <w:numPr>
          <w:ilvl w:val="1"/>
          <w:numId w:val="7"/>
        </w:numPr>
        <w:spacing w:before="0" w:after="0"/>
        <w:ind w:left="993" w:hanging="426"/>
        <w:rPr>
          <w:rFonts w:ascii="Times New Roman" w:hAnsi="Times New Roman"/>
          <w:sz w:val="24"/>
        </w:rPr>
      </w:pPr>
      <w:r w:rsidRPr="00DE3260">
        <w:rPr>
          <w:rFonts w:ascii="Times New Roman" w:hAnsi="Times New Roman"/>
          <w:sz w:val="24"/>
        </w:rPr>
        <w:t xml:space="preserve">quando um requisito de </w:t>
      </w:r>
      <w:r w:rsidR="00E61348" w:rsidRPr="00DE3260">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sidRPr="00DE3260">
        <w:rPr>
          <w:rFonts w:ascii="Times New Roman" w:hAnsi="Times New Roman"/>
          <w:sz w:val="24"/>
        </w:rPr>
        <w:t>)</w:t>
      </w:r>
      <w:r w:rsidRPr="00DE3260">
        <w:rPr>
          <w:rFonts w:ascii="Times New Roman" w:hAnsi="Times New Roman"/>
          <w:sz w:val="24"/>
        </w:rPr>
        <w:t xml:space="preserve"> mínimo pode originar um passivo.</w:t>
      </w:r>
    </w:p>
    <w:p w:rsidR="00C06D16" w:rsidRPr="00DE3260" w:rsidRDefault="00C06D16" w:rsidP="00DE3260">
      <w:pPr>
        <w:spacing w:before="0" w:after="0"/>
        <w:rPr>
          <w:rFonts w:ascii="Times New Roman" w:hAnsi="Times New Roman"/>
          <w:b/>
          <w:sz w:val="24"/>
        </w:rPr>
      </w:pPr>
    </w:p>
    <w:p w:rsidR="00DF25E0" w:rsidRPr="00DE3260" w:rsidRDefault="00DF25E0" w:rsidP="00DE3260">
      <w:pPr>
        <w:spacing w:before="0" w:after="0"/>
        <w:rPr>
          <w:rFonts w:ascii="Times New Roman" w:hAnsi="Times New Roman"/>
          <w:b/>
          <w:sz w:val="24"/>
        </w:rPr>
      </w:pPr>
      <w:r w:rsidRPr="00DE3260">
        <w:rPr>
          <w:rFonts w:ascii="Times New Roman" w:hAnsi="Times New Roman"/>
          <w:b/>
          <w:sz w:val="24"/>
        </w:rPr>
        <w:t>Consenso</w:t>
      </w:r>
    </w:p>
    <w:p w:rsidR="00DF25E0" w:rsidRPr="00DE3260" w:rsidRDefault="00DF25E0" w:rsidP="00DE3260">
      <w:pPr>
        <w:spacing w:before="0" w:after="0"/>
        <w:rPr>
          <w:rFonts w:ascii="Times New Roman" w:hAnsi="Times New Roman"/>
          <w:b/>
          <w:sz w:val="24"/>
        </w:rPr>
      </w:pPr>
    </w:p>
    <w:p w:rsidR="00DF25E0" w:rsidRPr="00DE3260" w:rsidRDefault="00DF25E0" w:rsidP="00DE3260">
      <w:pPr>
        <w:spacing w:before="0" w:after="0"/>
        <w:rPr>
          <w:rFonts w:ascii="Times New Roman" w:hAnsi="Times New Roman"/>
          <w:b/>
          <w:sz w:val="24"/>
        </w:rPr>
      </w:pPr>
      <w:r w:rsidRPr="00DE3260">
        <w:rPr>
          <w:rFonts w:ascii="Times New Roman" w:hAnsi="Times New Roman"/>
          <w:b/>
          <w:sz w:val="24"/>
        </w:rPr>
        <w:t>Disponibilidade de restituição ou redução nas contribuições futuras</w:t>
      </w:r>
    </w:p>
    <w:p w:rsidR="00DF25E0" w:rsidRPr="00DE3260" w:rsidRDefault="00DF25E0" w:rsidP="00DE3260">
      <w:pPr>
        <w:spacing w:before="0" w:after="0"/>
        <w:rPr>
          <w:rFonts w:ascii="Times New Roman" w:hAnsi="Times New Roman"/>
          <w:b/>
          <w:sz w:val="24"/>
        </w:rPr>
      </w:pPr>
    </w:p>
    <w:p w:rsidR="00DF25E0" w:rsidRPr="00791F2B" w:rsidRDefault="00DF25E0" w:rsidP="00791F2B">
      <w:pPr>
        <w:pStyle w:val="IASBNormalnpara"/>
        <w:numPr>
          <w:ilvl w:val="0"/>
          <w:numId w:val="5"/>
        </w:numPr>
        <w:spacing w:before="0"/>
        <w:ind w:left="567" w:hanging="567"/>
        <w:rPr>
          <w:sz w:val="24"/>
          <w:lang w:val="pt-BR"/>
        </w:rPr>
      </w:pPr>
      <w:r w:rsidRPr="00791F2B">
        <w:rPr>
          <w:sz w:val="24"/>
          <w:lang w:val="pt-BR"/>
        </w:rPr>
        <w:t xml:space="preserve">A entidade </w:t>
      </w:r>
      <w:r w:rsidR="00791F2B" w:rsidRPr="00791F2B">
        <w:rPr>
          <w:sz w:val="24"/>
          <w:lang w:val="pt-BR"/>
        </w:rPr>
        <w:t xml:space="preserve">deve </w:t>
      </w:r>
      <w:r w:rsidRPr="00791F2B">
        <w:rPr>
          <w:sz w:val="24"/>
          <w:lang w:val="pt-BR"/>
        </w:rPr>
        <w:t>determinar a disponibilidade de restituição ou redução nas contribuições futuras de acordo com os termos e condições do plano e quaisquer requisitos estatutários na jurisdição do plano.</w:t>
      </w:r>
    </w:p>
    <w:p w:rsidR="00DF25E0" w:rsidRPr="00DE3260" w:rsidRDefault="00DF25E0" w:rsidP="00DE3260">
      <w:pPr>
        <w:spacing w:before="0" w:after="0"/>
        <w:rPr>
          <w:rFonts w:ascii="Times New Roman" w:hAnsi="Times New Roman"/>
          <w:sz w:val="24"/>
        </w:rPr>
      </w:pPr>
    </w:p>
    <w:p w:rsidR="00DF25E0" w:rsidRPr="00DE3260" w:rsidRDefault="00791F2B" w:rsidP="00791F2B">
      <w:pPr>
        <w:pStyle w:val="IASBNormalnpara"/>
        <w:numPr>
          <w:ilvl w:val="0"/>
          <w:numId w:val="5"/>
        </w:numPr>
        <w:spacing w:before="0"/>
        <w:ind w:left="567" w:hanging="567"/>
        <w:rPr>
          <w:sz w:val="24"/>
        </w:rPr>
      </w:pPr>
      <w:r w:rsidRPr="00791F2B">
        <w:rPr>
          <w:sz w:val="24"/>
          <w:lang w:val="pt-BR"/>
        </w:rPr>
        <w:t>O</w:t>
      </w:r>
      <w:r w:rsidR="00DF25E0" w:rsidRPr="00791F2B">
        <w:rPr>
          <w:sz w:val="24"/>
          <w:lang w:val="pt-BR"/>
        </w:rPr>
        <w:t xml:space="preserve"> benefício econômico, na forma de restituição ou redução nas contribuições futuras, fica disponível se a entidade puder realizá-la em algum ponto durante a vigência do plano ou quando os passivos do plano forem liquidados. </w:t>
      </w:r>
      <w:proofErr w:type="spellStart"/>
      <w:r w:rsidR="00DF25E0" w:rsidRPr="00DE3260">
        <w:rPr>
          <w:sz w:val="24"/>
        </w:rPr>
        <w:t>Em</w:t>
      </w:r>
      <w:proofErr w:type="spellEnd"/>
      <w:r w:rsidR="00DF25E0" w:rsidRPr="00DE3260">
        <w:rPr>
          <w:sz w:val="24"/>
        </w:rPr>
        <w:t xml:space="preserve"> particular, </w:t>
      </w:r>
      <w:proofErr w:type="spellStart"/>
      <w:r w:rsidR="00DF25E0" w:rsidRPr="00DE3260">
        <w:rPr>
          <w:sz w:val="24"/>
        </w:rPr>
        <w:t>esse</w:t>
      </w:r>
      <w:proofErr w:type="spellEnd"/>
      <w:r w:rsidR="00DF25E0" w:rsidRPr="00DE3260">
        <w:rPr>
          <w:sz w:val="24"/>
        </w:rPr>
        <w:t xml:space="preserve"> </w:t>
      </w:r>
      <w:proofErr w:type="spellStart"/>
      <w:r w:rsidR="00DF25E0" w:rsidRPr="00DE3260">
        <w:rPr>
          <w:sz w:val="24"/>
        </w:rPr>
        <w:t>benefício</w:t>
      </w:r>
      <w:proofErr w:type="spellEnd"/>
      <w:r w:rsidR="00DF25E0" w:rsidRPr="00DE3260">
        <w:rPr>
          <w:sz w:val="24"/>
        </w:rPr>
        <w:t xml:space="preserve"> econômico pode </w:t>
      </w:r>
      <w:r w:rsidR="00DF25E0" w:rsidRPr="00DE3260">
        <w:rPr>
          <w:sz w:val="24"/>
        </w:rPr>
        <w:lastRenderedPageBreak/>
        <w:t>ficar disponível mesmo se não for imediatamente realizável n</w:t>
      </w:r>
      <w:r w:rsidR="005A608E" w:rsidRPr="00DE3260">
        <w:rPr>
          <w:sz w:val="24"/>
        </w:rPr>
        <w:t>o final do periodo das demonstrações contábeis</w:t>
      </w:r>
      <w:r w:rsidR="00DF25E0" w:rsidRPr="00DE3260">
        <w:rPr>
          <w:sz w:val="24"/>
        </w:rPr>
        <w:t>.</w:t>
      </w:r>
    </w:p>
    <w:p w:rsidR="00DF25E0" w:rsidRPr="00DE3260" w:rsidRDefault="00DF25E0" w:rsidP="00DE3260">
      <w:pPr>
        <w:spacing w:before="0" w:after="0"/>
        <w:rPr>
          <w:rFonts w:ascii="Times New Roman" w:hAnsi="Times New Roman"/>
          <w:sz w:val="24"/>
        </w:rPr>
      </w:pPr>
    </w:p>
    <w:p w:rsidR="00DF25E0" w:rsidRPr="00791F2B" w:rsidRDefault="00DF25E0" w:rsidP="00791F2B">
      <w:pPr>
        <w:pStyle w:val="IASBNormalnpara"/>
        <w:numPr>
          <w:ilvl w:val="0"/>
          <w:numId w:val="5"/>
        </w:numPr>
        <w:spacing w:before="0"/>
        <w:ind w:left="567" w:hanging="567"/>
        <w:rPr>
          <w:sz w:val="24"/>
          <w:lang w:val="pt-BR"/>
        </w:rPr>
      </w:pPr>
      <w:r w:rsidRPr="00DE3260">
        <w:rPr>
          <w:sz w:val="24"/>
        </w:rPr>
        <w:t xml:space="preserve">O benefício econômico disponível não depende da forma </w:t>
      </w:r>
      <w:proofErr w:type="gramStart"/>
      <w:r w:rsidRPr="00DE3260">
        <w:rPr>
          <w:sz w:val="24"/>
        </w:rPr>
        <w:t>como</w:t>
      </w:r>
      <w:proofErr w:type="gramEnd"/>
      <w:r w:rsidRPr="00DE3260">
        <w:rPr>
          <w:sz w:val="24"/>
        </w:rPr>
        <w:t xml:space="preserve"> a entidade pretende usar o </w:t>
      </w:r>
      <w:r w:rsidRPr="009D50CA">
        <w:rPr>
          <w:i/>
          <w:sz w:val="24"/>
        </w:rPr>
        <w:t>superávit</w:t>
      </w:r>
      <w:r w:rsidRPr="00DE3260">
        <w:rPr>
          <w:sz w:val="24"/>
        </w:rPr>
        <w:t xml:space="preserve">. </w:t>
      </w:r>
      <w:r w:rsidR="00791F2B" w:rsidRPr="00791F2B">
        <w:rPr>
          <w:sz w:val="24"/>
          <w:lang w:val="pt-BR"/>
        </w:rPr>
        <w:t>A</w:t>
      </w:r>
      <w:r w:rsidRPr="00791F2B">
        <w:rPr>
          <w:sz w:val="24"/>
          <w:lang w:val="pt-BR"/>
        </w:rPr>
        <w:t xml:space="preserve"> entidade </w:t>
      </w:r>
      <w:r w:rsidR="00791F2B" w:rsidRPr="00791F2B">
        <w:rPr>
          <w:sz w:val="24"/>
          <w:lang w:val="pt-BR"/>
        </w:rPr>
        <w:t xml:space="preserve">deve </w:t>
      </w:r>
      <w:r w:rsidRPr="00791F2B">
        <w:rPr>
          <w:sz w:val="24"/>
          <w:lang w:val="pt-BR"/>
        </w:rPr>
        <w:t xml:space="preserve">determinar o benefício econômico máximo que ficará </w:t>
      </w:r>
      <w:proofErr w:type="gramStart"/>
      <w:r w:rsidRPr="00791F2B">
        <w:rPr>
          <w:sz w:val="24"/>
          <w:lang w:val="pt-BR"/>
        </w:rPr>
        <w:t>disponível a partir das restituições, reduções</w:t>
      </w:r>
      <w:proofErr w:type="gramEnd"/>
      <w:r w:rsidRPr="00791F2B">
        <w:rPr>
          <w:sz w:val="24"/>
          <w:lang w:val="pt-BR"/>
        </w:rPr>
        <w:t xml:space="preserve"> nas contribuições futuras ou a combinação de ambas. </w:t>
      </w:r>
      <w:r w:rsidR="00791F2B">
        <w:rPr>
          <w:sz w:val="24"/>
          <w:lang w:val="pt-BR"/>
        </w:rPr>
        <w:t xml:space="preserve">A </w:t>
      </w:r>
      <w:r w:rsidRPr="00791F2B">
        <w:rPr>
          <w:sz w:val="24"/>
          <w:lang w:val="pt-BR"/>
        </w:rPr>
        <w:t xml:space="preserve">entidade não </w:t>
      </w:r>
      <w:r w:rsidR="00791F2B">
        <w:rPr>
          <w:sz w:val="24"/>
          <w:lang w:val="pt-BR"/>
        </w:rPr>
        <w:t>deve reconhecer</w:t>
      </w:r>
      <w:r w:rsidRPr="00791F2B">
        <w:rPr>
          <w:sz w:val="24"/>
          <w:lang w:val="pt-BR"/>
        </w:rPr>
        <w:t xml:space="preserve"> benefícios econômicos de combinação de restituições e reduções nas contribuições futuras com base nas premissas que forem mutuamente exclusivas.</w:t>
      </w:r>
    </w:p>
    <w:p w:rsidR="005A608E" w:rsidRPr="00DE3260" w:rsidRDefault="005A608E" w:rsidP="00DE3260">
      <w:pPr>
        <w:pStyle w:val="PargrafodaLista"/>
        <w:spacing w:before="0" w:after="0"/>
        <w:contextualSpacing w:val="0"/>
        <w:rPr>
          <w:rFonts w:ascii="Times New Roman" w:hAnsi="Times New Roman"/>
          <w:sz w:val="24"/>
        </w:rPr>
      </w:pPr>
    </w:p>
    <w:p w:rsidR="00D42FCB" w:rsidRPr="00DE3260" w:rsidRDefault="00DF25E0" w:rsidP="00791F2B">
      <w:pPr>
        <w:pStyle w:val="IASBNormalnpara"/>
        <w:numPr>
          <w:ilvl w:val="0"/>
          <w:numId w:val="5"/>
        </w:numPr>
        <w:spacing w:before="0"/>
        <w:ind w:left="567" w:hanging="567"/>
        <w:rPr>
          <w:sz w:val="24"/>
          <w:lang w:val="pt-BR"/>
        </w:rPr>
      </w:pPr>
      <w:r w:rsidRPr="00256E72">
        <w:rPr>
          <w:sz w:val="24"/>
          <w:lang w:val="pt-BR"/>
        </w:rPr>
        <w:t xml:space="preserve">De acordo com o Pronunciamento Técnico CPC 26 – Apresentação das Demonstrações Contábeis, a entidade </w:t>
      </w:r>
      <w:r w:rsidR="00256E72" w:rsidRPr="00256E72">
        <w:rPr>
          <w:sz w:val="24"/>
          <w:lang w:val="pt-BR"/>
        </w:rPr>
        <w:t xml:space="preserve">deve </w:t>
      </w:r>
      <w:r w:rsidRPr="00256E72">
        <w:rPr>
          <w:sz w:val="24"/>
          <w:lang w:val="pt-BR"/>
        </w:rPr>
        <w:t xml:space="preserve">divulgar informações sobre as principais fontes de incerteza na estimativa </w:t>
      </w:r>
      <w:r w:rsidR="00256E72">
        <w:rPr>
          <w:sz w:val="24"/>
          <w:lang w:val="pt-BR"/>
        </w:rPr>
        <w:t>ao final do perí</w:t>
      </w:r>
      <w:r w:rsidR="00D42FCB" w:rsidRPr="00256E72">
        <w:rPr>
          <w:sz w:val="24"/>
          <w:lang w:val="pt-BR"/>
        </w:rPr>
        <w:t xml:space="preserve">odo </w:t>
      </w:r>
      <w:r w:rsidRPr="00256E72">
        <w:rPr>
          <w:sz w:val="24"/>
          <w:lang w:val="pt-BR"/>
        </w:rPr>
        <w:t xml:space="preserve">das demonstrações contábeis que tenham risco significativo de causar um ajuste relevante no valor contábil do ativo ou passivo líquido reconhecido no balanço patrimonial. </w:t>
      </w:r>
      <w:proofErr w:type="spellStart"/>
      <w:r w:rsidRPr="00DE3260">
        <w:rPr>
          <w:sz w:val="24"/>
        </w:rPr>
        <w:t>Isso</w:t>
      </w:r>
      <w:proofErr w:type="spellEnd"/>
      <w:r w:rsidRPr="00DE3260">
        <w:rPr>
          <w:sz w:val="24"/>
        </w:rPr>
        <w:t xml:space="preserve"> </w:t>
      </w:r>
      <w:proofErr w:type="spellStart"/>
      <w:r w:rsidRPr="00DE3260">
        <w:rPr>
          <w:sz w:val="24"/>
        </w:rPr>
        <w:t>poderia</w:t>
      </w:r>
      <w:proofErr w:type="spellEnd"/>
      <w:r w:rsidRPr="00DE3260">
        <w:rPr>
          <w:sz w:val="24"/>
        </w:rPr>
        <w:t xml:space="preserve"> </w:t>
      </w:r>
      <w:proofErr w:type="spellStart"/>
      <w:r w:rsidRPr="00DE3260">
        <w:rPr>
          <w:sz w:val="24"/>
        </w:rPr>
        <w:t>incluir</w:t>
      </w:r>
      <w:proofErr w:type="spellEnd"/>
      <w:r w:rsidRPr="00DE3260">
        <w:rPr>
          <w:sz w:val="24"/>
        </w:rPr>
        <w:t xml:space="preserve"> a divulgação de quaisquer restrições sobre </w:t>
      </w:r>
      <w:proofErr w:type="gramStart"/>
      <w:r w:rsidRPr="00DE3260">
        <w:rPr>
          <w:sz w:val="24"/>
        </w:rPr>
        <w:t>a</w:t>
      </w:r>
      <w:proofErr w:type="gramEnd"/>
      <w:r w:rsidRPr="00DE3260">
        <w:rPr>
          <w:sz w:val="24"/>
        </w:rPr>
        <w:t xml:space="preserve"> atual capacidade de realização do </w:t>
      </w:r>
      <w:r w:rsidRPr="00256E72">
        <w:rPr>
          <w:i/>
          <w:sz w:val="24"/>
        </w:rPr>
        <w:t>superávit</w:t>
      </w:r>
      <w:r w:rsidRPr="00DE3260">
        <w:rPr>
          <w:i/>
          <w:sz w:val="24"/>
        </w:rPr>
        <w:t xml:space="preserve"> </w:t>
      </w:r>
      <w:r w:rsidRPr="00DE3260">
        <w:rPr>
          <w:sz w:val="24"/>
        </w:rPr>
        <w:t>ou a divulgação da base utilizada para determinar o valor do benefício econômico disponível.</w:t>
      </w:r>
      <w:r w:rsidR="00D42FCB" w:rsidRPr="00DE3260">
        <w:rPr>
          <w:rStyle w:val="tw4winMark"/>
          <w:rFonts w:ascii="Times New Roman" w:hAnsi="Times New Roman"/>
          <w:sz w:val="24"/>
          <w:lang w:val="pt-BR"/>
        </w:rPr>
        <w:t>&lt;0}</w:t>
      </w:r>
    </w:p>
    <w:p w:rsidR="00DF25E0" w:rsidRPr="00DE3260" w:rsidRDefault="00DF25E0" w:rsidP="00DE3260">
      <w:pPr>
        <w:spacing w:before="0" w:after="0"/>
        <w:rPr>
          <w:rFonts w:ascii="Times New Roman" w:hAnsi="Times New Roman"/>
          <w:b/>
          <w:sz w:val="24"/>
          <w:lang w:val="pt-BR"/>
        </w:rPr>
      </w:pPr>
    </w:p>
    <w:p w:rsidR="00DF25E0" w:rsidRPr="00DE3260" w:rsidRDefault="00256E72" w:rsidP="00DE3260">
      <w:pPr>
        <w:spacing w:before="0" w:after="0"/>
        <w:rPr>
          <w:rFonts w:ascii="Times New Roman" w:hAnsi="Times New Roman"/>
          <w:b/>
          <w:sz w:val="24"/>
        </w:rPr>
      </w:pPr>
      <w:r>
        <w:rPr>
          <w:rFonts w:ascii="Times New Roman" w:hAnsi="Times New Roman"/>
          <w:b/>
          <w:sz w:val="24"/>
        </w:rPr>
        <w:t>B</w:t>
      </w:r>
      <w:r w:rsidR="00DF25E0" w:rsidRPr="00DE3260">
        <w:rPr>
          <w:rFonts w:ascii="Times New Roman" w:hAnsi="Times New Roman"/>
          <w:b/>
          <w:sz w:val="24"/>
        </w:rPr>
        <w:t>enefício econômico disponível como restituição</w:t>
      </w:r>
    </w:p>
    <w:p w:rsidR="00DF25E0" w:rsidRPr="00DE3260" w:rsidRDefault="00DF25E0" w:rsidP="00DE3260">
      <w:pPr>
        <w:pStyle w:val="Estilo4"/>
        <w:spacing w:before="0" w:after="0"/>
        <w:rPr>
          <w:rFonts w:ascii="Times New Roman" w:hAnsi="Times New Roman"/>
          <w:sz w:val="24"/>
          <w:szCs w:val="24"/>
        </w:rPr>
      </w:pPr>
    </w:p>
    <w:p w:rsidR="00DF25E0" w:rsidRPr="00DE3260" w:rsidRDefault="00256E72" w:rsidP="00256E72">
      <w:pPr>
        <w:pStyle w:val="Estilo4"/>
        <w:spacing w:before="0" w:after="0"/>
        <w:ind w:left="567"/>
        <w:rPr>
          <w:rFonts w:ascii="Times New Roman" w:hAnsi="Times New Roman"/>
          <w:sz w:val="24"/>
          <w:szCs w:val="24"/>
        </w:rPr>
      </w:pPr>
      <w:r>
        <w:rPr>
          <w:rFonts w:ascii="Times New Roman" w:hAnsi="Times New Roman"/>
          <w:sz w:val="24"/>
          <w:szCs w:val="24"/>
        </w:rPr>
        <w:t>D</w:t>
      </w:r>
      <w:r w:rsidR="00DF25E0" w:rsidRPr="00DE3260">
        <w:rPr>
          <w:rFonts w:ascii="Times New Roman" w:hAnsi="Times New Roman"/>
          <w:sz w:val="24"/>
          <w:szCs w:val="24"/>
        </w:rPr>
        <w:t>ireito a uma restituição</w:t>
      </w:r>
    </w:p>
    <w:p w:rsidR="00DF25E0" w:rsidRPr="00DE3260" w:rsidRDefault="00DF25E0" w:rsidP="00DE3260">
      <w:pPr>
        <w:pStyle w:val="Estilo4"/>
        <w:spacing w:before="0" w:after="0"/>
        <w:rPr>
          <w:rFonts w:ascii="Times New Roman" w:hAnsi="Times New Roman"/>
          <w:sz w:val="24"/>
          <w:szCs w:val="24"/>
        </w:rPr>
      </w:pPr>
    </w:p>
    <w:p w:rsidR="00DF25E0" w:rsidRPr="00DE3260" w:rsidRDefault="00DF25E0" w:rsidP="00256E72">
      <w:pPr>
        <w:pStyle w:val="IASBNormalnpara"/>
        <w:numPr>
          <w:ilvl w:val="0"/>
          <w:numId w:val="5"/>
        </w:numPr>
        <w:spacing w:before="0" w:after="120"/>
        <w:ind w:left="567" w:hanging="567"/>
        <w:rPr>
          <w:sz w:val="24"/>
        </w:rPr>
      </w:pPr>
      <w:r w:rsidRPr="00DE3260">
        <w:rPr>
          <w:sz w:val="24"/>
        </w:rPr>
        <w:t>Uma restituição está disponível à entidade somente se a entidade tiver um direito incondicional a essa restituição:</w:t>
      </w:r>
    </w:p>
    <w:p w:rsidR="00DF25E0" w:rsidRPr="00DE3260" w:rsidRDefault="00DF25E0" w:rsidP="00256E72">
      <w:pPr>
        <w:numPr>
          <w:ilvl w:val="1"/>
          <w:numId w:val="2"/>
        </w:numPr>
        <w:tabs>
          <w:tab w:val="clear" w:pos="1134"/>
        </w:tabs>
        <w:spacing w:before="0"/>
        <w:ind w:left="993" w:hanging="426"/>
        <w:rPr>
          <w:rFonts w:ascii="Times New Roman" w:hAnsi="Times New Roman"/>
          <w:sz w:val="24"/>
        </w:rPr>
      </w:pPr>
      <w:r w:rsidRPr="00DE3260">
        <w:rPr>
          <w:rFonts w:ascii="Times New Roman" w:hAnsi="Times New Roman"/>
          <w:sz w:val="24"/>
        </w:rPr>
        <w:t>durante a vigência do plano, sem assumir que os passivos do plano devem ser liquidados para obter a restituição (por exemplo, em algumas jurisdições, a entidade pode ter um direito a uma restituição durante a vigência do plano, independente de os passivos do plano serem liquidados); ou</w:t>
      </w:r>
    </w:p>
    <w:p w:rsidR="00DF25E0" w:rsidRPr="00DE3260" w:rsidRDefault="00DF25E0" w:rsidP="00256E72">
      <w:pPr>
        <w:numPr>
          <w:ilvl w:val="1"/>
          <w:numId w:val="2"/>
        </w:numPr>
        <w:tabs>
          <w:tab w:val="clear" w:pos="1134"/>
        </w:tabs>
        <w:spacing w:before="0"/>
        <w:ind w:left="993" w:hanging="426"/>
        <w:rPr>
          <w:rFonts w:ascii="Times New Roman" w:hAnsi="Times New Roman"/>
          <w:sz w:val="24"/>
        </w:rPr>
      </w:pPr>
      <w:r w:rsidRPr="00DE3260">
        <w:rPr>
          <w:rFonts w:ascii="Times New Roman" w:hAnsi="Times New Roman"/>
          <w:sz w:val="24"/>
        </w:rPr>
        <w:t>assumindo a liquidação gradual dos passivos do plano ao longo do tempo, até que todos os membros tenham deixado o plano; ou</w:t>
      </w:r>
    </w:p>
    <w:p w:rsidR="00DF25E0" w:rsidRPr="00DE3260" w:rsidRDefault="00DF25E0" w:rsidP="00256E72">
      <w:pPr>
        <w:numPr>
          <w:ilvl w:val="1"/>
          <w:numId w:val="2"/>
        </w:numPr>
        <w:tabs>
          <w:tab w:val="clear" w:pos="1134"/>
        </w:tabs>
        <w:spacing w:before="0"/>
        <w:ind w:left="993" w:hanging="426"/>
        <w:rPr>
          <w:rFonts w:ascii="Times New Roman" w:hAnsi="Times New Roman"/>
          <w:sz w:val="24"/>
        </w:rPr>
      </w:pPr>
      <w:r w:rsidRPr="00DE3260">
        <w:rPr>
          <w:rFonts w:ascii="Times New Roman" w:hAnsi="Times New Roman"/>
          <w:sz w:val="24"/>
        </w:rPr>
        <w:t xml:space="preserve">assumindo a liquidação plena dos passivos do plano em um único evento (ou seja, como encerramento do plano). </w:t>
      </w:r>
    </w:p>
    <w:p w:rsidR="00DF25E0" w:rsidRPr="00DE3260" w:rsidRDefault="00DF25E0" w:rsidP="00256E72">
      <w:pPr>
        <w:spacing w:before="0" w:after="0"/>
        <w:ind w:left="567"/>
        <w:rPr>
          <w:rFonts w:ascii="Times New Roman" w:hAnsi="Times New Roman"/>
          <w:sz w:val="24"/>
        </w:rPr>
      </w:pPr>
      <w:r w:rsidRPr="00DE3260">
        <w:rPr>
          <w:rFonts w:ascii="Times New Roman" w:hAnsi="Times New Roman"/>
          <w:sz w:val="24"/>
        </w:rPr>
        <w:t xml:space="preserve">Um direito incondicional a uma restituição pode existir qualquer que seja o nível de </w:t>
      </w:r>
      <w:r w:rsidR="00E61348" w:rsidRPr="00DE3260">
        <w:rPr>
          <w:rFonts w:ascii="Times New Roman" w:hAnsi="Times New Roman"/>
          <w:sz w:val="24"/>
        </w:rPr>
        <w:t>custeio (</w:t>
      </w:r>
      <w:r w:rsidR="00E61348" w:rsidRPr="00256E72">
        <w:rPr>
          <w:rFonts w:ascii="Times New Roman" w:hAnsi="Times New Roman"/>
          <w:i/>
          <w:sz w:val="24"/>
        </w:rPr>
        <w:t>funding</w:t>
      </w:r>
      <w:r w:rsidR="00E61348" w:rsidRPr="00DE3260">
        <w:rPr>
          <w:rFonts w:ascii="Times New Roman" w:hAnsi="Times New Roman"/>
          <w:sz w:val="24"/>
        </w:rPr>
        <w:t>)</w:t>
      </w:r>
      <w:r w:rsidRPr="00DE3260">
        <w:rPr>
          <w:rFonts w:ascii="Times New Roman" w:hAnsi="Times New Roman"/>
          <w:sz w:val="24"/>
        </w:rPr>
        <w:t xml:space="preserve"> de um plano </w:t>
      </w:r>
      <w:r w:rsidR="00D42FCB" w:rsidRPr="00DE3260">
        <w:rPr>
          <w:rFonts w:ascii="Times New Roman" w:hAnsi="Times New Roman"/>
          <w:sz w:val="24"/>
        </w:rPr>
        <w:t>no final do período das demonstrações contábeis</w:t>
      </w:r>
      <w:r w:rsidRPr="00DE3260">
        <w:rPr>
          <w:rFonts w:ascii="Times New Roman" w:hAnsi="Times New Roman"/>
          <w:sz w:val="24"/>
        </w:rPr>
        <w:t>.</w:t>
      </w:r>
    </w:p>
    <w:p w:rsidR="00DF25E0" w:rsidRPr="00DE3260" w:rsidRDefault="00DF25E0" w:rsidP="00DE3260">
      <w:pPr>
        <w:spacing w:before="0" w:after="0"/>
        <w:rPr>
          <w:rFonts w:ascii="Times New Roman" w:hAnsi="Times New Roman"/>
          <w:sz w:val="24"/>
        </w:rPr>
      </w:pPr>
    </w:p>
    <w:p w:rsidR="00DF25E0" w:rsidRPr="00256E72" w:rsidRDefault="00DF25E0" w:rsidP="00791F2B">
      <w:pPr>
        <w:pStyle w:val="IASBNormalnpara"/>
        <w:numPr>
          <w:ilvl w:val="0"/>
          <w:numId w:val="5"/>
        </w:numPr>
        <w:spacing w:before="0"/>
        <w:ind w:left="567" w:hanging="567"/>
        <w:rPr>
          <w:sz w:val="24"/>
          <w:lang w:val="pt-BR"/>
        </w:rPr>
      </w:pPr>
      <w:r w:rsidRPr="00256E72">
        <w:rPr>
          <w:sz w:val="24"/>
          <w:lang w:val="pt-BR"/>
        </w:rPr>
        <w:t xml:space="preserve">Se o direito da entidade a uma restituição de </w:t>
      </w:r>
      <w:r w:rsidRPr="00256E72">
        <w:rPr>
          <w:i/>
          <w:sz w:val="24"/>
          <w:lang w:val="pt-BR"/>
        </w:rPr>
        <w:t>superávit</w:t>
      </w:r>
      <w:r w:rsidRPr="00256E72">
        <w:rPr>
          <w:sz w:val="24"/>
          <w:lang w:val="pt-BR"/>
        </w:rPr>
        <w:t xml:space="preserve"> depender da ocorrência ou não</w:t>
      </w:r>
      <w:r w:rsidR="00256E72">
        <w:rPr>
          <w:sz w:val="24"/>
          <w:lang w:val="pt-BR"/>
        </w:rPr>
        <w:t xml:space="preserve"> </w:t>
      </w:r>
      <w:r w:rsidRPr="00256E72">
        <w:rPr>
          <w:sz w:val="24"/>
          <w:lang w:val="pt-BR"/>
        </w:rPr>
        <w:t xml:space="preserve">ocorrência de um ou mais eventos futuros incertos não totalmente dentro do seu controle, a entidade não tem um direito incondicional e não </w:t>
      </w:r>
      <w:r w:rsidR="00256E72">
        <w:rPr>
          <w:sz w:val="24"/>
          <w:lang w:val="pt-BR"/>
        </w:rPr>
        <w:t xml:space="preserve">deve </w:t>
      </w:r>
      <w:r w:rsidRPr="00256E72">
        <w:rPr>
          <w:sz w:val="24"/>
          <w:lang w:val="pt-BR"/>
        </w:rPr>
        <w:t>reconhecer o ativo.</w:t>
      </w:r>
    </w:p>
    <w:p w:rsidR="00DF25E0" w:rsidRPr="00DE3260" w:rsidRDefault="00DF25E0" w:rsidP="00DE3260">
      <w:pPr>
        <w:pStyle w:val="Estilo4"/>
        <w:spacing w:before="0" w:after="0"/>
        <w:rPr>
          <w:rFonts w:ascii="Times New Roman" w:hAnsi="Times New Roman"/>
          <w:sz w:val="24"/>
          <w:szCs w:val="24"/>
        </w:rPr>
      </w:pPr>
    </w:p>
    <w:p w:rsidR="00DF25E0" w:rsidRPr="00DE3260" w:rsidRDefault="00DF25E0" w:rsidP="00256E72">
      <w:pPr>
        <w:pStyle w:val="Estilo4"/>
        <w:spacing w:before="0" w:after="0"/>
        <w:ind w:left="567"/>
        <w:rPr>
          <w:rFonts w:ascii="Times New Roman" w:hAnsi="Times New Roman"/>
          <w:sz w:val="24"/>
          <w:szCs w:val="24"/>
        </w:rPr>
      </w:pPr>
      <w:r w:rsidRPr="00DE3260">
        <w:rPr>
          <w:rFonts w:ascii="Times New Roman" w:hAnsi="Times New Roman"/>
          <w:sz w:val="24"/>
          <w:szCs w:val="24"/>
        </w:rPr>
        <w:t>Mensuração do benefício econômico</w:t>
      </w:r>
    </w:p>
    <w:p w:rsidR="00DF25E0" w:rsidRPr="00DE3260" w:rsidRDefault="00DF25E0" w:rsidP="00DE3260">
      <w:pPr>
        <w:spacing w:before="0" w:after="0"/>
        <w:rPr>
          <w:rFonts w:ascii="Times New Roman" w:hAnsi="Times New Roman"/>
          <w:sz w:val="24"/>
        </w:rPr>
      </w:pPr>
    </w:p>
    <w:p w:rsidR="00DF25E0" w:rsidRPr="00256E72" w:rsidRDefault="00DF25E0" w:rsidP="00791F2B">
      <w:pPr>
        <w:pStyle w:val="IASBNormalnpara"/>
        <w:numPr>
          <w:ilvl w:val="0"/>
          <w:numId w:val="5"/>
        </w:numPr>
        <w:spacing w:before="0"/>
        <w:ind w:left="567" w:hanging="567"/>
        <w:rPr>
          <w:sz w:val="24"/>
          <w:lang w:val="pt-BR"/>
        </w:rPr>
      </w:pPr>
      <w:r w:rsidRPr="00256E72">
        <w:rPr>
          <w:sz w:val="24"/>
          <w:lang w:val="pt-BR"/>
        </w:rPr>
        <w:t xml:space="preserve">A entidade </w:t>
      </w:r>
      <w:r w:rsidR="00256E72" w:rsidRPr="00256E72">
        <w:rPr>
          <w:sz w:val="24"/>
          <w:lang w:val="pt-BR"/>
        </w:rPr>
        <w:t xml:space="preserve">deve </w:t>
      </w:r>
      <w:r w:rsidRPr="00256E72">
        <w:rPr>
          <w:sz w:val="24"/>
          <w:lang w:val="pt-BR"/>
        </w:rPr>
        <w:t xml:space="preserve">mensurar o benefício econômico disponível como restituição como o valor do </w:t>
      </w:r>
      <w:r w:rsidRPr="00256E72">
        <w:rPr>
          <w:i/>
          <w:sz w:val="24"/>
          <w:lang w:val="pt-BR"/>
        </w:rPr>
        <w:t>superávit</w:t>
      </w:r>
      <w:r w:rsidRPr="00256E72">
        <w:rPr>
          <w:sz w:val="24"/>
          <w:lang w:val="pt-BR"/>
        </w:rPr>
        <w:t xml:space="preserve"> n</w:t>
      </w:r>
      <w:r w:rsidR="00D42FCB" w:rsidRPr="00256E72">
        <w:rPr>
          <w:sz w:val="24"/>
          <w:lang w:val="pt-BR"/>
        </w:rPr>
        <w:t>o final do período</w:t>
      </w:r>
      <w:r w:rsidRPr="00256E72">
        <w:rPr>
          <w:sz w:val="24"/>
          <w:lang w:val="pt-BR"/>
        </w:rPr>
        <w:t xml:space="preserve"> das demonstrações contábeis (sendo o valor justo dos ativos do plano menos o valor presente da obrigação de benefício definido) que a entidade tem direito de receber como restituição, menos quaisquer </w:t>
      </w:r>
      <w:r w:rsidR="00D42FCB" w:rsidRPr="00256E72">
        <w:rPr>
          <w:sz w:val="24"/>
          <w:lang w:val="pt-BR"/>
        </w:rPr>
        <w:t>custos</w:t>
      </w:r>
      <w:r w:rsidRPr="00256E72">
        <w:rPr>
          <w:sz w:val="24"/>
          <w:lang w:val="pt-BR"/>
        </w:rPr>
        <w:t xml:space="preserve"> </w:t>
      </w:r>
      <w:r w:rsidR="00D42FCB" w:rsidRPr="00256E72">
        <w:rPr>
          <w:sz w:val="24"/>
          <w:lang w:val="pt-BR"/>
        </w:rPr>
        <w:t>associado</w:t>
      </w:r>
      <w:r w:rsidRPr="00256E72">
        <w:rPr>
          <w:sz w:val="24"/>
          <w:lang w:val="pt-BR"/>
        </w:rPr>
        <w:t xml:space="preserve">s. Por exemplo, se a restituição estiver sujeita a imposto que não seja o imposto sobre a renda, a entidade </w:t>
      </w:r>
      <w:r w:rsidR="00256E72" w:rsidRPr="00256E72">
        <w:rPr>
          <w:sz w:val="24"/>
          <w:lang w:val="pt-BR"/>
        </w:rPr>
        <w:t xml:space="preserve">deve </w:t>
      </w:r>
      <w:r w:rsidRPr="00256E72">
        <w:rPr>
          <w:sz w:val="24"/>
          <w:lang w:val="pt-BR"/>
        </w:rPr>
        <w:t>mensurar o valor da restituição líquida do imposto.</w:t>
      </w:r>
    </w:p>
    <w:p w:rsidR="00DF25E0" w:rsidRPr="00DE3260" w:rsidRDefault="00DF25E0" w:rsidP="00DE3260">
      <w:pPr>
        <w:spacing w:before="0" w:after="0"/>
        <w:rPr>
          <w:rFonts w:ascii="Times New Roman" w:hAnsi="Times New Roman"/>
          <w:sz w:val="24"/>
        </w:rPr>
      </w:pPr>
    </w:p>
    <w:p w:rsidR="00DF25E0" w:rsidRPr="00256E72" w:rsidRDefault="00DF25E0" w:rsidP="00791F2B">
      <w:pPr>
        <w:pStyle w:val="IASBNormalnpara"/>
        <w:numPr>
          <w:ilvl w:val="0"/>
          <w:numId w:val="5"/>
        </w:numPr>
        <w:spacing w:before="0"/>
        <w:ind w:left="567" w:hanging="567"/>
        <w:rPr>
          <w:sz w:val="24"/>
          <w:lang w:val="pt-BR"/>
        </w:rPr>
      </w:pPr>
      <w:r w:rsidRPr="00791F2B">
        <w:rPr>
          <w:sz w:val="24"/>
          <w:szCs w:val="24"/>
          <w:lang w:val="pt-PT" w:eastAsia="pt-BR"/>
        </w:rPr>
        <w:lastRenderedPageBreak/>
        <w:t>Ao</w:t>
      </w:r>
      <w:r w:rsidRPr="00256E72">
        <w:rPr>
          <w:sz w:val="24"/>
          <w:lang w:val="pt-BR"/>
        </w:rPr>
        <w:t xml:space="preserve"> mensurar o valor da restituição disponível no encerramento do plano (item 11(c)), a entidade </w:t>
      </w:r>
      <w:r w:rsidR="00256E72" w:rsidRPr="00256E72">
        <w:rPr>
          <w:sz w:val="24"/>
          <w:lang w:val="pt-BR"/>
        </w:rPr>
        <w:t xml:space="preserve">deve </w:t>
      </w:r>
      <w:r w:rsidRPr="00256E72">
        <w:rPr>
          <w:sz w:val="24"/>
          <w:lang w:val="pt-BR"/>
        </w:rPr>
        <w:t xml:space="preserve">incluir os custos para o plano da liquidação dos passivos do plano e da restituição. Por exemplo, a entidade </w:t>
      </w:r>
      <w:r w:rsidR="00256E72" w:rsidRPr="00256E72">
        <w:rPr>
          <w:sz w:val="24"/>
          <w:lang w:val="pt-BR"/>
        </w:rPr>
        <w:t xml:space="preserve">deve </w:t>
      </w:r>
      <w:r w:rsidRPr="00256E72">
        <w:rPr>
          <w:sz w:val="24"/>
          <w:lang w:val="pt-BR"/>
        </w:rPr>
        <w:t>deduzir honorá</w:t>
      </w:r>
      <w:r w:rsidR="002E0FF4" w:rsidRPr="00256E72">
        <w:rPr>
          <w:sz w:val="24"/>
          <w:lang w:val="pt-BR"/>
        </w:rPr>
        <w:t>rios profissionais se el</w:t>
      </w:r>
      <w:r w:rsidRPr="00256E72">
        <w:rPr>
          <w:sz w:val="24"/>
          <w:lang w:val="pt-BR"/>
        </w:rPr>
        <w:t xml:space="preserve">es forem pagos pelo plano em vez de serem pagos pela entidade, e os custos de quaisquer prêmios de seguro que possam ser necessários para garantir o passivo no encerramento. </w:t>
      </w:r>
    </w:p>
    <w:p w:rsidR="00DF25E0" w:rsidRPr="00DE3260" w:rsidRDefault="00DF25E0" w:rsidP="00DE3260">
      <w:pPr>
        <w:spacing w:before="0" w:after="0"/>
        <w:rPr>
          <w:rFonts w:ascii="Times New Roman" w:hAnsi="Times New Roman"/>
          <w:sz w:val="24"/>
        </w:rPr>
      </w:pPr>
    </w:p>
    <w:p w:rsidR="00DF25E0" w:rsidRPr="00256E72" w:rsidRDefault="00DF25E0" w:rsidP="00791F2B">
      <w:pPr>
        <w:pStyle w:val="IASBNormalnpara"/>
        <w:numPr>
          <w:ilvl w:val="0"/>
          <w:numId w:val="5"/>
        </w:numPr>
        <w:spacing w:before="0"/>
        <w:ind w:left="567" w:hanging="567"/>
        <w:rPr>
          <w:sz w:val="24"/>
          <w:lang w:val="pt-BR"/>
        </w:rPr>
      </w:pPr>
      <w:r w:rsidRPr="00256E72">
        <w:rPr>
          <w:sz w:val="24"/>
          <w:lang w:val="pt-BR"/>
        </w:rPr>
        <w:t xml:space="preserve">Se o valor da restituição for determinado como o valor total ou uma proporção do </w:t>
      </w:r>
      <w:r w:rsidRPr="00256E72">
        <w:rPr>
          <w:i/>
          <w:sz w:val="24"/>
          <w:szCs w:val="24"/>
          <w:lang w:val="pt-PT" w:eastAsia="pt-BR"/>
        </w:rPr>
        <w:t>superávit</w:t>
      </w:r>
      <w:r w:rsidRPr="00256E72">
        <w:rPr>
          <w:sz w:val="24"/>
          <w:lang w:val="pt-BR"/>
        </w:rPr>
        <w:t xml:space="preserve">, em vez de um valor fixo, a entidade não fará nenhum ajuste do valor temporal do dinheiro, mesmo se a restituição for realizável somente em data futura. </w:t>
      </w:r>
    </w:p>
    <w:p w:rsidR="00DF25E0" w:rsidRPr="00DE3260" w:rsidRDefault="00DF25E0" w:rsidP="00DE3260">
      <w:pPr>
        <w:pStyle w:val="Estilo4"/>
        <w:spacing w:before="0" w:after="0"/>
        <w:rPr>
          <w:rFonts w:ascii="Times New Roman" w:hAnsi="Times New Roman"/>
          <w:sz w:val="24"/>
          <w:szCs w:val="24"/>
        </w:rPr>
      </w:pPr>
    </w:p>
    <w:p w:rsidR="00DF25E0" w:rsidRPr="00DE3260" w:rsidRDefault="00256E72" w:rsidP="00256E72">
      <w:pPr>
        <w:pStyle w:val="Estilo4"/>
        <w:spacing w:before="0" w:after="0"/>
        <w:ind w:left="567"/>
        <w:rPr>
          <w:rFonts w:ascii="Times New Roman" w:hAnsi="Times New Roman"/>
          <w:sz w:val="24"/>
          <w:szCs w:val="24"/>
        </w:rPr>
      </w:pPr>
      <w:r>
        <w:rPr>
          <w:rFonts w:ascii="Times New Roman" w:hAnsi="Times New Roman"/>
          <w:sz w:val="24"/>
          <w:szCs w:val="24"/>
        </w:rPr>
        <w:t>B</w:t>
      </w:r>
      <w:r w:rsidR="00DF25E0" w:rsidRPr="00DE3260">
        <w:rPr>
          <w:rFonts w:ascii="Times New Roman" w:hAnsi="Times New Roman"/>
          <w:sz w:val="24"/>
          <w:szCs w:val="24"/>
        </w:rPr>
        <w:t>enefício econômico disponível como redução na contribuição</w:t>
      </w:r>
    </w:p>
    <w:p w:rsidR="00DF25E0" w:rsidRPr="00DE3260" w:rsidRDefault="00DF25E0" w:rsidP="00DE3260">
      <w:pPr>
        <w:spacing w:before="0" w:after="0"/>
        <w:rPr>
          <w:rFonts w:ascii="Times New Roman" w:hAnsi="Times New Roman"/>
          <w:sz w:val="24"/>
        </w:rPr>
      </w:pPr>
    </w:p>
    <w:p w:rsidR="00DF25E0" w:rsidRPr="00DE3260" w:rsidRDefault="002E1354" w:rsidP="00791F2B">
      <w:pPr>
        <w:pStyle w:val="IASBNormalnpara"/>
        <w:numPr>
          <w:ilvl w:val="0"/>
          <w:numId w:val="5"/>
        </w:numPr>
        <w:spacing w:before="0"/>
        <w:ind w:left="567" w:hanging="567"/>
        <w:rPr>
          <w:sz w:val="24"/>
        </w:rPr>
      </w:pPr>
      <w:r w:rsidRPr="00791F2B">
        <w:rPr>
          <w:sz w:val="24"/>
          <w:szCs w:val="24"/>
          <w:lang w:val="pt-PT" w:eastAsia="pt-BR"/>
        </w:rPr>
        <w:t>Se</w:t>
      </w:r>
      <w:r w:rsidRPr="003B7A87">
        <w:rPr>
          <w:sz w:val="24"/>
          <w:lang w:val="pt-BR"/>
        </w:rPr>
        <w:t xml:space="preserve"> não houver requisito de </w:t>
      </w:r>
      <w:r w:rsidR="00E61348" w:rsidRPr="003B7A87">
        <w:rPr>
          <w:sz w:val="24"/>
          <w:lang w:val="pt-BR"/>
        </w:rPr>
        <w:t>custeio (</w:t>
      </w:r>
      <w:proofErr w:type="spellStart"/>
      <w:r w:rsidR="00E61348" w:rsidRPr="003B7A87">
        <w:rPr>
          <w:i/>
          <w:sz w:val="24"/>
          <w:lang w:val="pt-BR"/>
        </w:rPr>
        <w:t>funding</w:t>
      </w:r>
      <w:proofErr w:type="spellEnd"/>
      <w:r w:rsidR="00E61348" w:rsidRPr="003B7A87">
        <w:rPr>
          <w:sz w:val="24"/>
          <w:lang w:val="pt-BR"/>
        </w:rPr>
        <w:t>)</w:t>
      </w:r>
      <w:r w:rsidRPr="003B7A87">
        <w:rPr>
          <w:sz w:val="24"/>
          <w:lang w:val="pt-BR"/>
        </w:rPr>
        <w:t xml:space="preserve"> mínimo para contribuições relativas a serviço futuro, o benefício econômico disponível como redução em contribuições futuras é o custo de serviço futuro para a entidade para cada período ao longo do que for mais curto entre a vida esperada do plano e a vida esperada da entidade.</w:t>
      </w:r>
      <w:r w:rsidRPr="003B7A87">
        <w:rPr>
          <w:vanish/>
          <w:sz w:val="24"/>
          <w:lang w:val="pt-BR"/>
        </w:rPr>
        <w:t>&lt;0}</w:t>
      </w:r>
      <w:r w:rsidRPr="003B7A87">
        <w:rPr>
          <w:sz w:val="24"/>
          <w:lang w:val="pt-BR"/>
        </w:rPr>
        <w:t xml:space="preserve"> </w:t>
      </w:r>
      <w:r w:rsidRPr="003B7A87">
        <w:rPr>
          <w:vanish/>
          <w:sz w:val="24"/>
          <w:lang w:val="pt-BR"/>
        </w:rPr>
        <w:t>{0&gt;&lt;}100{&gt;</w:t>
      </w:r>
      <w:r w:rsidRPr="00DE3260">
        <w:rPr>
          <w:sz w:val="24"/>
        </w:rPr>
        <w:t xml:space="preserve">O </w:t>
      </w:r>
      <w:proofErr w:type="spellStart"/>
      <w:r w:rsidRPr="00DE3260">
        <w:rPr>
          <w:sz w:val="24"/>
        </w:rPr>
        <w:t>custo</w:t>
      </w:r>
      <w:proofErr w:type="spellEnd"/>
      <w:r w:rsidRPr="00DE3260">
        <w:rPr>
          <w:sz w:val="24"/>
        </w:rPr>
        <w:t xml:space="preserve"> de </w:t>
      </w:r>
      <w:proofErr w:type="spellStart"/>
      <w:r w:rsidRPr="00DE3260">
        <w:rPr>
          <w:sz w:val="24"/>
        </w:rPr>
        <w:t>serviço</w:t>
      </w:r>
      <w:proofErr w:type="spellEnd"/>
      <w:r w:rsidRPr="00DE3260">
        <w:rPr>
          <w:sz w:val="24"/>
        </w:rPr>
        <w:t xml:space="preserve"> futuro para </w:t>
      </w:r>
      <w:proofErr w:type="gramStart"/>
      <w:r w:rsidRPr="00DE3260">
        <w:rPr>
          <w:sz w:val="24"/>
        </w:rPr>
        <w:t>a</w:t>
      </w:r>
      <w:proofErr w:type="gramEnd"/>
      <w:r w:rsidRPr="00DE3260">
        <w:rPr>
          <w:sz w:val="24"/>
        </w:rPr>
        <w:t xml:space="preserve"> entidade não inclui valores que serão assumidos pelos empregados.</w:t>
      </w:r>
    </w:p>
    <w:p w:rsidR="002E1354" w:rsidRPr="00DE3260" w:rsidRDefault="002E1354" w:rsidP="00DE3260">
      <w:pPr>
        <w:spacing w:before="0" w:after="0"/>
        <w:ind w:left="709"/>
        <w:rPr>
          <w:rFonts w:ascii="Times New Roman" w:hAnsi="Times New Roman"/>
          <w:sz w:val="24"/>
        </w:rPr>
      </w:pPr>
    </w:p>
    <w:p w:rsidR="00DF25E0" w:rsidRPr="003B7A87" w:rsidRDefault="00DF25E0" w:rsidP="00791F2B">
      <w:pPr>
        <w:pStyle w:val="IASBNormalnpara"/>
        <w:numPr>
          <w:ilvl w:val="0"/>
          <w:numId w:val="5"/>
        </w:numPr>
        <w:spacing w:before="0"/>
        <w:ind w:left="567" w:hanging="567"/>
        <w:rPr>
          <w:sz w:val="24"/>
          <w:lang w:val="pt-BR"/>
        </w:rPr>
      </w:pPr>
      <w:r w:rsidRPr="003B7A87">
        <w:rPr>
          <w:sz w:val="24"/>
          <w:lang w:val="pt-BR"/>
        </w:rPr>
        <w:t xml:space="preserve">A entidade </w:t>
      </w:r>
      <w:r w:rsidR="003B7A87" w:rsidRPr="003B7A87">
        <w:rPr>
          <w:sz w:val="24"/>
          <w:lang w:val="pt-BR"/>
        </w:rPr>
        <w:t xml:space="preserve">deve </w:t>
      </w:r>
      <w:r w:rsidRPr="003B7A87">
        <w:rPr>
          <w:sz w:val="24"/>
          <w:lang w:val="pt-BR"/>
        </w:rPr>
        <w:t>determinar os custos de serviço futuro usando premissas consistentes com aquelas usadas para determinar a obrigação de benefício definido e com a situação existente no final do período d</w:t>
      </w:r>
      <w:r w:rsidR="002E1354" w:rsidRPr="003B7A87">
        <w:rPr>
          <w:sz w:val="24"/>
          <w:lang w:val="pt-BR"/>
        </w:rPr>
        <w:t>as demonstrações contábeis</w:t>
      </w:r>
      <w:r w:rsidRPr="003B7A87">
        <w:rPr>
          <w:sz w:val="24"/>
          <w:lang w:val="pt-BR"/>
        </w:rPr>
        <w:t xml:space="preserve">, conforme determinado pelo Pronunciamento Técnico CPC 33. Portanto, a entidade não </w:t>
      </w:r>
      <w:r w:rsidR="003B7A87" w:rsidRPr="003B7A87">
        <w:rPr>
          <w:sz w:val="24"/>
          <w:lang w:val="pt-BR"/>
        </w:rPr>
        <w:t xml:space="preserve">deve </w:t>
      </w:r>
      <w:r w:rsidRPr="003B7A87">
        <w:rPr>
          <w:sz w:val="24"/>
          <w:lang w:val="pt-BR"/>
        </w:rPr>
        <w:t xml:space="preserve">assumir nenhuma mudança nos benefícios a serem fornecidos por um plano no futuro até que o plano seja alterado e </w:t>
      </w:r>
      <w:r w:rsidR="003B7A87">
        <w:rPr>
          <w:sz w:val="24"/>
          <w:lang w:val="pt-BR"/>
        </w:rPr>
        <w:t xml:space="preserve">deve </w:t>
      </w:r>
      <w:r w:rsidRPr="003B7A87">
        <w:rPr>
          <w:sz w:val="24"/>
          <w:lang w:val="pt-BR"/>
        </w:rPr>
        <w:t xml:space="preserve">assumir uma força de trabalho estável no futuro, exceto se a entidade </w:t>
      </w:r>
      <w:r w:rsidR="002E1354" w:rsidRPr="003B7A87">
        <w:rPr>
          <w:sz w:val="24"/>
          <w:lang w:val="pt-BR"/>
        </w:rPr>
        <w:t>fizer uma redução no número de empregados</w:t>
      </w:r>
      <w:r w:rsidRPr="003B7A87">
        <w:rPr>
          <w:sz w:val="24"/>
          <w:lang w:val="pt-BR"/>
        </w:rPr>
        <w:t xml:space="preserve"> cobertos pelo plano. Nesse último caso, </w:t>
      </w:r>
      <w:r w:rsidR="002E1354" w:rsidRPr="003B7A87">
        <w:rPr>
          <w:sz w:val="24"/>
          <w:lang w:val="pt-BR"/>
        </w:rPr>
        <w:t>a suposição</w:t>
      </w:r>
      <w:r w:rsidRPr="003B7A87">
        <w:rPr>
          <w:sz w:val="24"/>
          <w:lang w:val="pt-BR"/>
        </w:rPr>
        <w:t xml:space="preserve"> sobre a força de trabalho futura </w:t>
      </w:r>
      <w:r w:rsidR="003B7A87" w:rsidRPr="003B7A87">
        <w:rPr>
          <w:sz w:val="24"/>
          <w:lang w:val="pt-BR"/>
        </w:rPr>
        <w:t xml:space="preserve">deve </w:t>
      </w:r>
      <w:r w:rsidRPr="003B7A87">
        <w:rPr>
          <w:sz w:val="24"/>
          <w:lang w:val="pt-BR"/>
        </w:rPr>
        <w:t xml:space="preserve">incluir a redução. </w:t>
      </w:r>
    </w:p>
    <w:p w:rsidR="00DF25E0" w:rsidRPr="00DE3260" w:rsidRDefault="00DF25E0" w:rsidP="00DE3260">
      <w:pPr>
        <w:pStyle w:val="Estilo2"/>
        <w:spacing w:before="0" w:line="240" w:lineRule="auto"/>
        <w:rPr>
          <w:rFonts w:ascii="Times New Roman" w:hAnsi="Times New Roman" w:cs="Times New Roman"/>
          <w:sz w:val="24"/>
        </w:rPr>
      </w:pPr>
    </w:p>
    <w:p w:rsidR="00DF25E0" w:rsidRPr="00DE3260" w:rsidRDefault="003B7A87" w:rsidP="003B7A87">
      <w:pPr>
        <w:pStyle w:val="Estilo2"/>
        <w:spacing w:before="0" w:line="240" w:lineRule="auto"/>
        <w:jc w:val="both"/>
        <w:rPr>
          <w:rFonts w:ascii="Times New Roman" w:hAnsi="Times New Roman" w:cs="Times New Roman"/>
          <w:sz w:val="24"/>
        </w:rPr>
      </w:pPr>
      <w:r>
        <w:rPr>
          <w:rFonts w:ascii="Times New Roman" w:hAnsi="Times New Roman" w:cs="Times New Roman"/>
          <w:sz w:val="24"/>
        </w:rPr>
        <w:t>E</w:t>
      </w:r>
      <w:r w:rsidR="00DF25E0" w:rsidRPr="00DE3260">
        <w:rPr>
          <w:rFonts w:ascii="Times New Roman" w:hAnsi="Times New Roman" w:cs="Times New Roman"/>
          <w:sz w:val="24"/>
        </w:rPr>
        <w:t xml:space="preserve">feito de requisito de </w:t>
      </w:r>
      <w:r w:rsidR="00E61348" w:rsidRPr="00DE3260">
        <w:rPr>
          <w:rFonts w:ascii="Times New Roman" w:hAnsi="Times New Roman" w:cs="Times New Roman"/>
          <w:sz w:val="24"/>
        </w:rPr>
        <w:t>custeio (</w:t>
      </w:r>
      <w:proofErr w:type="spellStart"/>
      <w:r w:rsidR="00522639" w:rsidRPr="00522639">
        <w:rPr>
          <w:rFonts w:ascii="Times New Roman" w:hAnsi="Times New Roman" w:cs="Times New Roman"/>
          <w:i/>
          <w:sz w:val="24"/>
        </w:rPr>
        <w:t>funding</w:t>
      </w:r>
      <w:proofErr w:type="spellEnd"/>
      <w:r w:rsidR="00E61348" w:rsidRPr="00DE3260">
        <w:rPr>
          <w:rFonts w:ascii="Times New Roman" w:hAnsi="Times New Roman" w:cs="Times New Roman"/>
          <w:sz w:val="24"/>
        </w:rPr>
        <w:t>)</w:t>
      </w:r>
      <w:r w:rsidR="00DF25E0" w:rsidRPr="00DE3260">
        <w:rPr>
          <w:rFonts w:ascii="Times New Roman" w:hAnsi="Times New Roman" w:cs="Times New Roman"/>
          <w:sz w:val="24"/>
        </w:rPr>
        <w:t xml:space="preserve"> mínimo sobre o benefício econômico disponível como redução nas contribuições futuras</w:t>
      </w:r>
    </w:p>
    <w:p w:rsidR="00DF25E0" w:rsidRPr="00DE3260" w:rsidRDefault="00DF25E0" w:rsidP="00DE3260">
      <w:pPr>
        <w:pStyle w:val="Estilo2"/>
        <w:spacing w:before="0" w:line="240" w:lineRule="auto"/>
        <w:rPr>
          <w:rFonts w:ascii="Times New Roman" w:hAnsi="Times New Roman" w:cs="Times New Roman"/>
          <w:sz w:val="24"/>
        </w:rPr>
      </w:pPr>
    </w:p>
    <w:p w:rsidR="002E1354" w:rsidRPr="003B7A87" w:rsidRDefault="00DF25E0" w:rsidP="00791F2B">
      <w:pPr>
        <w:pStyle w:val="IASBNormalnpara"/>
        <w:numPr>
          <w:ilvl w:val="0"/>
          <w:numId w:val="5"/>
        </w:numPr>
        <w:spacing w:before="0"/>
        <w:ind w:left="567" w:hanging="567"/>
        <w:rPr>
          <w:sz w:val="24"/>
          <w:lang w:val="pt-BR"/>
        </w:rPr>
      </w:pPr>
      <w:r w:rsidRPr="003B7A87">
        <w:rPr>
          <w:sz w:val="24"/>
          <w:lang w:val="pt-BR"/>
        </w:rPr>
        <w:t xml:space="preserve">A entidade </w:t>
      </w:r>
      <w:r w:rsidR="003B7A87" w:rsidRPr="003B7A87">
        <w:rPr>
          <w:sz w:val="24"/>
          <w:lang w:val="pt-BR"/>
        </w:rPr>
        <w:t xml:space="preserve">deve </w:t>
      </w:r>
      <w:r w:rsidRPr="003B7A87">
        <w:rPr>
          <w:sz w:val="24"/>
          <w:lang w:val="pt-BR"/>
        </w:rPr>
        <w:t xml:space="preserve">analisar qualquer requisito de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Pr="003B7A87">
        <w:rPr>
          <w:sz w:val="24"/>
          <w:lang w:val="pt-BR"/>
        </w:rPr>
        <w:t xml:space="preserve"> mínimo em determinada data para as contribuições que sejam necessárias para cobrir (a) qualquer defasagem existente por serviço passado com base no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Pr="003B7A87">
        <w:rPr>
          <w:sz w:val="24"/>
          <w:lang w:val="pt-BR"/>
        </w:rPr>
        <w:t xml:space="preserve"> mínimo e (b</w:t>
      </w:r>
      <w:r w:rsidR="002E1354" w:rsidRPr="003B7A87">
        <w:rPr>
          <w:sz w:val="24"/>
          <w:lang w:val="pt-BR"/>
        </w:rPr>
        <w:t>) serviço futuro</w:t>
      </w:r>
      <w:r w:rsidRPr="003B7A87">
        <w:rPr>
          <w:sz w:val="24"/>
          <w:lang w:val="pt-BR"/>
        </w:rPr>
        <w:t>.</w:t>
      </w:r>
    </w:p>
    <w:p w:rsidR="00DF25E0" w:rsidRPr="00DE3260" w:rsidRDefault="00DF25E0" w:rsidP="00DE3260">
      <w:pPr>
        <w:spacing w:before="0" w:after="0"/>
        <w:ind w:left="720"/>
        <w:rPr>
          <w:rFonts w:ascii="Times New Roman" w:hAnsi="Times New Roman"/>
          <w:sz w:val="24"/>
        </w:rPr>
      </w:pPr>
      <w:r w:rsidRPr="00DE3260">
        <w:rPr>
          <w:rFonts w:ascii="Times New Roman" w:hAnsi="Times New Roman"/>
          <w:sz w:val="24"/>
        </w:rPr>
        <w:t xml:space="preserve"> </w:t>
      </w:r>
    </w:p>
    <w:p w:rsidR="00DF25E0" w:rsidRPr="00DE3260" w:rsidRDefault="00DF25E0" w:rsidP="00791F2B">
      <w:pPr>
        <w:pStyle w:val="IASBNormalnpara"/>
        <w:numPr>
          <w:ilvl w:val="0"/>
          <w:numId w:val="5"/>
        </w:numPr>
        <w:spacing w:before="0"/>
        <w:ind w:left="567" w:hanging="567"/>
        <w:rPr>
          <w:sz w:val="24"/>
        </w:rPr>
      </w:pPr>
      <w:r w:rsidRPr="00DE3260">
        <w:rPr>
          <w:sz w:val="24"/>
        </w:rPr>
        <w:t xml:space="preserve">As contribuições para cobrir qualquer defasagem existente com base no </w:t>
      </w:r>
      <w:r w:rsidR="00E61348" w:rsidRPr="00DE3260">
        <w:rPr>
          <w:sz w:val="24"/>
        </w:rPr>
        <w:t>custeio (</w:t>
      </w:r>
      <w:r w:rsidR="00E61348" w:rsidRPr="003B7A87">
        <w:rPr>
          <w:i/>
          <w:sz w:val="24"/>
        </w:rPr>
        <w:t>funding</w:t>
      </w:r>
      <w:r w:rsidR="00E61348" w:rsidRPr="00DE3260">
        <w:rPr>
          <w:sz w:val="24"/>
        </w:rPr>
        <w:t>)</w:t>
      </w:r>
      <w:r w:rsidRPr="00DE3260">
        <w:rPr>
          <w:sz w:val="24"/>
        </w:rPr>
        <w:t xml:space="preserve"> mínimo em relação aos serviços já recebidos não afetam as contribuições futuras para serviço futuro. Elas podem originar um passivo de acordo com os iten</w:t>
      </w:r>
      <w:r w:rsidR="00EB46CB" w:rsidRPr="00DE3260">
        <w:rPr>
          <w:sz w:val="24"/>
        </w:rPr>
        <w:t xml:space="preserve">s 23 a </w:t>
      </w:r>
      <w:r w:rsidRPr="00DE3260">
        <w:rPr>
          <w:sz w:val="24"/>
        </w:rPr>
        <w:t>26.</w:t>
      </w:r>
    </w:p>
    <w:p w:rsidR="00DF25E0" w:rsidRPr="00DE3260" w:rsidRDefault="00DF25E0" w:rsidP="00DE3260">
      <w:pPr>
        <w:spacing w:before="0" w:after="0"/>
        <w:rPr>
          <w:rFonts w:ascii="Times New Roman" w:hAnsi="Times New Roman"/>
          <w:sz w:val="24"/>
        </w:rPr>
      </w:pPr>
    </w:p>
    <w:p w:rsidR="00DF25E0" w:rsidRPr="003B7A87" w:rsidRDefault="00DF25E0" w:rsidP="003B7A87">
      <w:pPr>
        <w:pStyle w:val="IASBNormalnpara"/>
        <w:numPr>
          <w:ilvl w:val="0"/>
          <w:numId w:val="5"/>
        </w:numPr>
        <w:spacing w:before="0" w:after="120"/>
        <w:ind w:left="567" w:hanging="567"/>
        <w:rPr>
          <w:sz w:val="24"/>
          <w:lang w:val="pt-BR"/>
        </w:rPr>
      </w:pPr>
      <w:r w:rsidRPr="003B7A87">
        <w:rPr>
          <w:sz w:val="24"/>
          <w:lang w:val="pt-BR"/>
        </w:rPr>
        <w:t xml:space="preserve">Se houver requisito de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Pr="003B7A87">
        <w:rPr>
          <w:sz w:val="24"/>
          <w:lang w:val="pt-BR"/>
        </w:rPr>
        <w:t xml:space="preserve"> mínimo </w:t>
      </w:r>
      <w:r w:rsidR="00EB46CB" w:rsidRPr="003B7A87">
        <w:rPr>
          <w:sz w:val="24"/>
          <w:lang w:val="pt-BR"/>
        </w:rPr>
        <w:t>para contribuições relacionadas</w:t>
      </w:r>
      <w:r w:rsidRPr="003B7A87">
        <w:rPr>
          <w:sz w:val="24"/>
          <w:lang w:val="pt-BR"/>
        </w:rPr>
        <w:t xml:space="preserve"> </w:t>
      </w:r>
      <w:r w:rsidR="00EB46CB" w:rsidRPr="003B7A87">
        <w:rPr>
          <w:sz w:val="24"/>
          <w:lang w:val="pt-BR"/>
        </w:rPr>
        <w:t xml:space="preserve">a serviço futuro, o benefício econômico </w:t>
      </w:r>
      <w:r w:rsidRPr="003B7A87">
        <w:rPr>
          <w:sz w:val="24"/>
          <w:lang w:val="pt-BR"/>
        </w:rPr>
        <w:t xml:space="preserve">disponível como redução nas contribuições futuras </w:t>
      </w:r>
      <w:r w:rsidR="00EB46CB" w:rsidRPr="003B7A87">
        <w:rPr>
          <w:sz w:val="24"/>
          <w:lang w:val="pt-BR"/>
        </w:rPr>
        <w:t>é a soma de:</w:t>
      </w:r>
    </w:p>
    <w:p w:rsidR="007154C2" w:rsidRPr="00DE3260" w:rsidRDefault="007154C2" w:rsidP="003B7A87">
      <w:pPr>
        <w:pStyle w:val="IASBNormalnparaL1"/>
        <w:spacing w:before="0" w:after="120"/>
        <w:ind w:left="993" w:hanging="426"/>
        <w:rPr>
          <w:sz w:val="24"/>
          <w:szCs w:val="24"/>
          <w:lang w:val="pt-PT" w:eastAsia="pt-BR"/>
        </w:rPr>
      </w:pPr>
      <w:bookmarkStart w:id="6" w:name="F3902506"/>
      <w:r w:rsidRPr="00DE3260">
        <w:rPr>
          <w:vanish/>
          <w:sz w:val="24"/>
          <w:szCs w:val="24"/>
          <w:lang w:val="pt-PT" w:eastAsia="pt-BR"/>
        </w:rPr>
        <w:t>{0&gt;</w:t>
      </w:r>
      <w:r w:rsidRPr="00DE3260">
        <w:rPr>
          <w:sz w:val="24"/>
          <w:szCs w:val="24"/>
          <w:lang w:val="pt-PT" w:eastAsia="pt-BR"/>
        </w:rPr>
        <w:t xml:space="preserve">(a) </w:t>
      </w:r>
      <w:r w:rsidR="003B7A87">
        <w:rPr>
          <w:sz w:val="24"/>
          <w:szCs w:val="24"/>
          <w:lang w:val="pt-PT" w:eastAsia="pt-BR"/>
        </w:rPr>
        <w:tab/>
      </w:r>
      <w:r w:rsidRPr="00DE3260">
        <w:rPr>
          <w:vanish/>
          <w:sz w:val="24"/>
          <w:szCs w:val="24"/>
          <w:lang w:val="pt-PT" w:eastAsia="pt-BR"/>
        </w:rPr>
        <w:t>&lt;}100{&gt;&lt;}100{&gt;</w:t>
      </w:r>
      <w:r w:rsidRPr="00DE3260">
        <w:rPr>
          <w:sz w:val="24"/>
          <w:szCs w:val="24"/>
          <w:lang w:val="pt-PT" w:eastAsia="pt-BR"/>
        </w:rPr>
        <w:t xml:space="preserve">qualquer valor que reduza as contribuições de requisito de </w:t>
      </w:r>
      <w:r w:rsidR="00E61348" w:rsidRPr="00DE3260">
        <w:rPr>
          <w:sz w:val="24"/>
          <w:szCs w:val="24"/>
          <w:lang w:val="pt-PT" w:eastAsia="pt-BR"/>
        </w:rPr>
        <w:t>custeio (</w:t>
      </w:r>
      <w:proofErr w:type="spellStart"/>
      <w:r w:rsidR="00522639" w:rsidRPr="00522639">
        <w:rPr>
          <w:i/>
          <w:sz w:val="24"/>
          <w:szCs w:val="24"/>
          <w:lang w:val="pt-BR"/>
        </w:rPr>
        <w:t>funding</w:t>
      </w:r>
      <w:proofErr w:type="spellEnd"/>
      <w:r w:rsidR="00E61348" w:rsidRPr="00DE3260">
        <w:rPr>
          <w:sz w:val="24"/>
          <w:szCs w:val="24"/>
          <w:lang w:val="pt-PT" w:eastAsia="pt-BR"/>
        </w:rPr>
        <w:t>)</w:t>
      </w:r>
      <w:r w:rsidRPr="00DE3260">
        <w:rPr>
          <w:sz w:val="24"/>
          <w:szCs w:val="24"/>
          <w:lang w:val="pt-PT" w:eastAsia="pt-BR"/>
        </w:rPr>
        <w:t xml:space="preserve"> mínimo futuro para serviço futuro porque a entidade efetuou um pré-pagamento (ou seja, pagou o valor antes de ser obrigada a fazê-lo); e</w:t>
      </w:r>
      <w:r w:rsidRPr="00DE3260">
        <w:rPr>
          <w:vanish/>
          <w:sz w:val="24"/>
          <w:szCs w:val="24"/>
          <w:lang w:val="pt-PT" w:eastAsia="pt-BR"/>
        </w:rPr>
        <w:t>&lt;0}</w:t>
      </w:r>
    </w:p>
    <w:bookmarkEnd w:id="6"/>
    <w:p w:rsidR="00DF25E0" w:rsidRPr="003B7A87" w:rsidRDefault="007154C2" w:rsidP="003B7A87">
      <w:pPr>
        <w:pStyle w:val="IASBNormalnparaL1"/>
        <w:spacing w:before="0"/>
        <w:ind w:left="993" w:hanging="426"/>
        <w:rPr>
          <w:sz w:val="24"/>
          <w:lang w:val="pt-BR"/>
        </w:rPr>
      </w:pPr>
      <w:r w:rsidRPr="003B7A87">
        <w:rPr>
          <w:vanish/>
          <w:sz w:val="24"/>
          <w:lang w:val="pt-BR"/>
        </w:rPr>
        <w:t>{0&gt;</w:t>
      </w:r>
      <w:r w:rsidRPr="003B7A87">
        <w:rPr>
          <w:sz w:val="24"/>
          <w:lang w:val="pt-BR"/>
        </w:rPr>
        <w:t xml:space="preserve">(b) </w:t>
      </w:r>
      <w:r w:rsidR="003B7A87" w:rsidRPr="003B7A87">
        <w:rPr>
          <w:sz w:val="24"/>
          <w:lang w:val="pt-BR"/>
        </w:rPr>
        <w:tab/>
      </w:r>
      <w:r w:rsidRPr="003B7A87">
        <w:rPr>
          <w:vanish/>
          <w:sz w:val="24"/>
          <w:lang w:val="pt-BR"/>
        </w:rPr>
        <w:t>&lt;}100{&gt; &lt;}100{&gt;</w:t>
      </w:r>
      <w:r w:rsidRPr="003B7A87">
        <w:rPr>
          <w:sz w:val="24"/>
          <w:lang w:val="pt-BR"/>
        </w:rPr>
        <w:t xml:space="preserve">o custo do serviço futuro estimado em cada período de acordo com os </w:t>
      </w:r>
      <w:r w:rsidR="003B7A87">
        <w:rPr>
          <w:sz w:val="24"/>
          <w:lang w:val="pt-BR"/>
        </w:rPr>
        <w:t>i</w:t>
      </w:r>
      <w:r w:rsidRPr="003B7A87">
        <w:rPr>
          <w:sz w:val="24"/>
          <w:lang w:val="pt-BR"/>
        </w:rPr>
        <w:t xml:space="preserve">tens 16 e 17, menos as contribuições de requisito de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Pr="003B7A87">
        <w:rPr>
          <w:sz w:val="24"/>
          <w:lang w:val="pt-BR"/>
        </w:rPr>
        <w:t xml:space="preserve"> mínimo estimado que </w:t>
      </w:r>
      <w:proofErr w:type="gramStart"/>
      <w:r w:rsidRPr="003B7A87">
        <w:rPr>
          <w:sz w:val="24"/>
          <w:lang w:val="pt-BR"/>
        </w:rPr>
        <w:t>seriam</w:t>
      </w:r>
      <w:proofErr w:type="gramEnd"/>
      <w:r w:rsidRPr="003B7A87">
        <w:rPr>
          <w:sz w:val="24"/>
          <w:lang w:val="pt-BR"/>
        </w:rPr>
        <w:t xml:space="preserve"> exigidas para serviço futuro nesses períodos se não houvesse pré-pagamento, conforme descrito no item (a).</w:t>
      </w:r>
    </w:p>
    <w:p w:rsidR="007154C2" w:rsidRPr="00DE3260" w:rsidRDefault="007154C2" w:rsidP="00DE3260">
      <w:pPr>
        <w:spacing w:before="0" w:after="0"/>
        <w:ind w:left="709"/>
        <w:rPr>
          <w:rFonts w:ascii="Times New Roman" w:hAnsi="Times New Roman"/>
          <w:sz w:val="24"/>
        </w:rPr>
      </w:pPr>
    </w:p>
    <w:p w:rsidR="00DF25E0" w:rsidRPr="003B7A87" w:rsidRDefault="00DF25E0" w:rsidP="00791F2B">
      <w:pPr>
        <w:pStyle w:val="IASBNormalnpara"/>
        <w:numPr>
          <w:ilvl w:val="0"/>
          <w:numId w:val="5"/>
        </w:numPr>
        <w:spacing w:before="0"/>
        <w:ind w:left="567" w:hanging="567"/>
        <w:rPr>
          <w:sz w:val="24"/>
          <w:lang w:val="pt-BR"/>
        </w:rPr>
      </w:pPr>
      <w:r w:rsidRPr="003B7A87">
        <w:rPr>
          <w:sz w:val="24"/>
          <w:lang w:val="pt-BR"/>
        </w:rPr>
        <w:lastRenderedPageBreak/>
        <w:t xml:space="preserve">A entidade </w:t>
      </w:r>
      <w:r w:rsidR="003B7A87" w:rsidRPr="003B7A87">
        <w:rPr>
          <w:sz w:val="24"/>
          <w:lang w:val="pt-BR"/>
        </w:rPr>
        <w:t xml:space="preserve">deve </w:t>
      </w:r>
      <w:r w:rsidR="007154C2" w:rsidRPr="003B7A87">
        <w:rPr>
          <w:sz w:val="24"/>
          <w:lang w:val="pt-BR"/>
        </w:rPr>
        <w:t>estimar as</w:t>
      </w:r>
      <w:r w:rsidRPr="003B7A87">
        <w:rPr>
          <w:sz w:val="24"/>
          <w:lang w:val="pt-BR"/>
        </w:rPr>
        <w:t xml:space="preserve"> contribuições </w:t>
      </w:r>
      <w:r w:rsidR="007154C2" w:rsidRPr="003B7A87">
        <w:rPr>
          <w:sz w:val="24"/>
          <w:lang w:val="pt-BR"/>
        </w:rPr>
        <w:t xml:space="preserve">referentes a um requisito </w:t>
      </w:r>
      <w:r w:rsidRPr="003B7A87">
        <w:rPr>
          <w:sz w:val="24"/>
          <w:lang w:val="pt-BR"/>
        </w:rPr>
        <w:t xml:space="preserve">de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Pr="003B7A87">
        <w:rPr>
          <w:sz w:val="24"/>
          <w:lang w:val="pt-BR"/>
        </w:rPr>
        <w:t xml:space="preserve"> </w:t>
      </w:r>
      <w:r w:rsidR="007154C2" w:rsidRPr="003B7A87">
        <w:rPr>
          <w:sz w:val="24"/>
          <w:lang w:val="pt-BR"/>
        </w:rPr>
        <w:t xml:space="preserve">mínimo para serviço futuro </w:t>
      </w:r>
      <w:r w:rsidRPr="003B7A87">
        <w:rPr>
          <w:sz w:val="24"/>
          <w:lang w:val="pt-BR"/>
        </w:rPr>
        <w:t xml:space="preserve">levando em </w:t>
      </w:r>
      <w:r w:rsidR="007154C2" w:rsidRPr="003B7A87">
        <w:rPr>
          <w:sz w:val="24"/>
          <w:lang w:val="pt-BR"/>
        </w:rPr>
        <w:t>conta</w:t>
      </w:r>
      <w:r w:rsidRPr="003B7A87">
        <w:rPr>
          <w:sz w:val="24"/>
          <w:lang w:val="pt-BR"/>
        </w:rPr>
        <w:t xml:space="preserve"> o efeito de qualquer </w:t>
      </w:r>
      <w:r w:rsidRPr="003B7A87">
        <w:rPr>
          <w:i/>
          <w:sz w:val="24"/>
          <w:lang w:val="pt-BR"/>
        </w:rPr>
        <w:t>superávit</w:t>
      </w:r>
      <w:r w:rsidRPr="003B7A87">
        <w:rPr>
          <w:sz w:val="24"/>
          <w:lang w:val="pt-BR"/>
        </w:rPr>
        <w:t xml:space="preserve"> existente </w:t>
      </w:r>
      <w:r w:rsidR="007154C2" w:rsidRPr="003B7A87">
        <w:rPr>
          <w:sz w:val="24"/>
          <w:lang w:val="pt-BR"/>
        </w:rPr>
        <w:t>determinado utilizando-se a</w:t>
      </w:r>
      <w:r w:rsidRPr="003B7A87">
        <w:rPr>
          <w:sz w:val="24"/>
          <w:lang w:val="pt-BR"/>
        </w:rPr>
        <w:t xml:space="preserve"> base de </w:t>
      </w:r>
      <w:r w:rsidR="00E61348" w:rsidRPr="003B7A87">
        <w:rPr>
          <w:sz w:val="24"/>
          <w:lang w:val="pt-BR"/>
        </w:rPr>
        <w:t>custeio (</w:t>
      </w:r>
      <w:proofErr w:type="spellStart"/>
      <w:r w:rsidR="00E61348" w:rsidRPr="003B7A87">
        <w:rPr>
          <w:i/>
          <w:sz w:val="24"/>
          <w:lang w:val="pt-BR"/>
        </w:rPr>
        <w:t>funding</w:t>
      </w:r>
      <w:proofErr w:type="spellEnd"/>
      <w:r w:rsidR="00E61348" w:rsidRPr="003B7A87">
        <w:rPr>
          <w:sz w:val="24"/>
          <w:lang w:val="pt-BR"/>
        </w:rPr>
        <w:t>)</w:t>
      </w:r>
      <w:r w:rsidRPr="003B7A87">
        <w:rPr>
          <w:sz w:val="24"/>
          <w:lang w:val="pt-BR"/>
        </w:rPr>
        <w:t xml:space="preserve"> mínimo</w:t>
      </w:r>
      <w:r w:rsidR="007154C2" w:rsidRPr="003B7A87">
        <w:rPr>
          <w:sz w:val="24"/>
          <w:lang w:val="pt-BR"/>
        </w:rPr>
        <w:t xml:space="preserve">, mas excluindo o pré-pagamento descrito no item 20(a). </w:t>
      </w:r>
      <w:r w:rsidRPr="003B7A87">
        <w:rPr>
          <w:sz w:val="24"/>
          <w:lang w:val="pt-BR"/>
        </w:rPr>
        <w:t xml:space="preserve">A entidade </w:t>
      </w:r>
      <w:r w:rsidR="003B7A87" w:rsidRPr="003B7A87">
        <w:rPr>
          <w:sz w:val="24"/>
          <w:lang w:val="pt-BR"/>
        </w:rPr>
        <w:t xml:space="preserve">deve </w:t>
      </w:r>
      <w:r w:rsidRPr="003B7A87">
        <w:rPr>
          <w:sz w:val="24"/>
          <w:lang w:val="pt-BR"/>
        </w:rPr>
        <w:t xml:space="preserve">usar premissas </w:t>
      </w:r>
      <w:r w:rsidR="007154C2" w:rsidRPr="003B7A87">
        <w:rPr>
          <w:sz w:val="24"/>
          <w:lang w:val="pt-BR"/>
        </w:rPr>
        <w:t xml:space="preserve">consistentes com a base </w:t>
      </w:r>
      <w:r w:rsidRPr="003B7A87">
        <w:rPr>
          <w:sz w:val="24"/>
          <w:lang w:val="pt-BR"/>
        </w:rPr>
        <w:t xml:space="preserve">de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Pr="003B7A87">
        <w:rPr>
          <w:sz w:val="24"/>
          <w:lang w:val="pt-BR"/>
        </w:rPr>
        <w:t xml:space="preserve"> mínimo e, para quaisquer fatores não especificados </w:t>
      </w:r>
      <w:r w:rsidR="007154C2" w:rsidRPr="003B7A87">
        <w:rPr>
          <w:sz w:val="24"/>
          <w:lang w:val="pt-BR"/>
        </w:rPr>
        <w:t xml:space="preserve">por essa base, </w:t>
      </w:r>
      <w:r w:rsidRPr="003B7A87">
        <w:rPr>
          <w:sz w:val="24"/>
          <w:lang w:val="pt-BR"/>
        </w:rPr>
        <w:t>premissas consistentes com aquelas u</w:t>
      </w:r>
      <w:r w:rsidR="000B1EDD" w:rsidRPr="003B7A87">
        <w:rPr>
          <w:sz w:val="24"/>
          <w:lang w:val="pt-BR"/>
        </w:rPr>
        <w:t>tiliz</w:t>
      </w:r>
      <w:r w:rsidRPr="003B7A87">
        <w:rPr>
          <w:sz w:val="24"/>
          <w:lang w:val="pt-BR"/>
        </w:rPr>
        <w:t xml:space="preserve">adas para determinar a obrigação de benefício definido e com a situação existente no final do período </w:t>
      </w:r>
      <w:r w:rsidR="000B1EDD" w:rsidRPr="003B7A87">
        <w:rPr>
          <w:sz w:val="24"/>
          <w:lang w:val="pt-BR"/>
        </w:rPr>
        <w:t>das demonstrações contábeis</w:t>
      </w:r>
      <w:r w:rsidRPr="003B7A87">
        <w:rPr>
          <w:sz w:val="24"/>
          <w:lang w:val="pt-BR"/>
        </w:rPr>
        <w:t xml:space="preserve">, conforme determinado pelo Pronunciamento Técnico CPC 33. </w:t>
      </w:r>
      <w:r w:rsidR="000B1EDD" w:rsidRPr="003B7A87">
        <w:rPr>
          <w:sz w:val="24"/>
          <w:lang w:val="pt-BR"/>
        </w:rPr>
        <w:t>A estimativa</w:t>
      </w:r>
      <w:r w:rsidRPr="003B7A87">
        <w:rPr>
          <w:sz w:val="24"/>
          <w:lang w:val="pt-BR"/>
        </w:rPr>
        <w:t xml:space="preserve"> </w:t>
      </w:r>
      <w:r w:rsidR="003B7A87" w:rsidRPr="003B7A87">
        <w:rPr>
          <w:sz w:val="24"/>
          <w:lang w:val="pt-BR"/>
        </w:rPr>
        <w:t xml:space="preserve">deve </w:t>
      </w:r>
      <w:r w:rsidRPr="003B7A87">
        <w:rPr>
          <w:sz w:val="24"/>
          <w:lang w:val="pt-BR"/>
        </w:rPr>
        <w:t>incluir quais</w:t>
      </w:r>
      <w:r w:rsidR="000B1EDD" w:rsidRPr="003B7A87">
        <w:rPr>
          <w:sz w:val="24"/>
          <w:lang w:val="pt-BR"/>
        </w:rPr>
        <w:t xml:space="preserve">quer mudanças previstas como </w:t>
      </w:r>
      <w:r w:rsidRPr="003B7A87">
        <w:rPr>
          <w:sz w:val="24"/>
          <w:lang w:val="pt-BR"/>
        </w:rPr>
        <w:t xml:space="preserve">resultado do pagamento pela entidade das contribuições mínimas </w:t>
      </w:r>
      <w:r w:rsidR="000B1EDD" w:rsidRPr="003B7A87">
        <w:rPr>
          <w:sz w:val="24"/>
          <w:lang w:val="pt-BR"/>
        </w:rPr>
        <w:t xml:space="preserve">quando forem </w:t>
      </w:r>
      <w:r w:rsidRPr="003B7A87">
        <w:rPr>
          <w:sz w:val="24"/>
          <w:lang w:val="pt-BR"/>
        </w:rPr>
        <w:t xml:space="preserve">devidas. Contudo, </w:t>
      </w:r>
      <w:r w:rsidR="000B1EDD" w:rsidRPr="003B7A87">
        <w:rPr>
          <w:sz w:val="24"/>
          <w:lang w:val="pt-BR"/>
        </w:rPr>
        <w:t>a estimativa</w:t>
      </w:r>
      <w:r w:rsidRPr="003B7A87">
        <w:rPr>
          <w:sz w:val="24"/>
          <w:lang w:val="pt-BR"/>
        </w:rPr>
        <w:t xml:space="preserve"> não </w:t>
      </w:r>
      <w:r w:rsidR="003B7A87" w:rsidRPr="003B7A87">
        <w:rPr>
          <w:sz w:val="24"/>
          <w:lang w:val="pt-BR"/>
        </w:rPr>
        <w:t xml:space="preserve">deve </w:t>
      </w:r>
      <w:r w:rsidRPr="003B7A87">
        <w:rPr>
          <w:sz w:val="24"/>
          <w:lang w:val="pt-BR"/>
        </w:rPr>
        <w:t xml:space="preserve">incluir o efeito das mudanças esperadas nos termos e condições </w:t>
      </w:r>
      <w:r w:rsidR="000B1EDD" w:rsidRPr="003B7A87">
        <w:rPr>
          <w:sz w:val="24"/>
          <w:lang w:val="pt-BR"/>
        </w:rPr>
        <w:t xml:space="preserve">da base </w:t>
      </w:r>
      <w:r w:rsidRPr="003B7A87">
        <w:rPr>
          <w:sz w:val="24"/>
          <w:lang w:val="pt-BR"/>
        </w:rPr>
        <w:t xml:space="preserve">de </w:t>
      </w:r>
      <w:r w:rsidR="00E61348" w:rsidRPr="003B7A87">
        <w:rPr>
          <w:sz w:val="24"/>
          <w:lang w:val="pt-BR"/>
        </w:rPr>
        <w:t>custeio (</w:t>
      </w:r>
      <w:proofErr w:type="spellStart"/>
      <w:r w:rsidR="00E61348" w:rsidRPr="003B7A87">
        <w:rPr>
          <w:i/>
          <w:sz w:val="24"/>
          <w:lang w:val="pt-BR"/>
        </w:rPr>
        <w:t>funding</w:t>
      </w:r>
      <w:proofErr w:type="spellEnd"/>
      <w:r w:rsidR="00E61348" w:rsidRPr="003B7A87">
        <w:rPr>
          <w:sz w:val="24"/>
          <w:lang w:val="pt-BR"/>
        </w:rPr>
        <w:t>)</w:t>
      </w:r>
      <w:r w:rsidRPr="003B7A87">
        <w:rPr>
          <w:sz w:val="24"/>
          <w:lang w:val="pt-BR"/>
        </w:rPr>
        <w:t xml:space="preserve"> mínimo que não estiverem substantivamente promulgadas ou contratualmente pactuadas no final do período </w:t>
      </w:r>
      <w:r w:rsidR="000B1EDD" w:rsidRPr="003B7A87">
        <w:rPr>
          <w:sz w:val="24"/>
          <w:lang w:val="pt-BR"/>
        </w:rPr>
        <w:t>das demonstrações contábeis</w:t>
      </w:r>
      <w:r w:rsidRPr="003B7A87">
        <w:rPr>
          <w:sz w:val="24"/>
          <w:lang w:val="pt-BR"/>
        </w:rPr>
        <w:t>.</w:t>
      </w:r>
    </w:p>
    <w:p w:rsidR="00DF25E0" w:rsidRPr="00DE3260" w:rsidRDefault="00DF25E0" w:rsidP="00DE3260">
      <w:pPr>
        <w:spacing w:before="0" w:after="0"/>
        <w:rPr>
          <w:rFonts w:ascii="Times New Roman" w:hAnsi="Times New Roman"/>
          <w:sz w:val="24"/>
        </w:rPr>
      </w:pPr>
    </w:p>
    <w:p w:rsidR="00DF25E0" w:rsidRPr="003B7A87" w:rsidRDefault="000B1EDD" w:rsidP="00791F2B">
      <w:pPr>
        <w:pStyle w:val="IASBNormalnpara"/>
        <w:numPr>
          <w:ilvl w:val="0"/>
          <w:numId w:val="5"/>
        </w:numPr>
        <w:spacing w:before="0"/>
        <w:ind w:left="567" w:hanging="567"/>
        <w:rPr>
          <w:sz w:val="24"/>
          <w:lang w:val="pt-BR"/>
        </w:rPr>
      </w:pPr>
      <w:r w:rsidRPr="003B7A87">
        <w:rPr>
          <w:sz w:val="24"/>
          <w:lang w:val="pt-BR"/>
        </w:rPr>
        <w:t xml:space="preserve">Quando a entidade determina o valor descrito no </w:t>
      </w:r>
      <w:r w:rsidR="003B7A87" w:rsidRPr="003B7A87">
        <w:rPr>
          <w:sz w:val="24"/>
          <w:lang w:val="pt-BR"/>
        </w:rPr>
        <w:t>i</w:t>
      </w:r>
      <w:r w:rsidRPr="003B7A87">
        <w:rPr>
          <w:sz w:val="24"/>
          <w:lang w:val="pt-BR"/>
        </w:rPr>
        <w:t>tem 20(b), s</w:t>
      </w:r>
      <w:r w:rsidR="00DF25E0" w:rsidRPr="003B7A87">
        <w:rPr>
          <w:sz w:val="24"/>
          <w:lang w:val="pt-BR"/>
        </w:rPr>
        <w:t>e a</w:t>
      </w:r>
      <w:r w:rsidRPr="003B7A87">
        <w:rPr>
          <w:sz w:val="24"/>
          <w:lang w:val="pt-BR"/>
        </w:rPr>
        <w:t>s contribuições</w:t>
      </w:r>
      <w:r w:rsidR="00DF25E0" w:rsidRPr="003B7A87">
        <w:rPr>
          <w:sz w:val="24"/>
          <w:lang w:val="pt-BR"/>
        </w:rPr>
        <w:t xml:space="preserve"> futura</w:t>
      </w:r>
      <w:r w:rsidRPr="003B7A87">
        <w:rPr>
          <w:sz w:val="24"/>
          <w:lang w:val="pt-BR"/>
        </w:rPr>
        <w:t>s</w:t>
      </w:r>
      <w:r w:rsidR="00DF25E0" w:rsidRPr="003B7A87">
        <w:rPr>
          <w:sz w:val="24"/>
          <w:lang w:val="pt-BR"/>
        </w:rPr>
        <w:t xml:space="preserve"> </w:t>
      </w:r>
      <w:r w:rsidRPr="003B7A87">
        <w:rPr>
          <w:sz w:val="24"/>
          <w:lang w:val="pt-BR"/>
        </w:rPr>
        <w:t xml:space="preserve">referentes a um requisito de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00DF25E0" w:rsidRPr="003B7A87">
        <w:rPr>
          <w:sz w:val="24"/>
          <w:lang w:val="pt-BR"/>
        </w:rPr>
        <w:t xml:space="preserve"> </w:t>
      </w:r>
      <w:r w:rsidRPr="003B7A87">
        <w:rPr>
          <w:sz w:val="24"/>
          <w:lang w:val="pt-BR"/>
        </w:rPr>
        <w:t xml:space="preserve">mínimo para serviço futuro excederem o </w:t>
      </w:r>
      <w:r w:rsidR="00DF25E0" w:rsidRPr="003B7A87">
        <w:rPr>
          <w:sz w:val="24"/>
          <w:lang w:val="pt-BR"/>
        </w:rPr>
        <w:t xml:space="preserve">custo de serviço futuro </w:t>
      </w:r>
      <w:r w:rsidRPr="003B7A87">
        <w:rPr>
          <w:sz w:val="24"/>
          <w:lang w:val="pt-BR"/>
        </w:rPr>
        <w:t>de acordo com o</w:t>
      </w:r>
      <w:r w:rsidR="00DF25E0" w:rsidRPr="003B7A87">
        <w:rPr>
          <w:sz w:val="24"/>
          <w:lang w:val="pt-BR"/>
        </w:rPr>
        <w:t xml:space="preserve"> Pronunciamento Técnico CPC 33 em </w:t>
      </w:r>
      <w:r w:rsidRPr="003B7A87">
        <w:rPr>
          <w:sz w:val="24"/>
          <w:lang w:val="pt-BR"/>
        </w:rPr>
        <w:t xml:space="preserve">dado período, esse excedente </w:t>
      </w:r>
      <w:r w:rsidR="003B7A87">
        <w:rPr>
          <w:sz w:val="24"/>
          <w:lang w:val="pt-BR"/>
        </w:rPr>
        <w:t xml:space="preserve">deve </w:t>
      </w:r>
      <w:r w:rsidRPr="003B7A87">
        <w:rPr>
          <w:sz w:val="24"/>
          <w:lang w:val="pt-BR"/>
        </w:rPr>
        <w:t xml:space="preserve">reduzir </w:t>
      </w:r>
      <w:r w:rsidR="00DF25E0" w:rsidRPr="003B7A87">
        <w:rPr>
          <w:sz w:val="24"/>
          <w:lang w:val="pt-BR"/>
        </w:rPr>
        <w:t xml:space="preserve">o valor </w:t>
      </w:r>
      <w:r w:rsidRPr="003B7A87">
        <w:rPr>
          <w:sz w:val="24"/>
          <w:lang w:val="pt-BR"/>
        </w:rPr>
        <w:t xml:space="preserve">do benefício econômico disponível como redução em </w:t>
      </w:r>
      <w:r w:rsidR="00DF25E0" w:rsidRPr="003B7A87">
        <w:rPr>
          <w:sz w:val="24"/>
          <w:lang w:val="pt-BR"/>
        </w:rPr>
        <w:t>contribuições futuras</w:t>
      </w:r>
      <w:r w:rsidRPr="003B7A87">
        <w:rPr>
          <w:sz w:val="24"/>
          <w:lang w:val="pt-BR"/>
        </w:rPr>
        <w:t>. Contudo</w:t>
      </w:r>
      <w:r w:rsidR="00DF25E0" w:rsidRPr="003B7A87">
        <w:rPr>
          <w:sz w:val="24"/>
          <w:lang w:val="pt-BR"/>
        </w:rPr>
        <w:t xml:space="preserve">, o valor </w:t>
      </w:r>
      <w:r w:rsidRPr="003B7A87">
        <w:rPr>
          <w:sz w:val="24"/>
          <w:lang w:val="pt-BR"/>
        </w:rPr>
        <w:t xml:space="preserve">descrito no item 20(b) </w:t>
      </w:r>
      <w:r w:rsidR="00DF25E0" w:rsidRPr="003B7A87">
        <w:rPr>
          <w:sz w:val="24"/>
          <w:lang w:val="pt-BR"/>
        </w:rPr>
        <w:t xml:space="preserve">nunca pode ser inferior </w:t>
      </w:r>
      <w:proofErr w:type="gramStart"/>
      <w:r w:rsidR="00DF25E0" w:rsidRPr="003B7A87">
        <w:rPr>
          <w:sz w:val="24"/>
          <w:lang w:val="pt-BR"/>
        </w:rPr>
        <w:t>a</w:t>
      </w:r>
      <w:proofErr w:type="gramEnd"/>
      <w:r w:rsidR="00DF25E0" w:rsidRPr="003B7A87">
        <w:rPr>
          <w:sz w:val="24"/>
          <w:lang w:val="pt-BR"/>
        </w:rPr>
        <w:t xml:space="preserve"> zero.</w:t>
      </w:r>
    </w:p>
    <w:p w:rsidR="00DF25E0" w:rsidRPr="00DE3260" w:rsidRDefault="00DF25E0" w:rsidP="00DE3260">
      <w:pPr>
        <w:pStyle w:val="Estilo2"/>
        <w:spacing w:before="0" w:line="240" w:lineRule="auto"/>
        <w:rPr>
          <w:rFonts w:ascii="Times New Roman" w:hAnsi="Times New Roman" w:cs="Times New Roman"/>
          <w:sz w:val="24"/>
          <w:lang w:val="pt-PT"/>
        </w:rPr>
      </w:pPr>
    </w:p>
    <w:p w:rsidR="00DF25E0" w:rsidRPr="00DE3260" w:rsidRDefault="00DF25E0" w:rsidP="00DE3260">
      <w:pPr>
        <w:pStyle w:val="Estilo2"/>
        <w:spacing w:before="0" w:line="240" w:lineRule="auto"/>
        <w:rPr>
          <w:rFonts w:ascii="Times New Roman" w:hAnsi="Times New Roman" w:cs="Times New Roman"/>
          <w:sz w:val="24"/>
        </w:rPr>
      </w:pPr>
      <w:r w:rsidRPr="00DE3260">
        <w:rPr>
          <w:rFonts w:ascii="Times New Roman" w:hAnsi="Times New Roman" w:cs="Times New Roman"/>
          <w:sz w:val="24"/>
        </w:rPr>
        <w:t xml:space="preserve">Quando um requisito de </w:t>
      </w:r>
      <w:r w:rsidR="00E61348" w:rsidRPr="00DE3260">
        <w:rPr>
          <w:rFonts w:ascii="Times New Roman" w:hAnsi="Times New Roman" w:cs="Times New Roman"/>
          <w:sz w:val="24"/>
        </w:rPr>
        <w:t>custeio (</w:t>
      </w:r>
      <w:proofErr w:type="spellStart"/>
      <w:r w:rsidR="00522639" w:rsidRPr="00522639">
        <w:rPr>
          <w:rFonts w:ascii="Times New Roman" w:hAnsi="Times New Roman" w:cs="Times New Roman"/>
          <w:i/>
          <w:sz w:val="24"/>
        </w:rPr>
        <w:t>funding</w:t>
      </w:r>
      <w:proofErr w:type="spellEnd"/>
      <w:r w:rsidR="00E61348" w:rsidRPr="00DE3260">
        <w:rPr>
          <w:rFonts w:ascii="Times New Roman" w:hAnsi="Times New Roman" w:cs="Times New Roman"/>
          <w:sz w:val="24"/>
        </w:rPr>
        <w:t>)</w:t>
      </w:r>
      <w:r w:rsidRPr="00DE3260">
        <w:rPr>
          <w:rFonts w:ascii="Times New Roman" w:hAnsi="Times New Roman" w:cs="Times New Roman"/>
          <w:sz w:val="24"/>
        </w:rPr>
        <w:t xml:space="preserve"> mínimo pode originar um passivo</w:t>
      </w:r>
    </w:p>
    <w:p w:rsidR="00DF25E0" w:rsidRPr="00DE3260" w:rsidRDefault="00DF25E0" w:rsidP="00DE3260">
      <w:pPr>
        <w:spacing w:before="0" w:after="0"/>
        <w:rPr>
          <w:rFonts w:ascii="Times New Roman" w:hAnsi="Times New Roman"/>
          <w:sz w:val="24"/>
        </w:rPr>
      </w:pPr>
    </w:p>
    <w:p w:rsidR="00DF25E0" w:rsidRPr="003B7A87" w:rsidRDefault="00DF25E0" w:rsidP="00791F2B">
      <w:pPr>
        <w:pStyle w:val="IASBNormalnpara"/>
        <w:numPr>
          <w:ilvl w:val="0"/>
          <w:numId w:val="5"/>
        </w:numPr>
        <w:spacing w:before="0"/>
        <w:ind w:left="567" w:hanging="567"/>
        <w:rPr>
          <w:sz w:val="24"/>
          <w:lang w:val="pt-BR"/>
        </w:rPr>
      </w:pPr>
      <w:r w:rsidRPr="003B7A87">
        <w:rPr>
          <w:sz w:val="24"/>
          <w:lang w:val="pt-BR"/>
        </w:rPr>
        <w:t xml:space="preserve">Se a entidade tiver uma obrigação em requisito de </w:t>
      </w:r>
      <w:r w:rsidR="00E61348" w:rsidRPr="003B7A87">
        <w:rPr>
          <w:sz w:val="24"/>
          <w:lang w:val="pt-BR"/>
        </w:rPr>
        <w:t>custeio (</w:t>
      </w:r>
      <w:proofErr w:type="spellStart"/>
      <w:r w:rsidR="00522639" w:rsidRPr="00522639">
        <w:rPr>
          <w:i/>
          <w:sz w:val="24"/>
          <w:lang w:val="pt-BR"/>
        </w:rPr>
        <w:t>funding</w:t>
      </w:r>
      <w:proofErr w:type="spellEnd"/>
      <w:r w:rsidR="00E61348" w:rsidRPr="003B7A87">
        <w:rPr>
          <w:sz w:val="24"/>
          <w:lang w:val="pt-BR"/>
        </w:rPr>
        <w:t>)</w:t>
      </w:r>
      <w:r w:rsidRPr="003B7A87">
        <w:rPr>
          <w:sz w:val="24"/>
          <w:lang w:val="pt-BR"/>
        </w:rPr>
        <w:t xml:space="preserve"> mínimo de pagar contribuições para cobrir </w:t>
      </w:r>
      <w:r w:rsidR="000B1EDD" w:rsidRPr="003B7A87">
        <w:rPr>
          <w:sz w:val="24"/>
          <w:lang w:val="pt-BR"/>
        </w:rPr>
        <w:t xml:space="preserve">uma </w:t>
      </w:r>
      <w:r w:rsidRPr="003B7A87">
        <w:rPr>
          <w:sz w:val="24"/>
          <w:lang w:val="pt-BR"/>
        </w:rPr>
        <w:t xml:space="preserve">defasagem existente com base no </w:t>
      </w:r>
      <w:r w:rsidR="00E61348" w:rsidRPr="003B7A87">
        <w:rPr>
          <w:sz w:val="24"/>
          <w:lang w:val="pt-BR"/>
        </w:rPr>
        <w:t>custeio (</w:t>
      </w:r>
      <w:proofErr w:type="spellStart"/>
      <w:r w:rsidR="00E61348" w:rsidRPr="009D50CA">
        <w:rPr>
          <w:i/>
          <w:sz w:val="24"/>
          <w:lang w:val="pt-BR"/>
        </w:rPr>
        <w:t>funding</w:t>
      </w:r>
      <w:proofErr w:type="spellEnd"/>
      <w:r w:rsidR="00E61348" w:rsidRPr="003B7A87">
        <w:rPr>
          <w:sz w:val="24"/>
          <w:lang w:val="pt-BR"/>
        </w:rPr>
        <w:t>)</w:t>
      </w:r>
      <w:r w:rsidRPr="003B7A87">
        <w:rPr>
          <w:sz w:val="24"/>
          <w:lang w:val="pt-BR"/>
        </w:rPr>
        <w:t xml:space="preserve"> mínimo em relação aos serviços já recebidos, a entidade </w:t>
      </w:r>
      <w:r w:rsidR="003B7A87" w:rsidRPr="003B7A87">
        <w:rPr>
          <w:sz w:val="24"/>
          <w:lang w:val="pt-BR"/>
        </w:rPr>
        <w:t xml:space="preserve">deve </w:t>
      </w:r>
      <w:r w:rsidRPr="003B7A87">
        <w:rPr>
          <w:sz w:val="24"/>
          <w:lang w:val="pt-BR"/>
        </w:rPr>
        <w:t xml:space="preserve">determinar se as contribuições </w:t>
      </w:r>
      <w:r w:rsidR="000B1EDD" w:rsidRPr="003B7A87">
        <w:rPr>
          <w:sz w:val="24"/>
          <w:lang w:val="pt-BR"/>
        </w:rPr>
        <w:t>pagáveis</w:t>
      </w:r>
      <w:r w:rsidRPr="003B7A87">
        <w:rPr>
          <w:sz w:val="24"/>
          <w:lang w:val="pt-BR"/>
        </w:rPr>
        <w:t xml:space="preserve"> estarão disponíveis como restituição ou redução nas contribuições futuras após serem pagas </w:t>
      </w:r>
      <w:r w:rsidR="000B1EDD" w:rsidRPr="003B7A87">
        <w:rPr>
          <w:sz w:val="24"/>
          <w:lang w:val="pt-BR"/>
        </w:rPr>
        <w:t>ao</w:t>
      </w:r>
      <w:r w:rsidRPr="003B7A87">
        <w:rPr>
          <w:sz w:val="24"/>
          <w:lang w:val="pt-BR"/>
        </w:rPr>
        <w:t xml:space="preserve"> plano. </w:t>
      </w:r>
    </w:p>
    <w:p w:rsidR="00DF25E0" w:rsidRPr="00DE3260" w:rsidRDefault="00DF25E0" w:rsidP="00DE3260">
      <w:pPr>
        <w:spacing w:before="0" w:after="0"/>
        <w:rPr>
          <w:rFonts w:ascii="Times New Roman" w:hAnsi="Times New Roman"/>
          <w:sz w:val="24"/>
        </w:rPr>
      </w:pPr>
    </w:p>
    <w:p w:rsidR="00DF25E0" w:rsidRPr="00D073EB" w:rsidRDefault="00DF25E0" w:rsidP="00791F2B">
      <w:pPr>
        <w:pStyle w:val="IASBNormalnpara"/>
        <w:numPr>
          <w:ilvl w:val="0"/>
          <w:numId w:val="5"/>
        </w:numPr>
        <w:spacing w:before="0"/>
        <w:ind w:left="567" w:hanging="567"/>
        <w:rPr>
          <w:sz w:val="24"/>
          <w:lang w:val="pt-BR"/>
        </w:rPr>
      </w:pPr>
      <w:r w:rsidRPr="00D073EB">
        <w:rPr>
          <w:sz w:val="24"/>
          <w:lang w:val="pt-BR"/>
        </w:rPr>
        <w:t xml:space="preserve">Na medida em que as contribuições devidas </w:t>
      </w:r>
      <w:r w:rsidR="00F3449D" w:rsidRPr="00D073EB">
        <w:rPr>
          <w:sz w:val="24"/>
          <w:lang w:val="pt-BR"/>
        </w:rPr>
        <w:t>não estejam</w:t>
      </w:r>
      <w:r w:rsidRPr="00D073EB">
        <w:rPr>
          <w:sz w:val="24"/>
          <w:lang w:val="pt-BR"/>
        </w:rPr>
        <w:t xml:space="preserve"> disponíveis após serem pagas para o plano, a entidade </w:t>
      </w:r>
      <w:r w:rsidR="00D073EB" w:rsidRPr="00D073EB">
        <w:rPr>
          <w:sz w:val="24"/>
          <w:lang w:val="pt-BR"/>
        </w:rPr>
        <w:t xml:space="preserve">deve </w:t>
      </w:r>
      <w:r w:rsidRPr="00D073EB">
        <w:rPr>
          <w:sz w:val="24"/>
          <w:lang w:val="pt-BR"/>
        </w:rPr>
        <w:t xml:space="preserve">reconhecer um passivo quando surgir </w:t>
      </w:r>
      <w:proofErr w:type="gramStart"/>
      <w:r w:rsidRPr="00D073EB">
        <w:rPr>
          <w:sz w:val="24"/>
          <w:lang w:val="pt-BR"/>
        </w:rPr>
        <w:t>a</w:t>
      </w:r>
      <w:proofErr w:type="gramEnd"/>
      <w:r w:rsidRPr="00D073EB">
        <w:rPr>
          <w:sz w:val="24"/>
          <w:lang w:val="pt-BR"/>
        </w:rPr>
        <w:t xml:space="preserve"> obrigação. O passivo </w:t>
      </w:r>
      <w:r w:rsidR="00D073EB" w:rsidRPr="00D073EB">
        <w:rPr>
          <w:sz w:val="24"/>
          <w:lang w:val="pt-BR"/>
        </w:rPr>
        <w:t xml:space="preserve">deve </w:t>
      </w:r>
      <w:r w:rsidRPr="00D073EB">
        <w:rPr>
          <w:sz w:val="24"/>
          <w:lang w:val="pt-BR"/>
        </w:rPr>
        <w:t>reduzir o ativo de benefício definido</w:t>
      </w:r>
      <w:r w:rsidR="00E7274C" w:rsidRPr="00D073EB">
        <w:rPr>
          <w:sz w:val="24"/>
          <w:lang w:val="pt-BR"/>
        </w:rPr>
        <w:t xml:space="preserve"> líquido</w:t>
      </w:r>
      <w:r w:rsidRPr="00D073EB">
        <w:rPr>
          <w:sz w:val="24"/>
          <w:lang w:val="pt-BR"/>
        </w:rPr>
        <w:t xml:space="preserve"> ou </w:t>
      </w:r>
      <w:r w:rsidR="00D073EB">
        <w:rPr>
          <w:sz w:val="24"/>
          <w:lang w:val="pt-BR"/>
        </w:rPr>
        <w:t xml:space="preserve">deve </w:t>
      </w:r>
      <w:r w:rsidRPr="00D073EB">
        <w:rPr>
          <w:sz w:val="24"/>
          <w:lang w:val="pt-BR"/>
        </w:rPr>
        <w:t>aumentar o passivo de benefício definido</w:t>
      </w:r>
      <w:r w:rsidR="00E7274C" w:rsidRPr="00D073EB">
        <w:rPr>
          <w:sz w:val="24"/>
          <w:lang w:val="pt-BR"/>
        </w:rPr>
        <w:t xml:space="preserve"> líquido</w:t>
      </w:r>
      <w:r w:rsidRPr="00D073EB">
        <w:rPr>
          <w:sz w:val="24"/>
          <w:lang w:val="pt-BR"/>
        </w:rPr>
        <w:t>, de forma que nenhum ganho ou perda seja esperado como resultado da aplicação do item</w:t>
      </w:r>
      <w:r w:rsidR="00E7274C" w:rsidRPr="00D073EB">
        <w:rPr>
          <w:sz w:val="24"/>
          <w:lang w:val="pt-BR"/>
        </w:rPr>
        <w:t xml:space="preserve"> 64</w:t>
      </w:r>
      <w:r w:rsidRPr="00D073EB">
        <w:rPr>
          <w:sz w:val="24"/>
          <w:lang w:val="pt-BR"/>
        </w:rPr>
        <w:t xml:space="preserve"> do Pronunciamento Técnico CPC 33</w:t>
      </w:r>
      <w:r w:rsidR="00D073EB">
        <w:rPr>
          <w:sz w:val="24"/>
          <w:lang w:val="pt-BR"/>
        </w:rPr>
        <w:t xml:space="preserve"> </w:t>
      </w:r>
      <w:r w:rsidRPr="00D073EB">
        <w:rPr>
          <w:sz w:val="24"/>
          <w:lang w:val="pt-BR"/>
        </w:rPr>
        <w:t xml:space="preserve">quando as contribuições forem pagas. </w:t>
      </w:r>
    </w:p>
    <w:p w:rsidR="00DF25E0" w:rsidRPr="00DE3260" w:rsidRDefault="00DF25E0" w:rsidP="00DE3260">
      <w:pPr>
        <w:spacing w:before="0" w:after="0"/>
        <w:rPr>
          <w:rFonts w:ascii="Times New Roman" w:hAnsi="Times New Roman"/>
          <w:sz w:val="24"/>
        </w:rPr>
      </w:pPr>
    </w:p>
    <w:p w:rsidR="00DF25E0" w:rsidRPr="00D073EB" w:rsidRDefault="00D073EB" w:rsidP="00791F2B">
      <w:pPr>
        <w:pStyle w:val="IASBNormalnpara"/>
        <w:numPr>
          <w:ilvl w:val="0"/>
          <w:numId w:val="5"/>
        </w:numPr>
        <w:spacing w:before="0"/>
        <w:ind w:left="567" w:hanging="567"/>
        <w:rPr>
          <w:sz w:val="24"/>
          <w:lang w:val="pt-BR"/>
        </w:rPr>
      </w:pPr>
      <w:r w:rsidRPr="00D073EB">
        <w:rPr>
          <w:sz w:val="24"/>
          <w:lang w:val="pt-BR"/>
        </w:rPr>
        <w:t>(Eliminado).</w:t>
      </w:r>
    </w:p>
    <w:p w:rsidR="00E7274C" w:rsidRPr="00DE3260" w:rsidRDefault="00E7274C" w:rsidP="00DE3260">
      <w:pPr>
        <w:pStyle w:val="PargrafodaLista"/>
        <w:spacing w:before="0" w:after="0"/>
        <w:contextualSpacing w:val="0"/>
        <w:rPr>
          <w:rFonts w:ascii="Times New Roman" w:hAnsi="Times New Roman"/>
          <w:sz w:val="24"/>
        </w:rPr>
      </w:pPr>
    </w:p>
    <w:p w:rsidR="00D073EB" w:rsidRPr="00D073EB" w:rsidRDefault="00D073EB" w:rsidP="00D073EB">
      <w:pPr>
        <w:pStyle w:val="IASBNormalnpara"/>
        <w:numPr>
          <w:ilvl w:val="0"/>
          <w:numId w:val="5"/>
        </w:numPr>
        <w:spacing w:before="0"/>
        <w:ind w:left="567" w:hanging="567"/>
        <w:rPr>
          <w:sz w:val="24"/>
          <w:lang w:val="pt-BR"/>
        </w:rPr>
      </w:pPr>
      <w:r w:rsidRPr="00D073EB">
        <w:rPr>
          <w:sz w:val="24"/>
          <w:lang w:val="pt-BR"/>
        </w:rPr>
        <w:t>(Eliminado).</w:t>
      </w:r>
    </w:p>
    <w:p w:rsidR="00DF25E0" w:rsidRDefault="00DF25E0" w:rsidP="00DF25E0">
      <w:pPr>
        <w:pStyle w:val="Estilo5"/>
        <w:spacing w:before="0" w:after="0"/>
        <w:rPr>
          <w:rFonts w:ascii="Times New Roman" w:hAnsi="Times New Roman" w:cs="Times New Roman"/>
        </w:rPr>
      </w:pPr>
    </w:p>
    <w:p w:rsidR="00DF25E0" w:rsidRDefault="00DF25E0" w:rsidP="00DF25E0">
      <w:pPr>
        <w:pStyle w:val="Estilo5"/>
        <w:spacing w:before="0" w:after="0"/>
        <w:rPr>
          <w:rFonts w:ascii="Times New Roman" w:hAnsi="Times New Roman" w:cs="Times New Roman"/>
        </w:rPr>
      </w:pPr>
    </w:p>
    <w:p w:rsidR="00DF25E0" w:rsidRPr="00E93E0F" w:rsidRDefault="00DF25E0" w:rsidP="00DF25E0">
      <w:pPr>
        <w:pStyle w:val="Estilo5"/>
        <w:spacing w:before="0" w:after="0"/>
        <w:rPr>
          <w:rFonts w:ascii="Times New Roman" w:hAnsi="Times New Roman" w:cs="Times New Roman"/>
          <w:sz w:val="28"/>
          <w:szCs w:val="28"/>
        </w:rPr>
      </w:pPr>
      <w:r w:rsidRPr="00E93E0F">
        <w:rPr>
          <w:rFonts w:ascii="Times New Roman" w:hAnsi="Times New Roman" w:cs="Times New Roman"/>
          <w:sz w:val="28"/>
          <w:szCs w:val="28"/>
        </w:rPr>
        <w:t>Exemplos ilustrativos</w:t>
      </w:r>
    </w:p>
    <w:p w:rsidR="00DF25E0" w:rsidRPr="003A2908" w:rsidRDefault="00DF25E0" w:rsidP="00DF25E0">
      <w:pPr>
        <w:pStyle w:val="Estilo5"/>
        <w:spacing w:before="0" w:after="0"/>
        <w:rPr>
          <w:rFonts w:ascii="Times New Roman" w:hAnsi="Times New Roman" w:cs="Times New Roman"/>
        </w:rPr>
      </w:pPr>
    </w:p>
    <w:p w:rsidR="00DF25E0" w:rsidRPr="00E93E0F" w:rsidRDefault="00DF25E0" w:rsidP="00DF25E0">
      <w:pPr>
        <w:pStyle w:val="itlicosfrases"/>
        <w:spacing w:before="0" w:line="240" w:lineRule="auto"/>
        <w:rPr>
          <w:rFonts w:cs="Times New Roman"/>
          <w:sz w:val="24"/>
          <w:szCs w:val="24"/>
        </w:rPr>
      </w:pPr>
      <w:r w:rsidRPr="00E93E0F">
        <w:rPr>
          <w:rFonts w:cs="Times New Roman"/>
          <w:sz w:val="24"/>
          <w:szCs w:val="24"/>
        </w:rPr>
        <w:t>Esses exemplos acompanham, porém não fazem parte d</w:t>
      </w:r>
      <w:r w:rsidR="00806EFA">
        <w:rPr>
          <w:rFonts w:cs="Times New Roman"/>
          <w:sz w:val="24"/>
          <w:szCs w:val="24"/>
        </w:rPr>
        <w:t>a ICPC 20</w:t>
      </w:r>
      <w:r w:rsidRPr="00E93E0F">
        <w:rPr>
          <w:rFonts w:cs="Times New Roman"/>
          <w:sz w:val="24"/>
          <w:szCs w:val="24"/>
        </w:rPr>
        <w:t>.</w:t>
      </w:r>
    </w:p>
    <w:p w:rsidR="00DF25E0" w:rsidRPr="00E93E0F" w:rsidRDefault="00DF25E0" w:rsidP="00DF25E0">
      <w:pPr>
        <w:rPr>
          <w:lang w:val="pt-BR"/>
        </w:rPr>
      </w:pPr>
    </w:p>
    <w:p w:rsidR="00DF25E0" w:rsidRPr="00522639" w:rsidRDefault="00DF25E0" w:rsidP="00DF25E0">
      <w:pPr>
        <w:spacing w:before="0" w:after="0"/>
        <w:rPr>
          <w:rFonts w:ascii="Times New Roman" w:hAnsi="Times New Roman"/>
          <w:b/>
          <w:sz w:val="24"/>
        </w:rPr>
      </w:pPr>
      <w:r w:rsidRPr="00522639">
        <w:rPr>
          <w:rFonts w:ascii="Times New Roman" w:hAnsi="Times New Roman"/>
          <w:b/>
          <w:sz w:val="24"/>
        </w:rPr>
        <w:t xml:space="preserve">Exemplo 1 – Efeito do requisito de </w:t>
      </w:r>
      <w:r w:rsidR="00E61348" w:rsidRPr="00522639">
        <w:rPr>
          <w:rFonts w:ascii="Times New Roman" w:hAnsi="Times New Roman"/>
          <w:b/>
          <w:sz w:val="24"/>
        </w:rPr>
        <w:t>custeio (</w:t>
      </w:r>
      <w:proofErr w:type="spellStart"/>
      <w:r w:rsidR="00522639" w:rsidRPr="00522639">
        <w:rPr>
          <w:rFonts w:ascii="Times New Roman" w:hAnsi="Times New Roman"/>
          <w:b/>
          <w:i/>
          <w:sz w:val="24"/>
          <w:lang w:val="pt-BR"/>
        </w:rPr>
        <w:t>funding</w:t>
      </w:r>
      <w:proofErr w:type="spellEnd"/>
      <w:r w:rsidR="00E61348" w:rsidRPr="00522639">
        <w:rPr>
          <w:rFonts w:ascii="Times New Roman" w:hAnsi="Times New Roman"/>
          <w:b/>
          <w:sz w:val="24"/>
        </w:rPr>
        <w:t>)</w:t>
      </w:r>
      <w:r w:rsidRPr="00522639">
        <w:rPr>
          <w:rFonts w:ascii="Times New Roman" w:hAnsi="Times New Roman"/>
          <w:b/>
          <w:sz w:val="24"/>
        </w:rPr>
        <w:t xml:space="preserve"> mínimo quando houver </w:t>
      </w:r>
      <w:r w:rsidRPr="00BB1E42">
        <w:rPr>
          <w:rFonts w:ascii="Times New Roman" w:hAnsi="Times New Roman"/>
          <w:b/>
          <w:i/>
          <w:sz w:val="24"/>
        </w:rPr>
        <w:t>superávit</w:t>
      </w:r>
      <w:r w:rsidRPr="00522639">
        <w:rPr>
          <w:rFonts w:ascii="Times New Roman" w:hAnsi="Times New Roman"/>
          <w:b/>
          <w:sz w:val="24"/>
        </w:rPr>
        <w:t xml:space="preserve"> conforme o Pronunciamento Técnico CPC 33 - Benefícios a Empregados e as contribuições mínimas de </w:t>
      </w:r>
      <w:r w:rsidR="00E61348" w:rsidRPr="00522639">
        <w:rPr>
          <w:rFonts w:ascii="Times New Roman" w:hAnsi="Times New Roman"/>
          <w:b/>
          <w:sz w:val="24"/>
        </w:rPr>
        <w:t>custeio (</w:t>
      </w:r>
      <w:r w:rsidR="00E61348" w:rsidRPr="009D50CA">
        <w:rPr>
          <w:rFonts w:ascii="Times New Roman" w:hAnsi="Times New Roman"/>
          <w:b/>
          <w:i/>
          <w:sz w:val="24"/>
        </w:rPr>
        <w:t>funding</w:t>
      </w:r>
      <w:r w:rsidR="00E61348" w:rsidRPr="00522639">
        <w:rPr>
          <w:rFonts w:ascii="Times New Roman" w:hAnsi="Times New Roman"/>
          <w:b/>
          <w:sz w:val="24"/>
        </w:rPr>
        <w:t>)</w:t>
      </w:r>
      <w:r w:rsidRPr="00522639">
        <w:rPr>
          <w:rFonts w:ascii="Times New Roman" w:hAnsi="Times New Roman"/>
          <w:b/>
          <w:sz w:val="24"/>
        </w:rPr>
        <w:t xml:space="preserve"> pagáveis forem totalmente restituíveis à entidade</w:t>
      </w:r>
    </w:p>
    <w:p w:rsidR="00DF25E0" w:rsidRPr="00E93E0F" w:rsidRDefault="00DF25E0" w:rsidP="00DF25E0">
      <w:pPr>
        <w:spacing w:before="0" w:after="0"/>
        <w:rPr>
          <w:rFonts w:ascii="Times New Roman" w:hAnsi="Times New Roman"/>
          <w:b/>
          <w:sz w:val="28"/>
          <w:szCs w:val="28"/>
        </w:rPr>
      </w:pPr>
    </w:p>
    <w:p w:rsidR="00DF25E0" w:rsidRDefault="00DF25E0" w:rsidP="00BB1E42">
      <w:pPr>
        <w:spacing w:before="0" w:after="0"/>
        <w:ind w:left="567" w:hanging="567"/>
        <w:rPr>
          <w:rFonts w:ascii="Times New Roman" w:hAnsi="Times New Roman"/>
          <w:sz w:val="24"/>
        </w:rPr>
      </w:pPr>
      <w:r w:rsidRPr="00E93E0F">
        <w:rPr>
          <w:rFonts w:ascii="Times New Roman" w:hAnsi="Times New Roman"/>
          <w:sz w:val="24"/>
        </w:rPr>
        <w:t>EI1</w:t>
      </w:r>
      <w:r w:rsidR="00BB1E42">
        <w:rPr>
          <w:rFonts w:ascii="Times New Roman" w:hAnsi="Times New Roman"/>
          <w:sz w:val="24"/>
        </w:rPr>
        <w:t>.</w:t>
      </w:r>
      <w:r w:rsidRPr="00E93E0F">
        <w:rPr>
          <w:rFonts w:ascii="Times New Roman" w:hAnsi="Times New Roman"/>
          <w:sz w:val="24"/>
        </w:rPr>
        <w:tab/>
        <w:t xml:space="preserve">Uma entidade tem um nível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com base no requisito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mínimo (que é mensurado de forma diferente daquele exigido no Pronunciamento Técnico </w:t>
      </w:r>
      <w:r w:rsidRPr="00E93E0F">
        <w:rPr>
          <w:rFonts w:ascii="Times New Roman" w:hAnsi="Times New Roman"/>
          <w:sz w:val="24"/>
        </w:rPr>
        <w:lastRenderedPageBreak/>
        <w:t xml:space="preserve">CPC 33) de 82% no Plano A. De acordo com os requisitos de </w:t>
      </w:r>
      <w:r w:rsidR="00E61348">
        <w:rPr>
          <w:rFonts w:ascii="Times New Roman" w:hAnsi="Times New Roman"/>
          <w:sz w:val="24"/>
        </w:rPr>
        <w:t>custeio (</w:t>
      </w:r>
      <w:r w:rsidR="00E61348" w:rsidRPr="009D50CA">
        <w:rPr>
          <w:rFonts w:ascii="Times New Roman" w:hAnsi="Times New Roman"/>
          <w:i/>
          <w:sz w:val="24"/>
        </w:rPr>
        <w:t>funding</w:t>
      </w:r>
      <w:r w:rsidR="00E61348">
        <w:rPr>
          <w:rFonts w:ascii="Times New Roman" w:hAnsi="Times New Roman"/>
          <w:sz w:val="24"/>
        </w:rPr>
        <w:t>)</w:t>
      </w:r>
      <w:r w:rsidRPr="00E93E0F">
        <w:rPr>
          <w:rFonts w:ascii="Times New Roman" w:hAnsi="Times New Roman"/>
          <w:sz w:val="24"/>
        </w:rPr>
        <w:t xml:space="preserve"> mínimo, a entidade é obrigada a aumentar o nível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para 95% imediatamente. Como resultado, a entidade tem a obrigação estatutária n</w:t>
      </w:r>
      <w:r w:rsidR="00806EFA">
        <w:rPr>
          <w:rFonts w:ascii="Times New Roman" w:hAnsi="Times New Roman"/>
          <w:sz w:val="24"/>
        </w:rPr>
        <w:t>o final do período das demonstrações contábeis</w:t>
      </w:r>
      <w:r w:rsidRPr="00E93E0F">
        <w:rPr>
          <w:rFonts w:ascii="Times New Roman" w:hAnsi="Times New Roman"/>
          <w:sz w:val="24"/>
        </w:rPr>
        <w:t xml:space="preserve"> de contribuir </w:t>
      </w:r>
      <w:r w:rsidR="001C400C">
        <w:rPr>
          <w:rFonts w:ascii="Times New Roman" w:hAnsi="Times New Roman"/>
          <w:sz w:val="24"/>
        </w:rPr>
        <w:t xml:space="preserve">com </w:t>
      </w:r>
      <w:r w:rsidR="004971A4">
        <w:rPr>
          <w:rFonts w:ascii="Times New Roman" w:hAnsi="Times New Roman"/>
          <w:sz w:val="24"/>
        </w:rPr>
        <w:t xml:space="preserve">$ </w:t>
      </w:r>
      <w:r w:rsidRPr="00E93E0F">
        <w:rPr>
          <w:rFonts w:ascii="Times New Roman" w:hAnsi="Times New Roman"/>
          <w:sz w:val="24"/>
        </w:rPr>
        <w:t xml:space="preserve">200 ao Plano A imediatamente. As regras do plano permitem a total restituição de qualquer </w:t>
      </w:r>
      <w:r w:rsidRPr="001C400C">
        <w:rPr>
          <w:rFonts w:ascii="Times New Roman" w:hAnsi="Times New Roman"/>
          <w:i/>
          <w:sz w:val="24"/>
        </w:rPr>
        <w:t>superávit</w:t>
      </w:r>
      <w:r w:rsidRPr="00E93E0F">
        <w:rPr>
          <w:rFonts w:ascii="Times New Roman" w:hAnsi="Times New Roman"/>
          <w:sz w:val="24"/>
        </w:rPr>
        <w:t xml:space="preserve"> à entidade no final da vigência do plano. As avaliações no final de ano do Plano A estão definidas abaixo.</w:t>
      </w:r>
    </w:p>
    <w:p w:rsidR="00806EFA" w:rsidRPr="00806EFA" w:rsidRDefault="00806EFA" w:rsidP="00DF25E0">
      <w:pPr>
        <w:spacing w:before="0" w:after="0"/>
        <w:ind w:left="705" w:hanging="705"/>
        <w:rPr>
          <w:rFonts w:ascii="Times New Roman" w:hAnsi="Times New Roman"/>
          <w:sz w:val="24"/>
          <w:lang w:val="pt-BR"/>
        </w:rPr>
      </w:pPr>
    </w:p>
    <w:p w:rsidR="00DF25E0" w:rsidRPr="00E93E0F" w:rsidRDefault="00DF25E0" w:rsidP="00DF25E0">
      <w:pPr>
        <w:spacing w:before="0" w:after="0"/>
        <w:ind w:left="705" w:hanging="705"/>
        <w:rPr>
          <w:rFonts w:ascii="Times New Roman" w:hAnsi="Times New Roman"/>
          <w:sz w:val="24"/>
        </w:rPr>
      </w:pPr>
    </w:p>
    <w:tbl>
      <w:tblPr>
        <w:tblW w:w="8264" w:type="dxa"/>
        <w:jc w:val="right"/>
        <w:tblInd w:w="1233" w:type="dxa"/>
        <w:tblBorders>
          <w:top w:val="single" w:sz="4" w:space="0" w:color="auto"/>
          <w:left w:val="single" w:sz="4" w:space="0" w:color="auto"/>
          <w:bottom w:val="single" w:sz="4" w:space="0" w:color="auto"/>
          <w:right w:val="single" w:sz="4" w:space="0" w:color="auto"/>
        </w:tblBorders>
        <w:tblLayout w:type="fixed"/>
        <w:tblCellMar>
          <w:top w:w="10" w:type="dxa"/>
          <w:left w:w="50" w:type="dxa"/>
          <w:bottom w:w="5" w:type="dxa"/>
          <w:right w:w="50" w:type="dxa"/>
        </w:tblCellMar>
        <w:tblLook w:val="0000"/>
      </w:tblPr>
      <w:tblGrid>
        <w:gridCol w:w="7286"/>
        <w:gridCol w:w="978"/>
      </w:tblGrid>
      <w:tr w:rsidR="00DF25E0" w:rsidRPr="00E93E0F" w:rsidTr="006D2CA5">
        <w:trPr>
          <w:cantSplit/>
          <w:trHeight w:hRule="exact" w:val="397"/>
          <w:jc w:val="right"/>
        </w:trPr>
        <w:tc>
          <w:tcPr>
            <w:tcW w:w="4408" w:type="pct"/>
          </w:tcPr>
          <w:p w:rsidR="00DF25E0" w:rsidRPr="0038451C" w:rsidRDefault="00DF25E0" w:rsidP="00806EFA">
            <w:pPr>
              <w:spacing w:before="0" w:after="0"/>
              <w:rPr>
                <w:rFonts w:ascii="Times New Roman" w:hAnsi="Times New Roman"/>
                <w:sz w:val="24"/>
              </w:rPr>
            </w:pPr>
            <w:r w:rsidRPr="0038451C">
              <w:rPr>
                <w:rFonts w:ascii="Times New Roman" w:hAnsi="Times New Roman"/>
                <w:sz w:val="24"/>
              </w:rPr>
              <w:t xml:space="preserve">Valor </w:t>
            </w:r>
            <w:r w:rsidR="00806EFA" w:rsidRPr="0038451C">
              <w:rPr>
                <w:rFonts w:ascii="Times New Roman" w:hAnsi="Times New Roman"/>
                <w:sz w:val="24"/>
              </w:rPr>
              <w:t>justo dos</w:t>
            </w:r>
            <w:r w:rsidRPr="0038451C">
              <w:rPr>
                <w:rFonts w:ascii="Times New Roman" w:hAnsi="Times New Roman"/>
                <w:sz w:val="24"/>
              </w:rPr>
              <w:t xml:space="preserve"> ativos</w:t>
            </w:r>
          </w:p>
        </w:tc>
        <w:tc>
          <w:tcPr>
            <w:tcW w:w="592" w:type="pct"/>
            <w:vAlign w:val="bottom"/>
          </w:tcPr>
          <w:p w:rsidR="00DF25E0" w:rsidRPr="0038451C" w:rsidRDefault="00DF25E0" w:rsidP="006D2CA5">
            <w:pPr>
              <w:spacing w:before="0" w:after="0"/>
              <w:jc w:val="right"/>
              <w:rPr>
                <w:rFonts w:ascii="Times New Roman" w:hAnsi="Times New Roman"/>
                <w:sz w:val="24"/>
              </w:rPr>
            </w:pPr>
            <w:r w:rsidRPr="0038451C">
              <w:rPr>
                <w:rFonts w:ascii="Times New Roman" w:hAnsi="Times New Roman"/>
                <w:sz w:val="24"/>
              </w:rPr>
              <w:t>1.200</w:t>
            </w:r>
          </w:p>
        </w:tc>
      </w:tr>
      <w:tr w:rsidR="00DF25E0" w:rsidRPr="00E93E0F" w:rsidTr="006D2CA5">
        <w:trPr>
          <w:cantSplit/>
          <w:trHeight w:hRule="exact" w:val="569"/>
          <w:jc w:val="right"/>
        </w:trPr>
        <w:tc>
          <w:tcPr>
            <w:tcW w:w="4408" w:type="pct"/>
          </w:tcPr>
          <w:p w:rsidR="00DF25E0" w:rsidRPr="0038451C" w:rsidRDefault="00DF25E0" w:rsidP="001C400C">
            <w:pPr>
              <w:spacing w:before="0" w:after="0"/>
              <w:jc w:val="left"/>
              <w:rPr>
                <w:rFonts w:ascii="Times New Roman" w:hAnsi="Times New Roman"/>
                <w:sz w:val="24"/>
              </w:rPr>
            </w:pPr>
            <w:r w:rsidRPr="0038451C">
              <w:rPr>
                <w:rFonts w:ascii="Times New Roman" w:hAnsi="Times New Roman"/>
                <w:sz w:val="24"/>
              </w:rPr>
              <w:t>Valor presente da obrigação de benefício definido de acordo com</w:t>
            </w:r>
            <w:r w:rsidR="0038451C">
              <w:rPr>
                <w:rFonts w:ascii="Times New Roman" w:hAnsi="Times New Roman"/>
                <w:sz w:val="24"/>
              </w:rPr>
              <w:t xml:space="preserve"> </w:t>
            </w:r>
            <w:r w:rsidRPr="0038451C">
              <w:rPr>
                <w:rFonts w:ascii="Times New Roman" w:hAnsi="Times New Roman"/>
                <w:sz w:val="24"/>
              </w:rPr>
              <w:t>o Pronunciamento Técnico CPC 33</w:t>
            </w:r>
          </w:p>
        </w:tc>
        <w:tc>
          <w:tcPr>
            <w:tcW w:w="592" w:type="pct"/>
            <w:vAlign w:val="bottom"/>
          </w:tcPr>
          <w:p w:rsidR="00DF25E0" w:rsidRPr="0038451C" w:rsidRDefault="00DF25E0" w:rsidP="006D2CA5">
            <w:pPr>
              <w:spacing w:before="0" w:after="0"/>
              <w:jc w:val="right"/>
              <w:rPr>
                <w:rFonts w:ascii="Times New Roman" w:hAnsi="Times New Roman"/>
                <w:sz w:val="24"/>
              </w:rPr>
            </w:pPr>
            <w:r w:rsidRPr="0038451C">
              <w:rPr>
                <w:rFonts w:ascii="Times New Roman" w:hAnsi="Times New Roman"/>
                <w:sz w:val="24"/>
              </w:rPr>
              <w:t>(1.100)</w:t>
            </w:r>
          </w:p>
        </w:tc>
      </w:tr>
      <w:tr w:rsidR="00DF25E0" w:rsidRPr="00E93E0F" w:rsidTr="006D2CA5">
        <w:trPr>
          <w:cantSplit/>
          <w:trHeight w:hRule="exact" w:val="577"/>
          <w:jc w:val="right"/>
        </w:trPr>
        <w:tc>
          <w:tcPr>
            <w:tcW w:w="4408" w:type="pct"/>
          </w:tcPr>
          <w:p w:rsidR="00DF25E0" w:rsidRPr="0038451C" w:rsidRDefault="00DF25E0" w:rsidP="006D2CA5">
            <w:pPr>
              <w:spacing w:before="0" w:after="0"/>
              <w:rPr>
                <w:rFonts w:ascii="Times New Roman" w:hAnsi="Times New Roman"/>
                <w:i/>
                <w:iCs/>
                <w:sz w:val="24"/>
              </w:rPr>
            </w:pPr>
          </w:p>
          <w:p w:rsidR="00DF25E0" w:rsidRPr="001C400C" w:rsidRDefault="00DF25E0" w:rsidP="006D2CA5">
            <w:pPr>
              <w:spacing w:before="0" w:after="0"/>
              <w:rPr>
                <w:rFonts w:ascii="Times New Roman" w:hAnsi="Times New Roman"/>
                <w:i/>
                <w:iCs/>
                <w:sz w:val="24"/>
              </w:rPr>
            </w:pPr>
            <w:r w:rsidRPr="001C400C">
              <w:rPr>
                <w:rFonts w:ascii="Times New Roman" w:hAnsi="Times New Roman"/>
                <w:i/>
                <w:iCs/>
                <w:sz w:val="24"/>
              </w:rPr>
              <w:t>Superávit</w:t>
            </w:r>
          </w:p>
        </w:tc>
        <w:tc>
          <w:tcPr>
            <w:tcW w:w="592" w:type="pct"/>
            <w:vAlign w:val="bottom"/>
          </w:tcPr>
          <w:p w:rsidR="00DF25E0" w:rsidRPr="0038451C" w:rsidRDefault="00DF25E0" w:rsidP="006D2CA5">
            <w:pPr>
              <w:spacing w:before="0" w:after="0"/>
              <w:jc w:val="right"/>
              <w:rPr>
                <w:rFonts w:ascii="Times New Roman" w:hAnsi="Times New Roman"/>
                <w:sz w:val="24"/>
              </w:rPr>
            </w:pPr>
            <w:r w:rsidRPr="0038451C">
              <w:rPr>
                <w:rFonts w:ascii="Times New Roman" w:hAnsi="Times New Roman"/>
                <w:sz w:val="24"/>
              </w:rPr>
              <w:t>100</w:t>
            </w:r>
          </w:p>
        </w:tc>
      </w:tr>
      <w:tr w:rsidR="00DF25E0" w:rsidRPr="00E93E0F" w:rsidTr="0038451C">
        <w:trPr>
          <w:cantSplit/>
          <w:trHeight w:hRule="exact" w:val="239"/>
          <w:jc w:val="right"/>
        </w:trPr>
        <w:tc>
          <w:tcPr>
            <w:tcW w:w="4408" w:type="pct"/>
          </w:tcPr>
          <w:p w:rsidR="00DF25E0" w:rsidRPr="00E93E0F" w:rsidRDefault="00DF25E0" w:rsidP="006D2CA5">
            <w:pPr>
              <w:spacing w:before="0" w:after="0"/>
              <w:rPr>
                <w:rFonts w:ascii="Arial Narrow" w:hAnsi="Arial Narrow"/>
                <w:szCs w:val="20"/>
              </w:rPr>
            </w:pPr>
          </w:p>
        </w:tc>
        <w:tc>
          <w:tcPr>
            <w:tcW w:w="592" w:type="pct"/>
            <w:vAlign w:val="bottom"/>
          </w:tcPr>
          <w:p w:rsidR="00DF25E0" w:rsidRPr="00E93E0F" w:rsidRDefault="00DF25E0" w:rsidP="006D2CA5">
            <w:pPr>
              <w:spacing w:before="0" w:after="0"/>
              <w:jc w:val="right"/>
              <w:rPr>
                <w:rFonts w:ascii="Arial Narrow" w:hAnsi="Arial Narrow"/>
                <w:szCs w:val="20"/>
              </w:rPr>
            </w:pPr>
          </w:p>
        </w:tc>
      </w:tr>
      <w:tr w:rsidR="00DF25E0" w:rsidRPr="00E93E0F" w:rsidTr="0038451C">
        <w:trPr>
          <w:cantSplit/>
          <w:trHeight w:hRule="exact" w:val="80"/>
          <w:jc w:val="right"/>
        </w:trPr>
        <w:tc>
          <w:tcPr>
            <w:tcW w:w="4408" w:type="pct"/>
          </w:tcPr>
          <w:p w:rsidR="00DF25E0" w:rsidRPr="00E93E0F" w:rsidRDefault="00DF25E0" w:rsidP="006D2CA5">
            <w:pPr>
              <w:spacing w:before="0" w:after="0"/>
              <w:rPr>
                <w:rFonts w:ascii="Arial Narrow" w:hAnsi="Arial Narrow"/>
                <w:szCs w:val="20"/>
              </w:rPr>
            </w:pPr>
          </w:p>
        </w:tc>
        <w:tc>
          <w:tcPr>
            <w:tcW w:w="592" w:type="pct"/>
            <w:vAlign w:val="bottom"/>
          </w:tcPr>
          <w:p w:rsidR="00DF25E0" w:rsidRPr="00E93E0F" w:rsidRDefault="00DF25E0" w:rsidP="006D2CA5">
            <w:pPr>
              <w:spacing w:before="0" w:after="0"/>
              <w:jc w:val="right"/>
              <w:rPr>
                <w:rFonts w:ascii="Arial Narrow" w:hAnsi="Arial Narrow"/>
                <w:szCs w:val="20"/>
              </w:rPr>
            </w:pPr>
          </w:p>
        </w:tc>
      </w:tr>
    </w:tbl>
    <w:p w:rsidR="00806EFA" w:rsidRDefault="00806EFA" w:rsidP="00DF25E0">
      <w:pPr>
        <w:pStyle w:val="Estilo5"/>
        <w:spacing w:before="0" w:after="0"/>
        <w:rPr>
          <w:rFonts w:ascii="Times New Roman" w:hAnsi="Times New Roman" w:cs="Times New Roman"/>
          <w:sz w:val="28"/>
          <w:szCs w:val="28"/>
        </w:rPr>
      </w:pPr>
    </w:p>
    <w:p w:rsidR="00DF25E0" w:rsidRPr="00E93E0F" w:rsidRDefault="00DF25E0" w:rsidP="00DF25E0">
      <w:pPr>
        <w:pStyle w:val="Estilo5"/>
        <w:spacing w:before="0" w:after="0"/>
        <w:rPr>
          <w:rFonts w:ascii="Times New Roman" w:hAnsi="Times New Roman" w:cs="Times New Roman"/>
          <w:sz w:val="28"/>
          <w:szCs w:val="28"/>
        </w:rPr>
      </w:pPr>
      <w:r w:rsidRPr="00E93E0F">
        <w:rPr>
          <w:rFonts w:ascii="Times New Roman" w:hAnsi="Times New Roman" w:cs="Times New Roman"/>
          <w:sz w:val="28"/>
          <w:szCs w:val="28"/>
        </w:rPr>
        <w:t>Aplicação de requisitos</w:t>
      </w:r>
    </w:p>
    <w:p w:rsidR="00DF25E0" w:rsidRPr="00E93E0F" w:rsidRDefault="00DF25E0" w:rsidP="00DF25E0">
      <w:pPr>
        <w:pStyle w:val="Estilo2"/>
        <w:spacing w:before="0" w:line="240" w:lineRule="auto"/>
        <w:rPr>
          <w:rFonts w:ascii="Times New Roman" w:hAnsi="Times New Roman" w:cs="Times New Roman"/>
          <w:sz w:val="24"/>
        </w:rPr>
      </w:pPr>
    </w:p>
    <w:p w:rsidR="00DF25E0" w:rsidRDefault="00DF25E0" w:rsidP="00BB1E42">
      <w:pPr>
        <w:spacing w:before="0" w:after="0"/>
        <w:ind w:left="567" w:hanging="567"/>
        <w:rPr>
          <w:rFonts w:ascii="Times New Roman" w:hAnsi="Times New Roman"/>
          <w:sz w:val="24"/>
        </w:rPr>
      </w:pPr>
      <w:r w:rsidRPr="00E93E0F">
        <w:rPr>
          <w:rFonts w:ascii="Times New Roman" w:hAnsi="Times New Roman"/>
          <w:sz w:val="24"/>
        </w:rPr>
        <w:t>EI2</w:t>
      </w:r>
      <w:r w:rsidR="00BB1E42">
        <w:rPr>
          <w:rFonts w:ascii="Times New Roman" w:hAnsi="Times New Roman"/>
          <w:sz w:val="24"/>
        </w:rPr>
        <w:t>.</w:t>
      </w:r>
      <w:r w:rsidRPr="00E93E0F">
        <w:rPr>
          <w:rFonts w:ascii="Times New Roman" w:hAnsi="Times New Roman"/>
          <w:sz w:val="24"/>
        </w:rPr>
        <w:tab/>
        <w:t xml:space="preserve">O item 24 da </w:t>
      </w:r>
      <w:r w:rsidR="00806EFA">
        <w:rPr>
          <w:rFonts w:ascii="Times New Roman" w:hAnsi="Times New Roman"/>
          <w:sz w:val="24"/>
        </w:rPr>
        <w:t xml:space="preserve">ICPC 20 exige que </w:t>
      </w:r>
      <w:r w:rsidRPr="00E93E0F">
        <w:rPr>
          <w:rFonts w:ascii="Times New Roman" w:hAnsi="Times New Roman"/>
          <w:sz w:val="24"/>
        </w:rPr>
        <w:t xml:space="preserve">a entidade reconheça um passivo na medida em que as contribuições </w:t>
      </w:r>
      <w:r w:rsidR="00806EFA">
        <w:rPr>
          <w:rFonts w:ascii="Times New Roman" w:hAnsi="Times New Roman"/>
          <w:sz w:val="24"/>
        </w:rPr>
        <w:t>devidas</w:t>
      </w:r>
      <w:r w:rsidRPr="00E93E0F">
        <w:rPr>
          <w:rFonts w:ascii="Times New Roman" w:hAnsi="Times New Roman"/>
          <w:sz w:val="24"/>
        </w:rPr>
        <w:t xml:space="preserve"> não estiverem totalmente disponíveis. O pagamento das contribuições de </w:t>
      </w:r>
      <w:r w:rsidR="004971A4">
        <w:rPr>
          <w:rFonts w:ascii="Times New Roman" w:hAnsi="Times New Roman"/>
          <w:sz w:val="24"/>
        </w:rPr>
        <w:t xml:space="preserve">$ </w:t>
      </w:r>
      <w:r w:rsidRPr="00E93E0F">
        <w:rPr>
          <w:rFonts w:ascii="Times New Roman" w:hAnsi="Times New Roman"/>
          <w:sz w:val="24"/>
        </w:rPr>
        <w:t xml:space="preserve">200 aumentará o </w:t>
      </w:r>
      <w:r w:rsidRPr="001C400C">
        <w:rPr>
          <w:rFonts w:ascii="Times New Roman" w:hAnsi="Times New Roman"/>
          <w:i/>
          <w:sz w:val="24"/>
        </w:rPr>
        <w:t>superávit</w:t>
      </w:r>
      <w:r w:rsidRPr="00E93E0F">
        <w:rPr>
          <w:rFonts w:ascii="Times New Roman" w:hAnsi="Times New Roman"/>
          <w:sz w:val="24"/>
        </w:rPr>
        <w:t xml:space="preserve"> conforme</w:t>
      </w:r>
      <w:r w:rsidR="00806EFA">
        <w:rPr>
          <w:rFonts w:ascii="Times New Roman" w:hAnsi="Times New Roman"/>
          <w:sz w:val="24"/>
        </w:rPr>
        <w:t xml:space="preserve"> </w:t>
      </w:r>
      <w:r w:rsidRPr="00E93E0F">
        <w:rPr>
          <w:rFonts w:ascii="Times New Roman" w:hAnsi="Times New Roman"/>
          <w:sz w:val="24"/>
        </w:rPr>
        <w:t>o Pronunciamento Técnico CPC 33</w:t>
      </w:r>
      <w:r w:rsidR="001C400C">
        <w:rPr>
          <w:rFonts w:ascii="Times New Roman" w:hAnsi="Times New Roman"/>
          <w:sz w:val="24"/>
        </w:rPr>
        <w:t xml:space="preserve"> </w:t>
      </w:r>
      <w:r w:rsidRPr="00E93E0F">
        <w:rPr>
          <w:rFonts w:ascii="Times New Roman" w:hAnsi="Times New Roman"/>
          <w:sz w:val="24"/>
        </w:rPr>
        <w:t xml:space="preserve">de </w:t>
      </w:r>
      <w:r w:rsidR="004971A4">
        <w:rPr>
          <w:rFonts w:ascii="Times New Roman" w:hAnsi="Times New Roman"/>
          <w:sz w:val="24"/>
        </w:rPr>
        <w:t xml:space="preserve">$ </w:t>
      </w:r>
      <w:r w:rsidRPr="00E93E0F">
        <w:rPr>
          <w:rFonts w:ascii="Times New Roman" w:hAnsi="Times New Roman"/>
          <w:sz w:val="24"/>
        </w:rPr>
        <w:t xml:space="preserve">100 para </w:t>
      </w:r>
      <w:r w:rsidR="004971A4">
        <w:rPr>
          <w:rFonts w:ascii="Times New Roman" w:hAnsi="Times New Roman"/>
          <w:sz w:val="24"/>
        </w:rPr>
        <w:t xml:space="preserve">$ </w:t>
      </w:r>
      <w:r w:rsidRPr="00E93E0F">
        <w:rPr>
          <w:rFonts w:ascii="Times New Roman" w:hAnsi="Times New Roman"/>
          <w:sz w:val="24"/>
        </w:rPr>
        <w:t>300. De acordo com as regras do plano, esse valor será totalmente restituível à entidade sem nenhum custo associado. Portanto, nenhum passivo é reconhecido para a obri</w:t>
      </w:r>
      <w:r w:rsidR="00B42D09">
        <w:rPr>
          <w:rFonts w:ascii="Times New Roman" w:hAnsi="Times New Roman"/>
          <w:sz w:val="24"/>
        </w:rPr>
        <w:t xml:space="preserve">gação de pagar as contribuições, e o ativo de benefício líquido é de </w:t>
      </w:r>
      <w:r w:rsidR="004971A4">
        <w:rPr>
          <w:rFonts w:ascii="Times New Roman" w:hAnsi="Times New Roman"/>
          <w:sz w:val="24"/>
        </w:rPr>
        <w:t xml:space="preserve">$ </w:t>
      </w:r>
      <w:r w:rsidR="00B42D09">
        <w:rPr>
          <w:rFonts w:ascii="Times New Roman" w:hAnsi="Times New Roman"/>
          <w:sz w:val="24"/>
        </w:rPr>
        <w:t>100.</w:t>
      </w:r>
    </w:p>
    <w:p w:rsidR="0038451C" w:rsidRPr="00E93E0F" w:rsidRDefault="0038451C" w:rsidP="00BB1E42">
      <w:pPr>
        <w:spacing w:before="0" w:after="0"/>
        <w:ind w:left="567" w:hanging="567"/>
        <w:rPr>
          <w:rFonts w:ascii="Times New Roman" w:hAnsi="Times New Roman"/>
          <w:sz w:val="24"/>
        </w:rPr>
      </w:pPr>
    </w:p>
    <w:p w:rsidR="00DF25E0" w:rsidRPr="0038451C" w:rsidRDefault="00DF25E0" w:rsidP="00522639">
      <w:pPr>
        <w:pStyle w:val="Estilo5"/>
        <w:spacing w:before="0" w:after="0"/>
        <w:jc w:val="both"/>
        <w:rPr>
          <w:rFonts w:ascii="Times New Roman" w:hAnsi="Times New Roman" w:cs="Times New Roman"/>
          <w:sz w:val="24"/>
        </w:rPr>
      </w:pPr>
      <w:r w:rsidRPr="0038451C">
        <w:rPr>
          <w:rFonts w:ascii="Times New Roman" w:hAnsi="Times New Roman" w:cs="Times New Roman"/>
          <w:sz w:val="24"/>
        </w:rPr>
        <w:t xml:space="preserve">Exemplo 2 – Efeito de requisito de </w:t>
      </w:r>
      <w:r w:rsidR="00E61348" w:rsidRPr="0038451C">
        <w:rPr>
          <w:rFonts w:ascii="Times New Roman" w:hAnsi="Times New Roman" w:cs="Times New Roman"/>
          <w:sz w:val="24"/>
        </w:rPr>
        <w:t>custeio (</w:t>
      </w:r>
      <w:proofErr w:type="spellStart"/>
      <w:r w:rsidR="00522639" w:rsidRPr="0038451C">
        <w:rPr>
          <w:rFonts w:ascii="Times New Roman" w:hAnsi="Times New Roman" w:cs="Times New Roman"/>
          <w:i/>
          <w:sz w:val="24"/>
        </w:rPr>
        <w:t>funding</w:t>
      </w:r>
      <w:proofErr w:type="spellEnd"/>
      <w:r w:rsidR="00E61348" w:rsidRPr="0038451C">
        <w:rPr>
          <w:rFonts w:ascii="Times New Roman" w:hAnsi="Times New Roman" w:cs="Times New Roman"/>
          <w:sz w:val="24"/>
        </w:rPr>
        <w:t>)</w:t>
      </w:r>
      <w:r w:rsidRPr="0038451C">
        <w:rPr>
          <w:rFonts w:ascii="Times New Roman" w:hAnsi="Times New Roman" w:cs="Times New Roman"/>
          <w:sz w:val="24"/>
        </w:rPr>
        <w:t xml:space="preserve"> mínimo quando houver </w:t>
      </w:r>
      <w:r w:rsidRPr="001C400C">
        <w:rPr>
          <w:rFonts w:ascii="Times New Roman" w:hAnsi="Times New Roman" w:cs="Times New Roman"/>
          <w:i/>
          <w:sz w:val="24"/>
        </w:rPr>
        <w:t>déficit</w:t>
      </w:r>
      <w:r w:rsidRPr="0038451C">
        <w:rPr>
          <w:rFonts w:ascii="Times New Roman" w:hAnsi="Times New Roman" w:cs="Times New Roman"/>
          <w:sz w:val="24"/>
        </w:rPr>
        <w:t xml:space="preserve"> conforme</w:t>
      </w:r>
      <w:r w:rsidR="004842A8" w:rsidRPr="0038451C">
        <w:rPr>
          <w:rFonts w:ascii="Times New Roman" w:hAnsi="Times New Roman" w:cs="Times New Roman"/>
          <w:sz w:val="24"/>
        </w:rPr>
        <w:t xml:space="preserve"> </w:t>
      </w:r>
      <w:r w:rsidRPr="0038451C">
        <w:rPr>
          <w:rFonts w:ascii="Times New Roman" w:hAnsi="Times New Roman" w:cs="Times New Roman"/>
          <w:sz w:val="24"/>
        </w:rPr>
        <w:t xml:space="preserve">o Pronunciamento Técnico CPC 33 e as contribuições de </w:t>
      </w:r>
      <w:r w:rsidR="00E61348" w:rsidRPr="0038451C">
        <w:rPr>
          <w:rFonts w:ascii="Times New Roman" w:hAnsi="Times New Roman" w:cs="Times New Roman"/>
          <w:sz w:val="24"/>
        </w:rPr>
        <w:t>custeio (</w:t>
      </w:r>
      <w:proofErr w:type="spellStart"/>
      <w:r w:rsidR="00522639" w:rsidRPr="0038451C">
        <w:rPr>
          <w:rFonts w:ascii="Times New Roman" w:hAnsi="Times New Roman" w:cs="Times New Roman"/>
          <w:i/>
          <w:sz w:val="24"/>
        </w:rPr>
        <w:t>funding</w:t>
      </w:r>
      <w:proofErr w:type="spellEnd"/>
      <w:r w:rsidR="00E61348" w:rsidRPr="0038451C">
        <w:rPr>
          <w:rFonts w:ascii="Times New Roman" w:hAnsi="Times New Roman" w:cs="Times New Roman"/>
          <w:sz w:val="24"/>
        </w:rPr>
        <w:t>)</w:t>
      </w:r>
      <w:r w:rsidRPr="0038451C">
        <w:rPr>
          <w:rFonts w:ascii="Times New Roman" w:hAnsi="Times New Roman" w:cs="Times New Roman"/>
          <w:sz w:val="24"/>
        </w:rPr>
        <w:t xml:space="preserve"> mínimo pagáveis não estiverem totalmente disponíveis</w:t>
      </w:r>
    </w:p>
    <w:p w:rsidR="00DF25E0" w:rsidRPr="0038451C" w:rsidRDefault="00DF25E0" w:rsidP="00DF25E0">
      <w:pPr>
        <w:pStyle w:val="Estilo5"/>
        <w:spacing w:before="0" w:after="0"/>
        <w:rPr>
          <w:rFonts w:ascii="Times New Roman" w:hAnsi="Times New Roman" w:cs="Times New Roman"/>
          <w:sz w:val="24"/>
        </w:rPr>
      </w:pPr>
    </w:p>
    <w:p w:rsidR="00DF25E0" w:rsidRDefault="00DF25E0" w:rsidP="00BB1E42">
      <w:pPr>
        <w:spacing w:before="0" w:after="0"/>
        <w:ind w:left="567" w:hanging="567"/>
        <w:rPr>
          <w:rFonts w:ascii="Times New Roman" w:hAnsi="Times New Roman"/>
          <w:sz w:val="24"/>
        </w:rPr>
      </w:pPr>
      <w:r w:rsidRPr="00E93E0F">
        <w:rPr>
          <w:rFonts w:ascii="Times New Roman" w:hAnsi="Times New Roman"/>
          <w:sz w:val="24"/>
        </w:rPr>
        <w:t>EI3</w:t>
      </w:r>
      <w:r w:rsidR="00BB1E42">
        <w:rPr>
          <w:rFonts w:ascii="Times New Roman" w:hAnsi="Times New Roman"/>
          <w:sz w:val="24"/>
        </w:rPr>
        <w:t>.</w:t>
      </w:r>
      <w:r w:rsidRPr="00E93E0F">
        <w:rPr>
          <w:rFonts w:ascii="Times New Roman" w:hAnsi="Times New Roman"/>
          <w:sz w:val="24"/>
        </w:rPr>
        <w:tab/>
        <w:t xml:space="preserve">Uma entidade tem um nível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com base no requisito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mínimo (que é mensurado de forma diferente daquele exigido no Pronunciamento Técnico CPC 33) de 77% no Plano B. De acordo com os requisitos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mínimo, a entidade </w:t>
      </w:r>
      <w:r w:rsidR="00F30F52">
        <w:rPr>
          <w:rFonts w:ascii="Times New Roman" w:hAnsi="Times New Roman"/>
          <w:sz w:val="24"/>
        </w:rPr>
        <w:t>deve</w:t>
      </w:r>
      <w:r w:rsidRPr="00E93E0F">
        <w:rPr>
          <w:rFonts w:ascii="Times New Roman" w:hAnsi="Times New Roman"/>
          <w:sz w:val="24"/>
        </w:rPr>
        <w:t xml:space="preserve"> aumentar o nível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para 100% imediatamente. Como resultado, a entidade tem uma obrigação estatutária no final do período </w:t>
      </w:r>
      <w:r w:rsidR="00F30F52">
        <w:rPr>
          <w:rFonts w:ascii="Times New Roman" w:hAnsi="Times New Roman"/>
          <w:sz w:val="24"/>
        </w:rPr>
        <w:t>das demonstrações contábeis</w:t>
      </w:r>
      <w:r w:rsidRPr="00E93E0F">
        <w:rPr>
          <w:rFonts w:ascii="Times New Roman" w:hAnsi="Times New Roman"/>
          <w:sz w:val="24"/>
        </w:rPr>
        <w:t xml:space="preserve"> de pagar contribuições adicionais de </w:t>
      </w:r>
      <w:r w:rsidR="004971A4">
        <w:rPr>
          <w:rFonts w:ascii="Times New Roman" w:hAnsi="Times New Roman"/>
          <w:sz w:val="24"/>
        </w:rPr>
        <w:t xml:space="preserve">$ </w:t>
      </w:r>
      <w:r w:rsidRPr="00E93E0F">
        <w:rPr>
          <w:rFonts w:ascii="Times New Roman" w:hAnsi="Times New Roman"/>
          <w:sz w:val="24"/>
        </w:rPr>
        <w:t xml:space="preserve">300 ao Plano B. As regras do plano permitem a restituição máxima de 60% do </w:t>
      </w:r>
      <w:r w:rsidRPr="001C400C">
        <w:rPr>
          <w:rFonts w:ascii="Times New Roman" w:hAnsi="Times New Roman"/>
          <w:i/>
          <w:sz w:val="24"/>
        </w:rPr>
        <w:t>superávit</w:t>
      </w:r>
      <w:r w:rsidR="001C400C">
        <w:rPr>
          <w:rFonts w:ascii="Times New Roman" w:hAnsi="Times New Roman"/>
          <w:i/>
          <w:sz w:val="24"/>
        </w:rPr>
        <w:t>,</w:t>
      </w:r>
      <w:r w:rsidRPr="001C400C">
        <w:rPr>
          <w:rFonts w:ascii="Times New Roman" w:hAnsi="Times New Roman"/>
          <w:i/>
          <w:sz w:val="24"/>
        </w:rPr>
        <w:t xml:space="preserve"> </w:t>
      </w:r>
      <w:r w:rsidRPr="00E93E0F">
        <w:rPr>
          <w:rFonts w:ascii="Times New Roman" w:hAnsi="Times New Roman"/>
          <w:sz w:val="24"/>
        </w:rPr>
        <w:t>conforme o Pronunciamento Técnico CPC 33</w:t>
      </w:r>
      <w:r w:rsidR="001C400C">
        <w:rPr>
          <w:rFonts w:ascii="Times New Roman" w:hAnsi="Times New Roman"/>
          <w:sz w:val="24"/>
        </w:rPr>
        <w:t>,</w:t>
      </w:r>
      <w:r w:rsidRPr="00E93E0F">
        <w:rPr>
          <w:rFonts w:ascii="Times New Roman" w:hAnsi="Times New Roman"/>
          <w:sz w:val="24"/>
        </w:rPr>
        <w:t xml:space="preserve"> para a entidade, e a entidade não está autorizada a reduzir suas contribuições abaixo de um nível especificado que po</w:t>
      </w:r>
      <w:r w:rsidR="00F30F52">
        <w:rPr>
          <w:rFonts w:ascii="Times New Roman" w:hAnsi="Times New Roman"/>
          <w:sz w:val="24"/>
        </w:rPr>
        <w:t>ssa</w:t>
      </w:r>
      <w:r w:rsidRPr="00E93E0F">
        <w:rPr>
          <w:rFonts w:ascii="Times New Roman" w:hAnsi="Times New Roman"/>
          <w:sz w:val="24"/>
        </w:rPr>
        <w:t xml:space="preserve"> ser equivalente ao custo de serviço</w:t>
      </w:r>
      <w:r w:rsidR="001C400C">
        <w:rPr>
          <w:rFonts w:ascii="Times New Roman" w:hAnsi="Times New Roman"/>
          <w:sz w:val="24"/>
        </w:rPr>
        <w:t>,</w:t>
      </w:r>
      <w:r w:rsidRPr="00E93E0F">
        <w:rPr>
          <w:rFonts w:ascii="Times New Roman" w:hAnsi="Times New Roman"/>
          <w:sz w:val="24"/>
        </w:rPr>
        <w:t xml:space="preserve"> conforme o Pronunciamento Técnico CPC 33. As avaliações no final de ano do Plano B estão definidas abaixo.</w:t>
      </w:r>
    </w:p>
    <w:p w:rsidR="00F30F52" w:rsidRPr="00E93E0F" w:rsidRDefault="00F30F52" w:rsidP="00DF25E0">
      <w:pPr>
        <w:spacing w:before="0" w:after="0"/>
        <w:ind w:left="705" w:hanging="705"/>
        <w:rPr>
          <w:rFonts w:ascii="Times New Roman" w:hAnsi="Times New Roman"/>
          <w:sz w:val="24"/>
        </w:rPr>
      </w:pPr>
    </w:p>
    <w:tbl>
      <w:tblPr>
        <w:tblW w:w="8406" w:type="dxa"/>
        <w:jc w:val="right"/>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50" w:type="dxa"/>
          <w:bottom w:w="5" w:type="dxa"/>
          <w:right w:w="50" w:type="dxa"/>
        </w:tblCellMar>
        <w:tblLook w:val="0000"/>
      </w:tblPr>
      <w:tblGrid>
        <w:gridCol w:w="7428"/>
        <w:gridCol w:w="978"/>
      </w:tblGrid>
      <w:tr w:rsidR="00DF25E0" w:rsidRPr="00E93E0F" w:rsidTr="006D2CA5">
        <w:trPr>
          <w:cantSplit/>
          <w:trHeight w:hRule="exact" w:val="397"/>
          <w:jc w:val="right"/>
        </w:trPr>
        <w:tc>
          <w:tcPr>
            <w:tcW w:w="4418" w:type="pct"/>
            <w:vAlign w:val="bottom"/>
          </w:tcPr>
          <w:p w:rsidR="00DF25E0" w:rsidRPr="0038451C" w:rsidRDefault="00DF25E0" w:rsidP="0038451C">
            <w:pPr>
              <w:spacing w:before="60" w:after="60"/>
              <w:jc w:val="left"/>
              <w:rPr>
                <w:rFonts w:ascii="Times New Roman" w:hAnsi="Times New Roman"/>
                <w:bCs/>
                <w:sz w:val="24"/>
              </w:rPr>
            </w:pPr>
            <w:r w:rsidRPr="0038451C">
              <w:rPr>
                <w:rFonts w:ascii="Times New Roman" w:hAnsi="Times New Roman"/>
                <w:bCs/>
                <w:sz w:val="24"/>
              </w:rPr>
              <w:t xml:space="preserve">Valor </w:t>
            </w:r>
            <w:r w:rsidR="00F30F52" w:rsidRPr="0038451C">
              <w:rPr>
                <w:rFonts w:ascii="Times New Roman" w:hAnsi="Times New Roman"/>
                <w:bCs/>
                <w:sz w:val="24"/>
              </w:rPr>
              <w:t>justo dos</w:t>
            </w:r>
            <w:r w:rsidRPr="0038451C">
              <w:rPr>
                <w:rFonts w:ascii="Times New Roman" w:hAnsi="Times New Roman"/>
                <w:bCs/>
                <w:sz w:val="24"/>
              </w:rPr>
              <w:t xml:space="preserve"> ativos</w:t>
            </w:r>
          </w:p>
        </w:tc>
        <w:tc>
          <w:tcPr>
            <w:tcW w:w="582" w:type="pct"/>
            <w:vAlign w:val="bottom"/>
          </w:tcPr>
          <w:p w:rsidR="00DF25E0" w:rsidRPr="0038451C" w:rsidRDefault="00DF25E0" w:rsidP="0038451C">
            <w:pPr>
              <w:spacing w:before="60" w:after="60"/>
              <w:jc w:val="right"/>
              <w:rPr>
                <w:rFonts w:ascii="Times New Roman" w:hAnsi="Times New Roman"/>
                <w:bCs/>
                <w:sz w:val="24"/>
              </w:rPr>
            </w:pPr>
            <w:r w:rsidRPr="0038451C">
              <w:rPr>
                <w:rFonts w:ascii="Times New Roman" w:hAnsi="Times New Roman"/>
                <w:bCs/>
                <w:sz w:val="24"/>
              </w:rPr>
              <w:t>1.000</w:t>
            </w:r>
          </w:p>
        </w:tc>
      </w:tr>
      <w:tr w:rsidR="00DF25E0" w:rsidRPr="00E93E0F" w:rsidTr="006D2CA5">
        <w:trPr>
          <w:cantSplit/>
          <w:trHeight w:hRule="exact" w:val="637"/>
          <w:jc w:val="right"/>
        </w:trPr>
        <w:tc>
          <w:tcPr>
            <w:tcW w:w="4418" w:type="pct"/>
            <w:vAlign w:val="bottom"/>
          </w:tcPr>
          <w:p w:rsidR="00DF25E0" w:rsidRPr="0038451C" w:rsidRDefault="00DF25E0" w:rsidP="001C400C">
            <w:pPr>
              <w:spacing w:before="60" w:after="60"/>
              <w:jc w:val="left"/>
              <w:rPr>
                <w:rFonts w:ascii="Times New Roman" w:hAnsi="Times New Roman"/>
                <w:bCs/>
                <w:sz w:val="24"/>
              </w:rPr>
            </w:pPr>
            <w:r w:rsidRPr="0038451C">
              <w:rPr>
                <w:rFonts w:ascii="Times New Roman" w:hAnsi="Times New Roman"/>
                <w:bCs/>
                <w:sz w:val="24"/>
              </w:rPr>
              <w:t>Valor presente da obrigação de benefício definido de acordo com</w:t>
            </w:r>
            <w:r w:rsidR="0038451C">
              <w:rPr>
                <w:rFonts w:ascii="Times New Roman" w:hAnsi="Times New Roman"/>
                <w:bCs/>
                <w:sz w:val="24"/>
              </w:rPr>
              <w:t xml:space="preserve"> </w:t>
            </w:r>
            <w:r w:rsidRPr="0038451C">
              <w:rPr>
                <w:rFonts w:ascii="Times New Roman" w:hAnsi="Times New Roman"/>
                <w:bCs/>
                <w:sz w:val="24"/>
              </w:rPr>
              <w:t>o Pronunciamento Técnico CPC 33</w:t>
            </w:r>
          </w:p>
        </w:tc>
        <w:tc>
          <w:tcPr>
            <w:tcW w:w="582" w:type="pct"/>
            <w:vAlign w:val="bottom"/>
          </w:tcPr>
          <w:p w:rsidR="00DF25E0" w:rsidRPr="0038451C" w:rsidRDefault="00DF25E0" w:rsidP="0038451C">
            <w:pPr>
              <w:spacing w:before="60" w:after="60"/>
              <w:jc w:val="right"/>
              <w:rPr>
                <w:rFonts w:ascii="Times New Roman" w:hAnsi="Times New Roman"/>
                <w:bCs/>
                <w:sz w:val="24"/>
              </w:rPr>
            </w:pPr>
            <w:r w:rsidRPr="0038451C">
              <w:rPr>
                <w:rFonts w:ascii="Times New Roman" w:hAnsi="Times New Roman"/>
                <w:bCs/>
                <w:sz w:val="24"/>
              </w:rPr>
              <w:t>(1.100)</w:t>
            </w:r>
          </w:p>
        </w:tc>
      </w:tr>
      <w:tr w:rsidR="00DF25E0" w:rsidRPr="00E93E0F" w:rsidTr="006D2CA5">
        <w:trPr>
          <w:cantSplit/>
          <w:trHeight w:hRule="exact" w:val="397"/>
          <w:jc w:val="right"/>
        </w:trPr>
        <w:tc>
          <w:tcPr>
            <w:tcW w:w="4418" w:type="pct"/>
            <w:vAlign w:val="bottom"/>
          </w:tcPr>
          <w:p w:rsidR="00DF25E0" w:rsidRPr="0038451C" w:rsidRDefault="00DF25E0" w:rsidP="0038451C">
            <w:pPr>
              <w:spacing w:before="60" w:after="60"/>
              <w:jc w:val="left"/>
              <w:rPr>
                <w:rFonts w:ascii="Times New Roman" w:hAnsi="Times New Roman"/>
                <w:bCs/>
                <w:sz w:val="24"/>
              </w:rPr>
            </w:pPr>
            <w:r w:rsidRPr="0038451C">
              <w:rPr>
                <w:rFonts w:ascii="Times New Roman" w:hAnsi="Times New Roman"/>
                <w:bCs/>
                <w:i/>
                <w:sz w:val="24"/>
              </w:rPr>
              <w:t>Déficit</w:t>
            </w:r>
          </w:p>
        </w:tc>
        <w:tc>
          <w:tcPr>
            <w:tcW w:w="582" w:type="pct"/>
            <w:vAlign w:val="bottom"/>
          </w:tcPr>
          <w:p w:rsidR="00DF25E0" w:rsidRPr="0038451C" w:rsidRDefault="00DF25E0" w:rsidP="0038451C">
            <w:pPr>
              <w:spacing w:before="60" w:after="60"/>
              <w:jc w:val="right"/>
              <w:rPr>
                <w:rFonts w:ascii="Times New Roman" w:hAnsi="Times New Roman"/>
                <w:bCs/>
                <w:sz w:val="24"/>
              </w:rPr>
            </w:pPr>
            <w:r w:rsidRPr="0038451C">
              <w:rPr>
                <w:rFonts w:ascii="Times New Roman" w:hAnsi="Times New Roman"/>
                <w:bCs/>
                <w:sz w:val="24"/>
              </w:rPr>
              <w:t>(100)</w:t>
            </w:r>
          </w:p>
        </w:tc>
      </w:tr>
    </w:tbl>
    <w:p w:rsidR="00DF25E0" w:rsidRPr="0038451C" w:rsidRDefault="00DF25E0" w:rsidP="00DF25E0">
      <w:pPr>
        <w:pStyle w:val="Estilo2"/>
        <w:spacing w:before="0" w:line="240" w:lineRule="auto"/>
        <w:rPr>
          <w:rFonts w:ascii="Times New Roman" w:hAnsi="Times New Roman" w:cs="Times New Roman"/>
          <w:sz w:val="24"/>
        </w:rPr>
      </w:pPr>
    </w:p>
    <w:p w:rsidR="00DF25E0" w:rsidRPr="0038451C" w:rsidRDefault="00DF25E0" w:rsidP="00DF25E0">
      <w:pPr>
        <w:pStyle w:val="Estilo5"/>
        <w:spacing w:before="0" w:after="0"/>
        <w:rPr>
          <w:rFonts w:ascii="Times New Roman" w:hAnsi="Times New Roman" w:cs="Times New Roman"/>
          <w:sz w:val="24"/>
        </w:rPr>
      </w:pPr>
      <w:r w:rsidRPr="0038451C">
        <w:rPr>
          <w:rFonts w:ascii="Times New Roman" w:hAnsi="Times New Roman" w:cs="Times New Roman"/>
          <w:sz w:val="24"/>
        </w:rPr>
        <w:t>Aplicação de requisitos</w:t>
      </w:r>
    </w:p>
    <w:p w:rsidR="00DF25E0" w:rsidRPr="0038451C" w:rsidRDefault="00DF25E0" w:rsidP="00DF25E0">
      <w:pPr>
        <w:pStyle w:val="Estilo5"/>
        <w:spacing w:before="0" w:after="0"/>
        <w:rPr>
          <w:rFonts w:ascii="Times New Roman" w:hAnsi="Times New Roman" w:cs="Times New Roman"/>
          <w:sz w:val="24"/>
        </w:rPr>
      </w:pPr>
    </w:p>
    <w:p w:rsidR="00DF25E0" w:rsidRPr="0038451C" w:rsidRDefault="00DF25E0" w:rsidP="00BB1E42">
      <w:pPr>
        <w:spacing w:before="0" w:after="0"/>
        <w:ind w:left="567" w:hanging="567"/>
        <w:rPr>
          <w:rFonts w:ascii="Times New Roman" w:hAnsi="Times New Roman"/>
          <w:sz w:val="24"/>
        </w:rPr>
      </w:pPr>
      <w:r w:rsidRPr="0038451C">
        <w:rPr>
          <w:rFonts w:ascii="Times New Roman" w:hAnsi="Times New Roman"/>
          <w:sz w:val="24"/>
        </w:rPr>
        <w:lastRenderedPageBreak/>
        <w:t>EI4</w:t>
      </w:r>
      <w:r w:rsidR="00BB1E42" w:rsidRPr="0038451C">
        <w:rPr>
          <w:rFonts w:ascii="Times New Roman" w:hAnsi="Times New Roman"/>
          <w:sz w:val="24"/>
        </w:rPr>
        <w:t>.</w:t>
      </w:r>
      <w:r w:rsidRPr="0038451C">
        <w:rPr>
          <w:rFonts w:ascii="Times New Roman" w:hAnsi="Times New Roman"/>
          <w:sz w:val="24"/>
        </w:rPr>
        <w:tab/>
        <w:t xml:space="preserve">O pagamento de </w:t>
      </w:r>
      <w:r w:rsidR="004971A4">
        <w:rPr>
          <w:rFonts w:ascii="Times New Roman" w:hAnsi="Times New Roman"/>
          <w:sz w:val="24"/>
        </w:rPr>
        <w:t xml:space="preserve">$ </w:t>
      </w:r>
      <w:r w:rsidRPr="0038451C">
        <w:rPr>
          <w:rFonts w:ascii="Times New Roman" w:hAnsi="Times New Roman"/>
          <w:sz w:val="24"/>
        </w:rPr>
        <w:t xml:space="preserve">300 mudaria o </w:t>
      </w:r>
      <w:r w:rsidRPr="0038451C">
        <w:rPr>
          <w:rFonts w:ascii="Times New Roman" w:hAnsi="Times New Roman"/>
          <w:i/>
          <w:sz w:val="24"/>
        </w:rPr>
        <w:t>d</w:t>
      </w:r>
      <w:r w:rsidR="001C400C">
        <w:rPr>
          <w:rFonts w:ascii="Times New Roman" w:hAnsi="Times New Roman"/>
          <w:i/>
          <w:sz w:val="24"/>
        </w:rPr>
        <w:t>é</w:t>
      </w:r>
      <w:r w:rsidRPr="0038451C">
        <w:rPr>
          <w:rFonts w:ascii="Times New Roman" w:hAnsi="Times New Roman"/>
          <w:i/>
          <w:sz w:val="24"/>
        </w:rPr>
        <w:t>ficit</w:t>
      </w:r>
      <w:r w:rsidRPr="0038451C">
        <w:rPr>
          <w:rFonts w:ascii="Times New Roman" w:hAnsi="Times New Roman"/>
          <w:sz w:val="24"/>
        </w:rPr>
        <w:t xml:space="preserve"> conforme o </w:t>
      </w:r>
      <w:r w:rsidR="001C400C">
        <w:rPr>
          <w:rFonts w:ascii="Times New Roman" w:hAnsi="Times New Roman"/>
          <w:sz w:val="24"/>
        </w:rPr>
        <w:t xml:space="preserve">Pronunciamento Técnico CPC 33 </w:t>
      </w:r>
      <w:r w:rsidRPr="0038451C">
        <w:rPr>
          <w:rFonts w:ascii="Times New Roman" w:hAnsi="Times New Roman"/>
          <w:sz w:val="24"/>
        </w:rPr>
        <w:t xml:space="preserve">de </w:t>
      </w:r>
      <w:r w:rsidR="004971A4">
        <w:rPr>
          <w:rFonts w:ascii="Times New Roman" w:hAnsi="Times New Roman"/>
          <w:sz w:val="24"/>
        </w:rPr>
        <w:t xml:space="preserve">$ </w:t>
      </w:r>
      <w:r w:rsidRPr="0038451C">
        <w:rPr>
          <w:rFonts w:ascii="Times New Roman" w:hAnsi="Times New Roman"/>
          <w:sz w:val="24"/>
        </w:rPr>
        <w:t xml:space="preserve">100 para um </w:t>
      </w:r>
      <w:r w:rsidRPr="001C400C">
        <w:rPr>
          <w:rFonts w:ascii="Times New Roman" w:hAnsi="Times New Roman"/>
          <w:i/>
          <w:sz w:val="24"/>
        </w:rPr>
        <w:t>superávit</w:t>
      </w:r>
      <w:r w:rsidRPr="0038451C">
        <w:rPr>
          <w:rFonts w:ascii="Times New Roman" w:hAnsi="Times New Roman"/>
          <w:sz w:val="24"/>
        </w:rPr>
        <w:t xml:space="preserve"> de </w:t>
      </w:r>
      <w:r w:rsidR="004971A4">
        <w:rPr>
          <w:rFonts w:ascii="Times New Roman" w:hAnsi="Times New Roman"/>
          <w:sz w:val="24"/>
        </w:rPr>
        <w:t xml:space="preserve">$ </w:t>
      </w:r>
      <w:r w:rsidRPr="0038451C">
        <w:rPr>
          <w:rFonts w:ascii="Times New Roman" w:hAnsi="Times New Roman"/>
          <w:sz w:val="24"/>
        </w:rPr>
        <w:t xml:space="preserve">200. Desse valor de </w:t>
      </w:r>
      <w:r w:rsidR="004971A4">
        <w:rPr>
          <w:rFonts w:ascii="Times New Roman" w:hAnsi="Times New Roman"/>
          <w:sz w:val="24"/>
        </w:rPr>
        <w:t xml:space="preserve">$ </w:t>
      </w:r>
      <w:r w:rsidRPr="0038451C">
        <w:rPr>
          <w:rFonts w:ascii="Times New Roman" w:hAnsi="Times New Roman"/>
          <w:sz w:val="24"/>
        </w:rPr>
        <w:t>200, 60% (</w:t>
      </w:r>
      <w:r w:rsidR="004971A4">
        <w:rPr>
          <w:rFonts w:ascii="Times New Roman" w:hAnsi="Times New Roman"/>
          <w:sz w:val="24"/>
        </w:rPr>
        <w:t xml:space="preserve">$ </w:t>
      </w:r>
      <w:r w:rsidRPr="0038451C">
        <w:rPr>
          <w:rFonts w:ascii="Times New Roman" w:hAnsi="Times New Roman"/>
          <w:sz w:val="24"/>
        </w:rPr>
        <w:t>120) é restituível.</w:t>
      </w:r>
    </w:p>
    <w:p w:rsidR="00DF25E0" w:rsidRPr="0038451C" w:rsidRDefault="00DF25E0" w:rsidP="00DF25E0">
      <w:pPr>
        <w:spacing w:before="0" w:after="0"/>
        <w:ind w:left="705" w:hanging="705"/>
        <w:rPr>
          <w:rFonts w:ascii="Times New Roman" w:hAnsi="Times New Roman"/>
          <w:sz w:val="24"/>
        </w:rPr>
      </w:pPr>
    </w:p>
    <w:p w:rsidR="00DF25E0" w:rsidRPr="0038451C" w:rsidRDefault="00DF25E0" w:rsidP="00BB1E42">
      <w:pPr>
        <w:spacing w:before="0" w:after="0"/>
        <w:ind w:left="567" w:hanging="567"/>
        <w:rPr>
          <w:rFonts w:ascii="Times New Roman" w:hAnsi="Times New Roman"/>
          <w:sz w:val="24"/>
        </w:rPr>
      </w:pPr>
      <w:r w:rsidRPr="0038451C">
        <w:rPr>
          <w:rFonts w:ascii="Times New Roman" w:hAnsi="Times New Roman"/>
          <w:sz w:val="24"/>
        </w:rPr>
        <w:t>EI5</w:t>
      </w:r>
      <w:r w:rsidR="00BB1E42" w:rsidRPr="0038451C">
        <w:rPr>
          <w:rFonts w:ascii="Times New Roman" w:hAnsi="Times New Roman"/>
          <w:sz w:val="24"/>
        </w:rPr>
        <w:t>.</w:t>
      </w:r>
      <w:r w:rsidRPr="0038451C">
        <w:rPr>
          <w:rFonts w:ascii="Times New Roman" w:hAnsi="Times New Roman"/>
          <w:sz w:val="24"/>
        </w:rPr>
        <w:tab/>
        <w:t xml:space="preserve">Portanto, das contribuições de </w:t>
      </w:r>
      <w:r w:rsidR="004971A4">
        <w:rPr>
          <w:rFonts w:ascii="Times New Roman" w:hAnsi="Times New Roman"/>
          <w:sz w:val="24"/>
        </w:rPr>
        <w:t xml:space="preserve">$ </w:t>
      </w:r>
      <w:r w:rsidRPr="0038451C">
        <w:rPr>
          <w:rFonts w:ascii="Times New Roman" w:hAnsi="Times New Roman"/>
          <w:sz w:val="24"/>
        </w:rPr>
        <w:t xml:space="preserve">300, </w:t>
      </w:r>
      <w:r w:rsidR="004971A4">
        <w:rPr>
          <w:rFonts w:ascii="Times New Roman" w:hAnsi="Times New Roman"/>
          <w:sz w:val="24"/>
        </w:rPr>
        <w:t xml:space="preserve">$ </w:t>
      </w:r>
      <w:r w:rsidRPr="0038451C">
        <w:rPr>
          <w:rFonts w:ascii="Times New Roman" w:hAnsi="Times New Roman"/>
          <w:sz w:val="24"/>
        </w:rPr>
        <w:t xml:space="preserve">100 elimina o </w:t>
      </w:r>
      <w:r w:rsidRPr="0038451C">
        <w:rPr>
          <w:rFonts w:ascii="Times New Roman" w:hAnsi="Times New Roman"/>
          <w:i/>
          <w:sz w:val="24"/>
        </w:rPr>
        <w:t>d</w:t>
      </w:r>
      <w:r w:rsidR="001C400C">
        <w:rPr>
          <w:rFonts w:ascii="Times New Roman" w:hAnsi="Times New Roman"/>
          <w:i/>
          <w:sz w:val="24"/>
        </w:rPr>
        <w:t>é</w:t>
      </w:r>
      <w:r w:rsidRPr="0038451C">
        <w:rPr>
          <w:rFonts w:ascii="Times New Roman" w:hAnsi="Times New Roman"/>
          <w:i/>
          <w:sz w:val="24"/>
        </w:rPr>
        <w:t>ficit</w:t>
      </w:r>
      <w:r w:rsidRPr="0038451C">
        <w:rPr>
          <w:rFonts w:ascii="Times New Roman" w:hAnsi="Times New Roman"/>
          <w:sz w:val="24"/>
        </w:rPr>
        <w:t xml:space="preserve"> conforme</w:t>
      </w:r>
      <w:r w:rsidR="00F30F52" w:rsidRPr="0038451C">
        <w:rPr>
          <w:rFonts w:ascii="Times New Roman" w:hAnsi="Times New Roman"/>
          <w:sz w:val="24"/>
        </w:rPr>
        <w:t xml:space="preserve"> </w:t>
      </w:r>
      <w:r w:rsidRPr="0038451C">
        <w:rPr>
          <w:rFonts w:ascii="Times New Roman" w:hAnsi="Times New Roman"/>
          <w:sz w:val="24"/>
        </w:rPr>
        <w:t xml:space="preserve">o Pronunciamento Técnico CPC 33 e </w:t>
      </w:r>
      <w:r w:rsidR="004971A4">
        <w:rPr>
          <w:rFonts w:ascii="Times New Roman" w:hAnsi="Times New Roman"/>
          <w:sz w:val="24"/>
        </w:rPr>
        <w:t xml:space="preserve">$ </w:t>
      </w:r>
      <w:r w:rsidRPr="0038451C">
        <w:rPr>
          <w:rFonts w:ascii="Times New Roman" w:hAnsi="Times New Roman"/>
          <w:sz w:val="24"/>
        </w:rPr>
        <w:t xml:space="preserve">120 (60% de </w:t>
      </w:r>
      <w:r w:rsidR="004971A4">
        <w:rPr>
          <w:rFonts w:ascii="Times New Roman" w:hAnsi="Times New Roman"/>
          <w:sz w:val="24"/>
        </w:rPr>
        <w:t xml:space="preserve">$ </w:t>
      </w:r>
      <w:r w:rsidRPr="0038451C">
        <w:rPr>
          <w:rFonts w:ascii="Times New Roman" w:hAnsi="Times New Roman"/>
          <w:sz w:val="24"/>
        </w:rPr>
        <w:t xml:space="preserve">200) está disponível como benefício econômico. Os </w:t>
      </w:r>
      <w:r w:rsidR="004971A4">
        <w:rPr>
          <w:rFonts w:ascii="Times New Roman" w:hAnsi="Times New Roman"/>
          <w:sz w:val="24"/>
        </w:rPr>
        <w:t xml:space="preserve">$ </w:t>
      </w:r>
      <w:r w:rsidRPr="0038451C">
        <w:rPr>
          <w:rFonts w:ascii="Times New Roman" w:hAnsi="Times New Roman"/>
          <w:sz w:val="24"/>
        </w:rPr>
        <w:t xml:space="preserve">80 restantes (40% de </w:t>
      </w:r>
      <w:r w:rsidR="004971A4">
        <w:rPr>
          <w:rFonts w:ascii="Times New Roman" w:hAnsi="Times New Roman"/>
          <w:sz w:val="24"/>
        </w:rPr>
        <w:t xml:space="preserve">$ </w:t>
      </w:r>
      <w:r w:rsidRPr="0038451C">
        <w:rPr>
          <w:rFonts w:ascii="Times New Roman" w:hAnsi="Times New Roman"/>
          <w:sz w:val="24"/>
        </w:rPr>
        <w:t xml:space="preserve">200) das contribuições pagas não estão disponíveis para a entidade. </w:t>
      </w:r>
    </w:p>
    <w:p w:rsidR="005B6A13" w:rsidRPr="0038451C" w:rsidRDefault="005B6A13" w:rsidP="00DF25E0">
      <w:pPr>
        <w:spacing w:before="0" w:after="0"/>
        <w:ind w:left="705" w:hanging="705"/>
        <w:rPr>
          <w:rFonts w:ascii="Times New Roman" w:hAnsi="Times New Roman"/>
          <w:sz w:val="24"/>
        </w:rPr>
      </w:pPr>
    </w:p>
    <w:p w:rsidR="00DF25E0" w:rsidRPr="0038451C" w:rsidRDefault="00DF25E0" w:rsidP="00BB1E42">
      <w:pPr>
        <w:spacing w:before="0" w:after="0"/>
        <w:ind w:left="567" w:hanging="567"/>
        <w:rPr>
          <w:rFonts w:ascii="Times New Roman" w:hAnsi="Times New Roman"/>
          <w:sz w:val="24"/>
        </w:rPr>
      </w:pPr>
      <w:r w:rsidRPr="0038451C">
        <w:rPr>
          <w:rFonts w:ascii="Times New Roman" w:hAnsi="Times New Roman"/>
          <w:sz w:val="24"/>
        </w:rPr>
        <w:t>EI6</w:t>
      </w:r>
      <w:r w:rsidR="00BB1E42" w:rsidRPr="0038451C">
        <w:rPr>
          <w:rFonts w:ascii="Times New Roman" w:hAnsi="Times New Roman"/>
          <w:sz w:val="24"/>
        </w:rPr>
        <w:t>.</w:t>
      </w:r>
      <w:r w:rsidRPr="0038451C">
        <w:rPr>
          <w:rFonts w:ascii="Times New Roman" w:hAnsi="Times New Roman"/>
          <w:sz w:val="24"/>
        </w:rPr>
        <w:tab/>
        <w:t>O item 24 desta Interpretação requer que a entidade reconheça um passivo na medida em que as contribuições adicionais pagáveis não estiverem disponíveis a ela.</w:t>
      </w:r>
    </w:p>
    <w:p w:rsidR="00DF25E0" w:rsidRPr="0038451C" w:rsidRDefault="00DF25E0" w:rsidP="00DF25E0">
      <w:pPr>
        <w:spacing w:before="0" w:after="0"/>
        <w:ind w:left="705" w:hanging="705"/>
        <w:rPr>
          <w:rFonts w:ascii="Times New Roman" w:hAnsi="Times New Roman"/>
          <w:sz w:val="24"/>
          <w:lang w:val="pt-BR"/>
        </w:rPr>
      </w:pPr>
    </w:p>
    <w:p w:rsidR="00DF25E0" w:rsidRPr="0038451C" w:rsidRDefault="00DF25E0" w:rsidP="00BB1E42">
      <w:pPr>
        <w:spacing w:before="0" w:after="0"/>
        <w:ind w:left="567" w:hanging="567"/>
        <w:rPr>
          <w:rFonts w:ascii="Times New Roman" w:hAnsi="Times New Roman"/>
          <w:sz w:val="24"/>
        </w:rPr>
      </w:pPr>
      <w:r w:rsidRPr="0038451C">
        <w:rPr>
          <w:rFonts w:ascii="Times New Roman" w:hAnsi="Times New Roman"/>
          <w:sz w:val="24"/>
        </w:rPr>
        <w:t>EI7</w:t>
      </w:r>
      <w:r w:rsidR="00BB1E42" w:rsidRPr="0038451C">
        <w:rPr>
          <w:rFonts w:ascii="Times New Roman" w:hAnsi="Times New Roman"/>
          <w:sz w:val="24"/>
        </w:rPr>
        <w:t>.</w:t>
      </w:r>
      <w:r w:rsidRPr="0038451C">
        <w:rPr>
          <w:rFonts w:ascii="Times New Roman" w:hAnsi="Times New Roman"/>
          <w:sz w:val="24"/>
        </w:rPr>
        <w:tab/>
        <w:t>Portanto, o passivo de benefício definido</w:t>
      </w:r>
      <w:r w:rsidR="005B6A13" w:rsidRPr="0038451C">
        <w:rPr>
          <w:rFonts w:ascii="Times New Roman" w:hAnsi="Times New Roman"/>
          <w:sz w:val="24"/>
        </w:rPr>
        <w:t xml:space="preserve"> líquido é de</w:t>
      </w:r>
      <w:r w:rsidRPr="0038451C">
        <w:rPr>
          <w:rFonts w:ascii="Times New Roman" w:hAnsi="Times New Roman"/>
          <w:sz w:val="24"/>
        </w:rPr>
        <w:t xml:space="preserve"> </w:t>
      </w:r>
      <w:r w:rsidR="004971A4">
        <w:rPr>
          <w:rFonts w:ascii="Times New Roman" w:hAnsi="Times New Roman"/>
          <w:sz w:val="24"/>
        </w:rPr>
        <w:t xml:space="preserve">$ </w:t>
      </w:r>
      <w:r w:rsidR="005B6A13" w:rsidRPr="0038451C">
        <w:rPr>
          <w:rFonts w:ascii="Times New Roman" w:hAnsi="Times New Roman"/>
          <w:sz w:val="24"/>
        </w:rPr>
        <w:t>1</w:t>
      </w:r>
      <w:r w:rsidRPr="0038451C">
        <w:rPr>
          <w:rFonts w:ascii="Times New Roman" w:hAnsi="Times New Roman"/>
          <w:sz w:val="24"/>
        </w:rPr>
        <w:t>80</w:t>
      </w:r>
      <w:r w:rsidR="005B6A13" w:rsidRPr="0038451C">
        <w:rPr>
          <w:rFonts w:ascii="Times New Roman" w:hAnsi="Times New Roman"/>
          <w:sz w:val="24"/>
        </w:rPr>
        <w:t xml:space="preserve">, compreendendo o </w:t>
      </w:r>
      <w:r w:rsidR="005B6A13" w:rsidRPr="001C400C">
        <w:rPr>
          <w:rFonts w:ascii="Times New Roman" w:hAnsi="Times New Roman"/>
          <w:i/>
          <w:sz w:val="24"/>
        </w:rPr>
        <w:t>d</w:t>
      </w:r>
      <w:r w:rsidR="001C400C" w:rsidRPr="001C400C">
        <w:rPr>
          <w:rFonts w:ascii="Times New Roman" w:hAnsi="Times New Roman"/>
          <w:i/>
          <w:sz w:val="24"/>
        </w:rPr>
        <w:t>é</w:t>
      </w:r>
      <w:r w:rsidR="005B6A13" w:rsidRPr="001C400C">
        <w:rPr>
          <w:rFonts w:ascii="Times New Roman" w:hAnsi="Times New Roman"/>
          <w:i/>
          <w:sz w:val="24"/>
        </w:rPr>
        <w:t>ficit</w:t>
      </w:r>
      <w:r w:rsidR="005B6A13" w:rsidRPr="0038451C">
        <w:rPr>
          <w:rFonts w:ascii="Times New Roman" w:hAnsi="Times New Roman"/>
          <w:sz w:val="24"/>
        </w:rPr>
        <w:t xml:space="preserve"> de </w:t>
      </w:r>
      <w:r w:rsidR="004971A4">
        <w:rPr>
          <w:rFonts w:ascii="Times New Roman" w:hAnsi="Times New Roman"/>
          <w:sz w:val="24"/>
        </w:rPr>
        <w:t xml:space="preserve">$ </w:t>
      </w:r>
      <w:r w:rsidR="005B6A13" w:rsidRPr="0038451C">
        <w:rPr>
          <w:rFonts w:ascii="Times New Roman" w:hAnsi="Times New Roman"/>
          <w:sz w:val="24"/>
        </w:rPr>
        <w:t>100 mais o passivo adicional</w:t>
      </w:r>
      <w:r w:rsidRPr="0038451C">
        <w:rPr>
          <w:rFonts w:ascii="Times New Roman" w:hAnsi="Times New Roman"/>
          <w:sz w:val="24"/>
        </w:rPr>
        <w:t xml:space="preserve"> de </w:t>
      </w:r>
      <w:r w:rsidR="004971A4">
        <w:rPr>
          <w:rFonts w:ascii="Times New Roman" w:hAnsi="Times New Roman"/>
          <w:sz w:val="24"/>
        </w:rPr>
        <w:t xml:space="preserve">$ </w:t>
      </w:r>
      <w:r w:rsidRPr="0038451C">
        <w:rPr>
          <w:rFonts w:ascii="Times New Roman" w:hAnsi="Times New Roman"/>
          <w:sz w:val="24"/>
        </w:rPr>
        <w:t>80</w:t>
      </w:r>
      <w:r w:rsidR="005B6A13" w:rsidRPr="0038451C">
        <w:rPr>
          <w:rFonts w:ascii="Times New Roman" w:hAnsi="Times New Roman"/>
          <w:sz w:val="24"/>
        </w:rPr>
        <w:t xml:space="preserve"> resultante dos requisitos do item 24 </w:t>
      </w:r>
      <w:r w:rsidR="001C400C" w:rsidRPr="001C400C">
        <w:rPr>
          <w:rFonts w:ascii="Times New Roman" w:hAnsi="Times New Roman"/>
          <w:sz w:val="24"/>
          <w:lang w:val="pt-BR"/>
        </w:rPr>
        <w:t>desta Interpretação</w:t>
      </w:r>
      <w:r w:rsidR="005B6A13" w:rsidRPr="001C400C">
        <w:rPr>
          <w:rFonts w:ascii="Times New Roman" w:hAnsi="Times New Roman"/>
          <w:sz w:val="24"/>
        </w:rPr>
        <w:t>.</w:t>
      </w:r>
      <w:r w:rsidRPr="001C400C">
        <w:rPr>
          <w:rFonts w:ascii="Times New Roman" w:hAnsi="Times New Roman"/>
          <w:sz w:val="24"/>
        </w:rPr>
        <w:t xml:space="preserve"> Nenhum outro passivo é reconhecido em relação à obrigação estatutária</w:t>
      </w:r>
      <w:r w:rsidRPr="0038451C">
        <w:rPr>
          <w:rFonts w:ascii="Times New Roman" w:hAnsi="Times New Roman"/>
          <w:sz w:val="24"/>
        </w:rPr>
        <w:t xml:space="preserve"> de pagar contribuições de </w:t>
      </w:r>
      <w:r w:rsidR="004971A4">
        <w:rPr>
          <w:rFonts w:ascii="Times New Roman" w:hAnsi="Times New Roman"/>
          <w:sz w:val="24"/>
        </w:rPr>
        <w:t xml:space="preserve">$ </w:t>
      </w:r>
      <w:r w:rsidRPr="0038451C">
        <w:rPr>
          <w:rFonts w:ascii="Times New Roman" w:hAnsi="Times New Roman"/>
          <w:sz w:val="24"/>
        </w:rPr>
        <w:t>300.</w:t>
      </w:r>
    </w:p>
    <w:p w:rsidR="00DF25E0" w:rsidRPr="0038451C" w:rsidRDefault="00DF25E0" w:rsidP="00DF25E0">
      <w:pPr>
        <w:pStyle w:val="Estilo5"/>
        <w:spacing w:before="0" w:after="0"/>
        <w:rPr>
          <w:rFonts w:ascii="Times New Roman" w:hAnsi="Times New Roman" w:cs="Times New Roman"/>
          <w:sz w:val="24"/>
          <w:lang w:val="pt-PT"/>
        </w:rPr>
      </w:pPr>
    </w:p>
    <w:p w:rsidR="00DF25E0" w:rsidRPr="0038451C" w:rsidRDefault="00DF25E0" w:rsidP="00DF25E0">
      <w:pPr>
        <w:pStyle w:val="Estilo5"/>
        <w:spacing w:before="0" w:after="0"/>
        <w:rPr>
          <w:rFonts w:ascii="Times New Roman" w:hAnsi="Times New Roman" w:cs="Times New Roman"/>
          <w:sz w:val="24"/>
        </w:rPr>
      </w:pPr>
      <w:r w:rsidRPr="0038451C">
        <w:rPr>
          <w:rFonts w:ascii="Times New Roman" w:hAnsi="Times New Roman" w:cs="Times New Roman"/>
          <w:sz w:val="24"/>
        </w:rPr>
        <w:t>Resumo</w:t>
      </w:r>
    </w:p>
    <w:p w:rsidR="00DF25E0" w:rsidRPr="0038451C" w:rsidRDefault="00DF25E0" w:rsidP="00DF25E0">
      <w:pPr>
        <w:pStyle w:val="Estilo2"/>
        <w:spacing w:before="0" w:line="240" w:lineRule="auto"/>
        <w:rPr>
          <w:rFonts w:ascii="Times New Roman" w:hAnsi="Times New Roman" w:cs="Times New Roman"/>
          <w:sz w:val="24"/>
        </w:rPr>
      </w:pPr>
    </w:p>
    <w:tbl>
      <w:tblPr>
        <w:tblW w:w="9122" w:type="dxa"/>
        <w:jc w:val="righ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50" w:type="dxa"/>
          <w:bottom w:w="5" w:type="dxa"/>
          <w:right w:w="50" w:type="dxa"/>
        </w:tblCellMar>
        <w:tblLook w:val="0000"/>
      </w:tblPr>
      <w:tblGrid>
        <w:gridCol w:w="8080"/>
        <w:gridCol w:w="1042"/>
      </w:tblGrid>
      <w:tr w:rsidR="00DF25E0" w:rsidRPr="00E93E0F" w:rsidTr="0038451C">
        <w:trPr>
          <w:cantSplit/>
          <w:trHeight w:val="397"/>
          <w:jc w:val="right"/>
        </w:trPr>
        <w:tc>
          <w:tcPr>
            <w:tcW w:w="4429" w:type="pct"/>
          </w:tcPr>
          <w:p w:rsidR="00DF25E0" w:rsidRPr="0038451C" w:rsidRDefault="00DF25E0" w:rsidP="005B6A13">
            <w:pPr>
              <w:rPr>
                <w:rFonts w:ascii="Times New Roman" w:hAnsi="Times New Roman"/>
                <w:bCs/>
                <w:sz w:val="24"/>
              </w:rPr>
            </w:pPr>
            <w:r w:rsidRPr="0038451C">
              <w:rPr>
                <w:rFonts w:ascii="Times New Roman" w:hAnsi="Times New Roman"/>
                <w:bCs/>
                <w:sz w:val="24"/>
              </w:rPr>
              <w:t xml:space="preserve">Valor </w:t>
            </w:r>
            <w:r w:rsidR="005B6A13" w:rsidRPr="0038451C">
              <w:rPr>
                <w:rFonts w:ascii="Times New Roman" w:hAnsi="Times New Roman"/>
                <w:bCs/>
                <w:sz w:val="24"/>
              </w:rPr>
              <w:t>justo</w:t>
            </w:r>
            <w:r w:rsidRPr="0038451C">
              <w:rPr>
                <w:rFonts w:ascii="Times New Roman" w:hAnsi="Times New Roman"/>
                <w:bCs/>
                <w:sz w:val="24"/>
              </w:rPr>
              <w:t xml:space="preserve"> de ativos</w:t>
            </w:r>
          </w:p>
        </w:tc>
        <w:tc>
          <w:tcPr>
            <w:tcW w:w="571" w:type="pct"/>
          </w:tcPr>
          <w:p w:rsidR="00DF25E0" w:rsidRPr="0038451C" w:rsidRDefault="00DF25E0" w:rsidP="0038451C">
            <w:pPr>
              <w:jc w:val="right"/>
              <w:rPr>
                <w:rFonts w:ascii="Times New Roman" w:hAnsi="Times New Roman"/>
                <w:bCs/>
                <w:sz w:val="24"/>
              </w:rPr>
            </w:pPr>
            <w:r w:rsidRPr="0038451C">
              <w:rPr>
                <w:rFonts w:ascii="Times New Roman" w:hAnsi="Times New Roman"/>
                <w:bCs/>
                <w:sz w:val="24"/>
              </w:rPr>
              <w:t>1.000</w:t>
            </w:r>
          </w:p>
        </w:tc>
      </w:tr>
      <w:tr w:rsidR="00DF25E0" w:rsidRPr="00E93E0F" w:rsidTr="0038451C">
        <w:trPr>
          <w:cantSplit/>
          <w:trHeight w:val="397"/>
          <w:jc w:val="right"/>
        </w:trPr>
        <w:tc>
          <w:tcPr>
            <w:tcW w:w="4429" w:type="pct"/>
          </w:tcPr>
          <w:p w:rsidR="00DF25E0" w:rsidRPr="0038451C" w:rsidRDefault="00DF25E0" w:rsidP="00557FC8">
            <w:pPr>
              <w:rPr>
                <w:rFonts w:ascii="Times New Roman" w:hAnsi="Times New Roman"/>
                <w:bCs/>
                <w:sz w:val="24"/>
              </w:rPr>
            </w:pPr>
            <w:r w:rsidRPr="0038451C">
              <w:rPr>
                <w:rFonts w:ascii="Times New Roman" w:hAnsi="Times New Roman"/>
                <w:bCs/>
                <w:sz w:val="24"/>
              </w:rPr>
              <w:t>Valor presente da obrigação de benefício definido de acordo com</w:t>
            </w:r>
            <w:r w:rsidR="0038451C">
              <w:rPr>
                <w:rFonts w:ascii="Times New Roman" w:hAnsi="Times New Roman"/>
                <w:bCs/>
                <w:sz w:val="24"/>
              </w:rPr>
              <w:t xml:space="preserve"> </w:t>
            </w:r>
            <w:r w:rsidRPr="0038451C">
              <w:rPr>
                <w:rFonts w:ascii="Times New Roman" w:hAnsi="Times New Roman"/>
                <w:bCs/>
                <w:sz w:val="24"/>
              </w:rPr>
              <w:t>o Pronunciamento Técnico CPC 33</w:t>
            </w:r>
          </w:p>
        </w:tc>
        <w:tc>
          <w:tcPr>
            <w:tcW w:w="571" w:type="pct"/>
          </w:tcPr>
          <w:p w:rsidR="00DF25E0" w:rsidRPr="0038451C" w:rsidRDefault="00DF25E0" w:rsidP="0038451C">
            <w:pPr>
              <w:jc w:val="right"/>
              <w:rPr>
                <w:rFonts w:ascii="Times New Roman" w:hAnsi="Times New Roman"/>
                <w:bCs/>
                <w:sz w:val="24"/>
              </w:rPr>
            </w:pPr>
            <w:r w:rsidRPr="0038451C">
              <w:rPr>
                <w:rFonts w:ascii="Times New Roman" w:hAnsi="Times New Roman"/>
                <w:bCs/>
                <w:sz w:val="24"/>
              </w:rPr>
              <w:t>(1.100)</w:t>
            </w:r>
          </w:p>
        </w:tc>
      </w:tr>
      <w:tr w:rsidR="00DF25E0" w:rsidRPr="00E93E0F" w:rsidTr="0038451C">
        <w:trPr>
          <w:cantSplit/>
          <w:trHeight w:val="397"/>
          <w:jc w:val="right"/>
        </w:trPr>
        <w:tc>
          <w:tcPr>
            <w:tcW w:w="4429" w:type="pct"/>
          </w:tcPr>
          <w:p w:rsidR="00DF25E0" w:rsidRPr="0038451C" w:rsidRDefault="00DF25E0" w:rsidP="006D2CA5">
            <w:pPr>
              <w:rPr>
                <w:rFonts w:ascii="Times New Roman" w:hAnsi="Times New Roman"/>
                <w:bCs/>
                <w:sz w:val="24"/>
              </w:rPr>
            </w:pPr>
            <w:r w:rsidRPr="0038451C">
              <w:rPr>
                <w:rFonts w:ascii="Times New Roman" w:hAnsi="Times New Roman"/>
                <w:bCs/>
                <w:i/>
                <w:sz w:val="24"/>
              </w:rPr>
              <w:t>Déficit</w:t>
            </w:r>
          </w:p>
        </w:tc>
        <w:tc>
          <w:tcPr>
            <w:tcW w:w="571" w:type="pct"/>
          </w:tcPr>
          <w:p w:rsidR="00DF25E0" w:rsidRPr="0038451C" w:rsidRDefault="00DF25E0" w:rsidP="0038451C">
            <w:pPr>
              <w:jc w:val="right"/>
              <w:rPr>
                <w:rFonts w:ascii="Times New Roman" w:hAnsi="Times New Roman"/>
                <w:bCs/>
                <w:sz w:val="24"/>
              </w:rPr>
            </w:pPr>
            <w:r w:rsidRPr="0038451C">
              <w:rPr>
                <w:rFonts w:ascii="Times New Roman" w:hAnsi="Times New Roman"/>
                <w:bCs/>
                <w:sz w:val="24"/>
              </w:rPr>
              <w:t>(100)</w:t>
            </w:r>
          </w:p>
        </w:tc>
      </w:tr>
      <w:tr w:rsidR="00DF25E0" w:rsidRPr="00E93E0F" w:rsidTr="0038451C">
        <w:trPr>
          <w:cantSplit/>
          <w:trHeight w:val="397"/>
          <w:jc w:val="right"/>
        </w:trPr>
        <w:tc>
          <w:tcPr>
            <w:tcW w:w="4429" w:type="pct"/>
          </w:tcPr>
          <w:p w:rsidR="00DF25E0" w:rsidRPr="0038451C" w:rsidRDefault="005B6A13" w:rsidP="005B6A13">
            <w:pPr>
              <w:rPr>
                <w:rFonts w:ascii="Times New Roman" w:hAnsi="Times New Roman"/>
                <w:bCs/>
                <w:sz w:val="24"/>
              </w:rPr>
            </w:pPr>
            <w:r w:rsidRPr="0038451C">
              <w:rPr>
                <w:rFonts w:ascii="Times New Roman" w:hAnsi="Times New Roman"/>
                <w:bCs/>
                <w:sz w:val="24"/>
              </w:rPr>
              <w:t>Efeito do teto do ativo</w:t>
            </w:r>
          </w:p>
        </w:tc>
        <w:tc>
          <w:tcPr>
            <w:tcW w:w="571" w:type="pct"/>
          </w:tcPr>
          <w:p w:rsidR="00DF25E0" w:rsidRPr="0038451C" w:rsidRDefault="00DF25E0" w:rsidP="0038451C">
            <w:pPr>
              <w:jc w:val="right"/>
              <w:rPr>
                <w:rFonts w:ascii="Times New Roman" w:hAnsi="Times New Roman"/>
                <w:bCs/>
                <w:sz w:val="24"/>
              </w:rPr>
            </w:pPr>
            <w:r w:rsidRPr="0038451C">
              <w:rPr>
                <w:rFonts w:ascii="Times New Roman" w:hAnsi="Times New Roman"/>
                <w:bCs/>
                <w:sz w:val="24"/>
              </w:rPr>
              <w:t>(80)</w:t>
            </w:r>
          </w:p>
        </w:tc>
      </w:tr>
      <w:tr w:rsidR="00DF25E0" w:rsidRPr="00E93E0F" w:rsidTr="0038451C">
        <w:trPr>
          <w:cantSplit/>
          <w:trHeight w:val="397"/>
          <w:jc w:val="right"/>
        </w:trPr>
        <w:tc>
          <w:tcPr>
            <w:tcW w:w="4429" w:type="pct"/>
          </w:tcPr>
          <w:p w:rsidR="00DF25E0" w:rsidRPr="0038451C" w:rsidRDefault="00DF25E0" w:rsidP="005B6A13">
            <w:pPr>
              <w:rPr>
                <w:rFonts w:ascii="Times New Roman" w:hAnsi="Times New Roman"/>
                <w:bCs/>
                <w:sz w:val="24"/>
              </w:rPr>
            </w:pPr>
            <w:r w:rsidRPr="0038451C">
              <w:rPr>
                <w:rFonts w:ascii="Times New Roman" w:hAnsi="Times New Roman"/>
                <w:bCs/>
                <w:sz w:val="24"/>
              </w:rPr>
              <w:t xml:space="preserve">Passivo </w:t>
            </w:r>
            <w:r w:rsidR="005B6A13" w:rsidRPr="0038451C">
              <w:rPr>
                <w:rFonts w:ascii="Times New Roman" w:hAnsi="Times New Roman"/>
                <w:bCs/>
                <w:sz w:val="24"/>
              </w:rPr>
              <w:t xml:space="preserve">de benefício definido </w:t>
            </w:r>
            <w:r w:rsidRPr="0038451C">
              <w:rPr>
                <w:rFonts w:ascii="Times New Roman" w:hAnsi="Times New Roman"/>
                <w:bCs/>
                <w:sz w:val="24"/>
              </w:rPr>
              <w:t>líquido</w:t>
            </w:r>
          </w:p>
        </w:tc>
        <w:tc>
          <w:tcPr>
            <w:tcW w:w="571" w:type="pct"/>
          </w:tcPr>
          <w:p w:rsidR="00DF25E0" w:rsidRPr="0038451C" w:rsidRDefault="00DF25E0" w:rsidP="0038451C">
            <w:pPr>
              <w:jc w:val="right"/>
              <w:rPr>
                <w:rFonts w:ascii="Times New Roman" w:hAnsi="Times New Roman"/>
                <w:bCs/>
                <w:sz w:val="24"/>
              </w:rPr>
            </w:pPr>
            <w:r w:rsidRPr="0038451C">
              <w:rPr>
                <w:rFonts w:ascii="Times New Roman" w:hAnsi="Times New Roman"/>
                <w:bCs/>
                <w:sz w:val="24"/>
              </w:rPr>
              <w:t>(180)</w:t>
            </w:r>
          </w:p>
        </w:tc>
      </w:tr>
    </w:tbl>
    <w:p w:rsidR="005B6A13" w:rsidRDefault="005B6A13" w:rsidP="00DF25E0">
      <w:pPr>
        <w:spacing w:before="0" w:after="0"/>
        <w:ind w:left="705" w:hanging="705"/>
        <w:rPr>
          <w:rFonts w:ascii="Times New Roman" w:hAnsi="Times New Roman"/>
          <w:sz w:val="24"/>
        </w:rPr>
      </w:pPr>
    </w:p>
    <w:p w:rsidR="00DF25E0" w:rsidRPr="00E93E0F" w:rsidRDefault="00DF25E0" w:rsidP="00BB1E42">
      <w:pPr>
        <w:spacing w:before="0" w:after="0"/>
        <w:ind w:left="567" w:hanging="567"/>
        <w:rPr>
          <w:rFonts w:ascii="Times New Roman" w:hAnsi="Times New Roman"/>
          <w:sz w:val="24"/>
        </w:rPr>
      </w:pPr>
      <w:r w:rsidRPr="00E93E0F">
        <w:rPr>
          <w:rFonts w:ascii="Times New Roman" w:hAnsi="Times New Roman"/>
          <w:sz w:val="24"/>
        </w:rPr>
        <w:t>EI8</w:t>
      </w:r>
      <w:r w:rsidR="00BB1E42">
        <w:rPr>
          <w:rFonts w:ascii="Times New Roman" w:hAnsi="Times New Roman"/>
          <w:sz w:val="24"/>
        </w:rPr>
        <w:t>.</w:t>
      </w:r>
      <w:r w:rsidRPr="00E93E0F">
        <w:rPr>
          <w:rFonts w:ascii="Times New Roman" w:hAnsi="Times New Roman"/>
          <w:sz w:val="24"/>
        </w:rPr>
        <w:tab/>
        <w:t xml:space="preserve">Quando as contribuições de </w:t>
      </w:r>
      <w:r w:rsidR="004971A4">
        <w:rPr>
          <w:rFonts w:ascii="Times New Roman" w:hAnsi="Times New Roman"/>
          <w:sz w:val="24"/>
        </w:rPr>
        <w:t xml:space="preserve">$ </w:t>
      </w:r>
      <w:r w:rsidRPr="00E93E0F">
        <w:rPr>
          <w:rFonts w:ascii="Times New Roman" w:hAnsi="Times New Roman"/>
          <w:sz w:val="24"/>
        </w:rPr>
        <w:t xml:space="preserve">300 forem pagas, o ativo líquido reconhecido na demonstração da </w:t>
      </w:r>
      <w:r w:rsidRPr="00E93E0F">
        <w:rPr>
          <w:rFonts w:ascii="Times New Roman" w:hAnsi="Times New Roman"/>
          <w:sz w:val="24"/>
          <w:lang w:val="ro-RO"/>
        </w:rPr>
        <w:t>posição</w:t>
      </w:r>
      <w:r w:rsidRPr="00E93E0F">
        <w:rPr>
          <w:rFonts w:ascii="Times New Roman" w:hAnsi="Times New Roman"/>
          <w:sz w:val="24"/>
        </w:rPr>
        <w:t xml:space="preserve"> financeira será </w:t>
      </w:r>
      <w:r w:rsidR="004971A4">
        <w:rPr>
          <w:rFonts w:ascii="Times New Roman" w:hAnsi="Times New Roman"/>
          <w:sz w:val="24"/>
        </w:rPr>
        <w:t xml:space="preserve">$ </w:t>
      </w:r>
      <w:r w:rsidRPr="00E93E0F">
        <w:rPr>
          <w:rFonts w:ascii="Times New Roman" w:hAnsi="Times New Roman"/>
          <w:sz w:val="24"/>
        </w:rPr>
        <w:t>120.</w:t>
      </w:r>
    </w:p>
    <w:p w:rsidR="00DF25E0" w:rsidRPr="003A2908" w:rsidRDefault="00DF25E0" w:rsidP="00DF25E0">
      <w:pPr>
        <w:spacing w:before="0" w:after="0"/>
        <w:ind w:left="705" w:hanging="705"/>
        <w:rPr>
          <w:rFonts w:ascii="Times New Roman" w:hAnsi="Times New Roman"/>
        </w:rPr>
      </w:pPr>
    </w:p>
    <w:p w:rsidR="00DF25E0" w:rsidRPr="00340B87" w:rsidRDefault="00DF25E0" w:rsidP="00522639">
      <w:pPr>
        <w:pStyle w:val="Estilo5"/>
        <w:spacing w:before="0" w:after="0"/>
        <w:jc w:val="both"/>
        <w:rPr>
          <w:rFonts w:ascii="Times New Roman" w:hAnsi="Times New Roman" w:cs="Times New Roman"/>
          <w:sz w:val="24"/>
        </w:rPr>
      </w:pPr>
      <w:r w:rsidRPr="00340B87">
        <w:rPr>
          <w:rFonts w:ascii="Times New Roman" w:hAnsi="Times New Roman" w:cs="Times New Roman"/>
          <w:sz w:val="24"/>
        </w:rPr>
        <w:t xml:space="preserve">Exemplo 3 – Efeito de requisito de </w:t>
      </w:r>
      <w:r w:rsidR="00E61348" w:rsidRPr="00340B87">
        <w:rPr>
          <w:rFonts w:ascii="Times New Roman" w:hAnsi="Times New Roman" w:cs="Times New Roman"/>
          <w:sz w:val="24"/>
        </w:rPr>
        <w:t>custeio (</w:t>
      </w:r>
      <w:proofErr w:type="spellStart"/>
      <w:r w:rsidR="00522639" w:rsidRPr="00340B87">
        <w:rPr>
          <w:rFonts w:ascii="Times New Roman" w:hAnsi="Times New Roman" w:cs="Times New Roman"/>
          <w:i/>
          <w:sz w:val="24"/>
        </w:rPr>
        <w:t>funding</w:t>
      </w:r>
      <w:proofErr w:type="spellEnd"/>
      <w:r w:rsidR="00E61348" w:rsidRPr="00340B87">
        <w:rPr>
          <w:rFonts w:ascii="Times New Roman" w:hAnsi="Times New Roman" w:cs="Times New Roman"/>
          <w:sz w:val="24"/>
        </w:rPr>
        <w:t>)</w:t>
      </w:r>
      <w:r w:rsidRPr="00340B87">
        <w:rPr>
          <w:rFonts w:ascii="Times New Roman" w:hAnsi="Times New Roman" w:cs="Times New Roman"/>
          <w:sz w:val="24"/>
        </w:rPr>
        <w:t xml:space="preserve"> mínimo quando as contribuições pagáveis não estiverem totalmente disponíveis e o efeito sobre o benefício econômico disponível como redução nas contribuições futuras</w:t>
      </w:r>
    </w:p>
    <w:p w:rsidR="00DF25E0" w:rsidRPr="00340B87" w:rsidRDefault="00DF25E0" w:rsidP="00DF25E0">
      <w:pPr>
        <w:spacing w:before="0" w:after="0"/>
        <w:ind w:left="705" w:hanging="705"/>
        <w:rPr>
          <w:rFonts w:ascii="Times New Roman" w:hAnsi="Times New Roman"/>
          <w:sz w:val="24"/>
        </w:rPr>
      </w:pPr>
    </w:p>
    <w:p w:rsidR="00DF25E0" w:rsidRDefault="00DF25E0" w:rsidP="00BB1E42">
      <w:pPr>
        <w:spacing w:before="0" w:after="0"/>
        <w:ind w:left="567" w:hanging="567"/>
        <w:rPr>
          <w:rFonts w:ascii="Times New Roman" w:hAnsi="Times New Roman"/>
          <w:sz w:val="24"/>
        </w:rPr>
      </w:pPr>
      <w:r w:rsidRPr="00E93E0F">
        <w:rPr>
          <w:rFonts w:ascii="Times New Roman" w:hAnsi="Times New Roman"/>
          <w:sz w:val="24"/>
        </w:rPr>
        <w:t>EI9</w:t>
      </w:r>
      <w:r w:rsidR="00BB1E42">
        <w:rPr>
          <w:rFonts w:ascii="Times New Roman" w:hAnsi="Times New Roman"/>
          <w:sz w:val="24"/>
        </w:rPr>
        <w:t>.</w:t>
      </w:r>
      <w:r w:rsidRPr="00E93E0F">
        <w:rPr>
          <w:rFonts w:ascii="Times New Roman" w:hAnsi="Times New Roman"/>
          <w:sz w:val="24"/>
        </w:rPr>
        <w:tab/>
        <w:t xml:space="preserve">Uma entidade tem um nível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com base no requisito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mínimo (que é mensurado de forma diferente daquele exigido no Pronunciamento Técnico CPC 33) de 95% no Plano C. </w:t>
      </w:r>
      <w:r w:rsidR="005B6A13">
        <w:rPr>
          <w:rFonts w:ascii="Times New Roman" w:hAnsi="Times New Roman"/>
          <w:sz w:val="24"/>
        </w:rPr>
        <w:t>O</w:t>
      </w:r>
      <w:r w:rsidRPr="00E93E0F">
        <w:rPr>
          <w:rFonts w:ascii="Times New Roman" w:hAnsi="Times New Roman"/>
          <w:sz w:val="24"/>
        </w:rPr>
        <w:t>s r</w:t>
      </w:r>
      <w:r w:rsidR="005B6A13">
        <w:rPr>
          <w:rFonts w:ascii="Times New Roman" w:hAnsi="Times New Roman"/>
          <w:sz w:val="24"/>
        </w:rPr>
        <w:t xml:space="preserve">equisitos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005B6A13">
        <w:rPr>
          <w:rFonts w:ascii="Times New Roman" w:hAnsi="Times New Roman"/>
          <w:sz w:val="24"/>
        </w:rPr>
        <w:t xml:space="preserve"> mínimo exigem que</w:t>
      </w:r>
      <w:r w:rsidRPr="00E93E0F">
        <w:rPr>
          <w:rFonts w:ascii="Times New Roman" w:hAnsi="Times New Roman"/>
          <w:sz w:val="24"/>
        </w:rPr>
        <w:t xml:space="preserve"> a entidade </w:t>
      </w:r>
      <w:r w:rsidR="005B6A13">
        <w:rPr>
          <w:rFonts w:ascii="Times New Roman" w:hAnsi="Times New Roman"/>
          <w:sz w:val="24"/>
        </w:rPr>
        <w:t>pague</w:t>
      </w:r>
      <w:r w:rsidRPr="00E93E0F">
        <w:rPr>
          <w:rFonts w:ascii="Times New Roman" w:hAnsi="Times New Roman"/>
          <w:sz w:val="24"/>
        </w:rPr>
        <w:t xml:space="preserve"> contribuições para aumentar o nível de </w:t>
      </w:r>
      <w:r w:rsidR="00E61348">
        <w:rPr>
          <w:rFonts w:ascii="Times New Roman" w:hAnsi="Times New Roman"/>
          <w:sz w:val="24"/>
        </w:rPr>
        <w:t>custeio (</w:t>
      </w:r>
      <w:r w:rsidR="00E61348" w:rsidRPr="009D50CA">
        <w:rPr>
          <w:rFonts w:ascii="Times New Roman" w:hAnsi="Times New Roman"/>
          <w:i/>
          <w:sz w:val="24"/>
        </w:rPr>
        <w:t>funding</w:t>
      </w:r>
      <w:r w:rsidR="00E61348">
        <w:rPr>
          <w:rFonts w:ascii="Times New Roman" w:hAnsi="Times New Roman"/>
          <w:sz w:val="24"/>
        </w:rPr>
        <w:t>)</w:t>
      </w:r>
      <w:r w:rsidRPr="00E93E0F">
        <w:rPr>
          <w:rFonts w:ascii="Times New Roman" w:hAnsi="Times New Roman"/>
          <w:sz w:val="24"/>
        </w:rPr>
        <w:t xml:space="preserve"> para 100% ao longo dos próximos três anos. As contribuições são exigidas para sanar o </w:t>
      </w:r>
      <w:r w:rsidRPr="00E93E0F">
        <w:rPr>
          <w:rFonts w:ascii="Times New Roman" w:hAnsi="Times New Roman"/>
          <w:i/>
          <w:sz w:val="24"/>
        </w:rPr>
        <w:t>d</w:t>
      </w:r>
      <w:r w:rsidR="00557FC8">
        <w:rPr>
          <w:rFonts w:ascii="Times New Roman" w:hAnsi="Times New Roman"/>
          <w:i/>
          <w:sz w:val="24"/>
        </w:rPr>
        <w:t>é</w:t>
      </w:r>
      <w:r w:rsidRPr="00E93E0F">
        <w:rPr>
          <w:rFonts w:ascii="Times New Roman" w:hAnsi="Times New Roman"/>
          <w:i/>
          <w:sz w:val="24"/>
        </w:rPr>
        <w:t>ficit</w:t>
      </w:r>
      <w:r w:rsidRPr="00E93E0F">
        <w:rPr>
          <w:rFonts w:ascii="Times New Roman" w:hAnsi="Times New Roman"/>
          <w:sz w:val="24"/>
        </w:rPr>
        <w:t xml:space="preserve"> com base no requisito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Pr="00E93E0F">
        <w:rPr>
          <w:rFonts w:ascii="Times New Roman" w:hAnsi="Times New Roman"/>
          <w:sz w:val="24"/>
        </w:rPr>
        <w:t xml:space="preserve"> mínimo (defasagem) e para cobrir </w:t>
      </w:r>
      <w:r w:rsidR="005B6A13">
        <w:rPr>
          <w:rFonts w:ascii="Times New Roman" w:hAnsi="Times New Roman"/>
          <w:sz w:val="24"/>
        </w:rPr>
        <w:t>serviço futuro</w:t>
      </w:r>
      <w:r w:rsidRPr="00E93E0F">
        <w:rPr>
          <w:rFonts w:ascii="Times New Roman" w:hAnsi="Times New Roman"/>
          <w:sz w:val="24"/>
        </w:rPr>
        <w:t xml:space="preserve">. </w:t>
      </w:r>
    </w:p>
    <w:p w:rsidR="005B6A13" w:rsidRDefault="005B6A13" w:rsidP="00DF25E0">
      <w:pPr>
        <w:spacing w:before="0" w:after="0"/>
        <w:ind w:left="705" w:hanging="705"/>
        <w:rPr>
          <w:rFonts w:ascii="Times New Roman" w:hAnsi="Times New Roman"/>
          <w:sz w:val="24"/>
        </w:rPr>
      </w:pPr>
    </w:p>
    <w:p w:rsidR="00DF25E0" w:rsidRDefault="00DF25E0" w:rsidP="00BB1E42">
      <w:pPr>
        <w:spacing w:before="0" w:after="0"/>
        <w:ind w:left="567" w:hanging="567"/>
        <w:rPr>
          <w:rFonts w:ascii="Times New Roman" w:hAnsi="Times New Roman"/>
          <w:sz w:val="24"/>
        </w:rPr>
      </w:pPr>
      <w:r w:rsidRPr="00E93E0F">
        <w:rPr>
          <w:rFonts w:ascii="Times New Roman" w:hAnsi="Times New Roman"/>
          <w:sz w:val="24"/>
        </w:rPr>
        <w:t>EI10</w:t>
      </w:r>
      <w:r w:rsidR="00BB1E42">
        <w:rPr>
          <w:rFonts w:ascii="Times New Roman" w:hAnsi="Times New Roman"/>
          <w:sz w:val="24"/>
        </w:rPr>
        <w:t>.</w:t>
      </w:r>
      <w:r w:rsidRPr="00E93E0F">
        <w:rPr>
          <w:rFonts w:ascii="Times New Roman" w:hAnsi="Times New Roman"/>
          <w:sz w:val="24"/>
        </w:rPr>
        <w:tab/>
        <w:t xml:space="preserve">O Plano C também tem um </w:t>
      </w:r>
      <w:r w:rsidRPr="00557FC8">
        <w:rPr>
          <w:rFonts w:ascii="Times New Roman" w:hAnsi="Times New Roman"/>
          <w:i/>
          <w:sz w:val="24"/>
        </w:rPr>
        <w:t>superávit</w:t>
      </w:r>
      <w:r w:rsidR="00557FC8">
        <w:rPr>
          <w:rFonts w:ascii="Times New Roman" w:hAnsi="Times New Roman"/>
          <w:sz w:val="24"/>
        </w:rPr>
        <w:t>,</w:t>
      </w:r>
      <w:r w:rsidRPr="00557FC8">
        <w:rPr>
          <w:rFonts w:ascii="Times New Roman" w:hAnsi="Times New Roman"/>
          <w:sz w:val="24"/>
        </w:rPr>
        <w:t xml:space="preserve"> </w:t>
      </w:r>
      <w:r w:rsidRPr="00E93E0F">
        <w:rPr>
          <w:rFonts w:ascii="Times New Roman" w:hAnsi="Times New Roman"/>
          <w:sz w:val="24"/>
        </w:rPr>
        <w:t xml:space="preserve">conforme o Pronunciamento Técnico CPC 33 no final do período </w:t>
      </w:r>
      <w:r w:rsidR="005B6A13">
        <w:rPr>
          <w:rFonts w:ascii="Times New Roman" w:hAnsi="Times New Roman"/>
          <w:sz w:val="24"/>
        </w:rPr>
        <w:t>das demonstrações contábeis</w:t>
      </w:r>
      <w:r w:rsidRPr="00E93E0F">
        <w:rPr>
          <w:rFonts w:ascii="Times New Roman" w:hAnsi="Times New Roman"/>
          <w:sz w:val="24"/>
        </w:rPr>
        <w:t xml:space="preserve"> de </w:t>
      </w:r>
      <w:r w:rsidR="004971A4">
        <w:rPr>
          <w:rFonts w:ascii="Times New Roman" w:hAnsi="Times New Roman"/>
          <w:sz w:val="24"/>
        </w:rPr>
        <w:t xml:space="preserve">$ </w:t>
      </w:r>
      <w:r w:rsidRPr="00E93E0F">
        <w:rPr>
          <w:rFonts w:ascii="Times New Roman" w:hAnsi="Times New Roman"/>
          <w:sz w:val="24"/>
        </w:rPr>
        <w:t xml:space="preserve">50, que não pode ser restituído para a entidade sob nenhuma circunstância. </w:t>
      </w:r>
    </w:p>
    <w:p w:rsidR="005B6A13" w:rsidRPr="00E93E0F" w:rsidRDefault="005B6A13" w:rsidP="00DF25E0">
      <w:pPr>
        <w:spacing w:before="0" w:after="0"/>
        <w:ind w:left="705" w:hanging="705"/>
        <w:rPr>
          <w:rFonts w:ascii="Times New Roman" w:hAnsi="Times New Roman"/>
          <w:sz w:val="24"/>
        </w:rPr>
      </w:pPr>
    </w:p>
    <w:p w:rsidR="00DF25E0" w:rsidRPr="00E93E0F" w:rsidRDefault="00DF25E0" w:rsidP="00BB1E42">
      <w:pPr>
        <w:spacing w:before="0" w:after="0"/>
        <w:ind w:left="567" w:hanging="567"/>
        <w:rPr>
          <w:rFonts w:ascii="Times New Roman" w:hAnsi="Times New Roman"/>
          <w:sz w:val="24"/>
        </w:rPr>
      </w:pPr>
      <w:r w:rsidRPr="00E93E0F">
        <w:rPr>
          <w:rFonts w:ascii="Times New Roman" w:hAnsi="Times New Roman"/>
          <w:sz w:val="24"/>
        </w:rPr>
        <w:t>EI11</w:t>
      </w:r>
      <w:r w:rsidR="00BB1E42">
        <w:rPr>
          <w:rFonts w:ascii="Times New Roman" w:hAnsi="Times New Roman"/>
          <w:sz w:val="24"/>
        </w:rPr>
        <w:t>.</w:t>
      </w:r>
      <w:r w:rsidRPr="00E93E0F">
        <w:rPr>
          <w:rFonts w:ascii="Times New Roman" w:hAnsi="Times New Roman"/>
          <w:sz w:val="24"/>
        </w:rPr>
        <w:tab/>
        <w:t xml:space="preserve">Os valores nominais </w:t>
      </w:r>
      <w:r w:rsidR="00823CCB">
        <w:rPr>
          <w:rFonts w:ascii="Times New Roman" w:hAnsi="Times New Roman"/>
          <w:sz w:val="24"/>
        </w:rPr>
        <w:t xml:space="preserve">de contribuições exigidas para atender aos requisitos </w:t>
      </w:r>
      <w:r w:rsidRPr="00E93E0F">
        <w:rPr>
          <w:rFonts w:ascii="Times New Roman" w:hAnsi="Times New Roman"/>
          <w:sz w:val="24"/>
        </w:rPr>
        <w:t xml:space="preserve">de </w:t>
      </w:r>
      <w:r w:rsidR="00E61348">
        <w:rPr>
          <w:rFonts w:ascii="Times New Roman" w:hAnsi="Times New Roman"/>
          <w:sz w:val="24"/>
        </w:rPr>
        <w:t>custeio (</w:t>
      </w:r>
      <w:r w:rsidR="00E61348" w:rsidRPr="00557FC8">
        <w:rPr>
          <w:rFonts w:ascii="Times New Roman" w:hAnsi="Times New Roman"/>
          <w:i/>
          <w:sz w:val="24"/>
        </w:rPr>
        <w:t>funding</w:t>
      </w:r>
      <w:r w:rsidR="00E61348">
        <w:rPr>
          <w:rFonts w:ascii="Times New Roman" w:hAnsi="Times New Roman"/>
          <w:sz w:val="24"/>
        </w:rPr>
        <w:t>)</w:t>
      </w:r>
      <w:r w:rsidR="00823CCB">
        <w:rPr>
          <w:rFonts w:ascii="Times New Roman" w:hAnsi="Times New Roman"/>
          <w:sz w:val="24"/>
        </w:rPr>
        <w:t xml:space="preserve"> mínimo</w:t>
      </w:r>
      <w:r w:rsidRPr="00E93E0F">
        <w:rPr>
          <w:rFonts w:ascii="Times New Roman" w:hAnsi="Times New Roman"/>
          <w:sz w:val="24"/>
        </w:rPr>
        <w:t xml:space="preserve"> em relação à defasagem e ao serviço futuro para os próximos três anos estão definidos abaixo.</w:t>
      </w:r>
    </w:p>
    <w:p w:rsidR="00DF25E0" w:rsidRDefault="00DF25E0" w:rsidP="00DF25E0">
      <w:pPr>
        <w:spacing w:before="0" w:after="0"/>
        <w:ind w:left="705" w:hanging="705"/>
        <w:rPr>
          <w:rFonts w:ascii="Times New Roman" w:hAnsi="Times New Roman"/>
        </w:rPr>
      </w:pPr>
    </w:p>
    <w:tbl>
      <w:tblPr>
        <w:tblpPr w:leftFromText="141" w:rightFromText="141" w:vertAnchor="text" w:horzAnchor="page" w:tblpX="2468" w:tblpY="49"/>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50" w:type="dxa"/>
          <w:bottom w:w="5" w:type="dxa"/>
          <w:right w:w="50" w:type="dxa"/>
        </w:tblCellMar>
        <w:tblLook w:val="0000"/>
      </w:tblPr>
      <w:tblGrid>
        <w:gridCol w:w="1276"/>
        <w:gridCol w:w="2173"/>
        <w:gridCol w:w="2174"/>
        <w:gridCol w:w="2174"/>
      </w:tblGrid>
      <w:tr w:rsidR="00340B87" w:rsidRPr="00E93E0F" w:rsidTr="00340B87">
        <w:trPr>
          <w:trHeight w:val="340"/>
        </w:trPr>
        <w:tc>
          <w:tcPr>
            <w:tcW w:w="1276" w:type="dxa"/>
          </w:tcPr>
          <w:p w:rsidR="00340B87" w:rsidRPr="00340B87" w:rsidRDefault="00340B87" w:rsidP="00340B87">
            <w:pPr>
              <w:jc w:val="center"/>
              <w:rPr>
                <w:rFonts w:ascii="Times New Roman" w:hAnsi="Times New Roman"/>
                <w:b/>
                <w:sz w:val="24"/>
              </w:rPr>
            </w:pPr>
            <w:r w:rsidRPr="00340B87">
              <w:rPr>
                <w:rFonts w:ascii="Times New Roman" w:hAnsi="Times New Roman"/>
                <w:b/>
                <w:sz w:val="24"/>
              </w:rPr>
              <w:t>Ano</w:t>
            </w:r>
          </w:p>
        </w:tc>
        <w:tc>
          <w:tcPr>
            <w:tcW w:w="2173" w:type="dxa"/>
            <w:vAlign w:val="center"/>
          </w:tcPr>
          <w:p w:rsidR="00340B87" w:rsidRPr="00340B87" w:rsidRDefault="00340B87" w:rsidP="00340B87">
            <w:pPr>
              <w:jc w:val="center"/>
              <w:rPr>
                <w:rFonts w:ascii="Times New Roman" w:hAnsi="Times New Roman"/>
                <w:b/>
                <w:sz w:val="24"/>
              </w:rPr>
            </w:pPr>
            <w:r w:rsidRPr="00340B87">
              <w:rPr>
                <w:rFonts w:ascii="Times New Roman" w:hAnsi="Times New Roman"/>
                <w:b/>
                <w:sz w:val="24"/>
              </w:rPr>
              <w:t>Contribuições totais para requisito de custeio (</w:t>
            </w:r>
            <w:proofErr w:type="spellStart"/>
            <w:r w:rsidRPr="00340B87">
              <w:rPr>
                <w:rFonts w:ascii="Times New Roman" w:hAnsi="Times New Roman"/>
                <w:b/>
                <w:i/>
                <w:sz w:val="24"/>
                <w:lang w:val="pt-BR"/>
              </w:rPr>
              <w:t>funding</w:t>
            </w:r>
            <w:proofErr w:type="spellEnd"/>
            <w:r w:rsidRPr="00340B87">
              <w:rPr>
                <w:rFonts w:ascii="Times New Roman" w:hAnsi="Times New Roman"/>
                <w:b/>
                <w:sz w:val="24"/>
              </w:rPr>
              <w:t>) mínimo</w:t>
            </w:r>
          </w:p>
        </w:tc>
        <w:tc>
          <w:tcPr>
            <w:tcW w:w="2174" w:type="dxa"/>
          </w:tcPr>
          <w:p w:rsidR="00340B87" w:rsidRPr="00340B87" w:rsidRDefault="00340B87" w:rsidP="00340B87">
            <w:pPr>
              <w:jc w:val="center"/>
              <w:rPr>
                <w:rFonts w:ascii="Times New Roman" w:hAnsi="Times New Roman"/>
                <w:b/>
                <w:sz w:val="24"/>
              </w:rPr>
            </w:pPr>
            <w:r w:rsidRPr="00340B87">
              <w:rPr>
                <w:rFonts w:ascii="Times New Roman" w:hAnsi="Times New Roman"/>
                <w:b/>
                <w:sz w:val="24"/>
              </w:rPr>
              <w:t>Contribuições necessárias para sanar a defasagem</w:t>
            </w:r>
          </w:p>
        </w:tc>
        <w:tc>
          <w:tcPr>
            <w:tcW w:w="2174" w:type="dxa"/>
          </w:tcPr>
          <w:p w:rsidR="00340B87" w:rsidRPr="00340B87" w:rsidRDefault="00340B87" w:rsidP="00340B87">
            <w:pPr>
              <w:jc w:val="center"/>
              <w:rPr>
                <w:rFonts w:ascii="Times New Roman" w:hAnsi="Times New Roman"/>
                <w:b/>
                <w:sz w:val="24"/>
              </w:rPr>
            </w:pPr>
            <w:r w:rsidRPr="00340B87">
              <w:rPr>
                <w:rFonts w:ascii="Times New Roman" w:hAnsi="Times New Roman"/>
                <w:b/>
                <w:sz w:val="24"/>
              </w:rPr>
              <w:t>Contribuições necessárias para cobrir o serviço futuro</w:t>
            </w:r>
          </w:p>
        </w:tc>
      </w:tr>
      <w:tr w:rsidR="00340B87" w:rsidRPr="00E93E0F" w:rsidTr="00340B87">
        <w:trPr>
          <w:trHeight w:val="340"/>
        </w:trPr>
        <w:tc>
          <w:tcPr>
            <w:tcW w:w="1276"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w:t>
            </w:r>
          </w:p>
        </w:tc>
        <w:tc>
          <w:tcPr>
            <w:tcW w:w="2173"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135</w:t>
            </w:r>
          </w:p>
        </w:tc>
        <w:tc>
          <w:tcPr>
            <w:tcW w:w="2174"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120</w:t>
            </w:r>
          </w:p>
        </w:tc>
        <w:tc>
          <w:tcPr>
            <w:tcW w:w="2174"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15</w:t>
            </w:r>
          </w:p>
        </w:tc>
      </w:tr>
      <w:tr w:rsidR="00340B87" w:rsidRPr="00E93E0F" w:rsidTr="00340B87">
        <w:trPr>
          <w:trHeight w:val="340"/>
        </w:trPr>
        <w:tc>
          <w:tcPr>
            <w:tcW w:w="1276"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2</w:t>
            </w:r>
          </w:p>
        </w:tc>
        <w:tc>
          <w:tcPr>
            <w:tcW w:w="2173"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125</w:t>
            </w:r>
          </w:p>
        </w:tc>
        <w:tc>
          <w:tcPr>
            <w:tcW w:w="2174"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112</w:t>
            </w:r>
          </w:p>
        </w:tc>
        <w:tc>
          <w:tcPr>
            <w:tcW w:w="2174"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13</w:t>
            </w:r>
          </w:p>
        </w:tc>
      </w:tr>
      <w:tr w:rsidR="00340B87" w:rsidRPr="00E93E0F" w:rsidTr="00340B87">
        <w:trPr>
          <w:trHeight w:val="340"/>
        </w:trPr>
        <w:tc>
          <w:tcPr>
            <w:tcW w:w="1276"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3</w:t>
            </w:r>
          </w:p>
        </w:tc>
        <w:tc>
          <w:tcPr>
            <w:tcW w:w="2173"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115</w:t>
            </w:r>
          </w:p>
        </w:tc>
        <w:tc>
          <w:tcPr>
            <w:tcW w:w="2174"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104</w:t>
            </w:r>
          </w:p>
        </w:tc>
        <w:tc>
          <w:tcPr>
            <w:tcW w:w="2174" w:type="dxa"/>
            <w:vAlign w:val="center"/>
          </w:tcPr>
          <w:p w:rsidR="00340B87" w:rsidRPr="00340B87" w:rsidRDefault="00340B87" w:rsidP="00340B87">
            <w:pPr>
              <w:jc w:val="center"/>
              <w:rPr>
                <w:rFonts w:ascii="Times New Roman" w:hAnsi="Times New Roman"/>
                <w:sz w:val="24"/>
              </w:rPr>
            </w:pPr>
            <w:r w:rsidRPr="00340B87">
              <w:rPr>
                <w:rFonts w:ascii="Times New Roman" w:hAnsi="Times New Roman"/>
                <w:sz w:val="24"/>
              </w:rPr>
              <w:t>11</w:t>
            </w:r>
          </w:p>
        </w:tc>
      </w:tr>
    </w:tbl>
    <w:p w:rsidR="00823CCB" w:rsidRDefault="00823CCB" w:rsidP="00DF25E0">
      <w:pPr>
        <w:spacing w:before="0" w:after="0"/>
        <w:ind w:left="705" w:hanging="705"/>
        <w:rPr>
          <w:rFonts w:ascii="Times New Roman" w:hAnsi="Times New Roman"/>
        </w:rPr>
      </w:pPr>
    </w:p>
    <w:p w:rsidR="00823CCB" w:rsidRDefault="00823CCB" w:rsidP="00DF25E0">
      <w:pPr>
        <w:spacing w:before="0" w:after="0"/>
        <w:ind w:left="705" w:hanging="705"/>
        <w:rPr>
          <w:rFonts w:ascii="Times New Roman" w:hAnsi="Times New Roman"/>
        </w:rPr>
      </w:pPr>
    </w:p>
    <w:p w:rsidR="00823CCB" w:rsidRPr="003A2908" w:rsidRDefault="00823CCB" w:rsidP="00DF25E0">
      <w:pPr>
        <w:spacing w:before="0" w:after="0"/>
        <w:ind w:left="705" w:hanging="705"/>
        <w:rPr>
          <w:rFonts w:ascii="Times New Roman" w:hAnsi="Times New Roman"/>
        </w:rPr>
      </w:pPr>
    </w:p>
    <w:p w:rsidR="00DF25E0" w:rsidRDefault="00DF25E0" w:rsidP="00DF25E0">
      <w:pPr>
        <w:pStyle w:val="Estilo2"/>
        <w:spacing w:before="0" w:line="240" w:lineRule="auto"/>
        <w:rPr>
          <w:rFonts w:ascii="Times New Roman" w:hAnsi="Times New Roman" w:cs="Times New Roman"/>
        </w:rPr>
      </w:pPr>
    </w:p>
    <w:p w:rsidR="00340B87" w:rsidRDefault="00340B87" w:rsidP="00DF25E0">
      <w:pPr>
        <w:pStyle w:val="Estilo2"/>
        <w:spacing w:before="0" w:line="240" w:lineRule="auto"/>
        <w:rPr>
          <w:rFonts w:ascii="Times New Roman" w:hAnsi="Times New Roman" w:cs="Times New Roman"/>
        </w:rPr>
      </w:pPr>
    </w:p>
    <w:p w:rsidR="00340B87" w:rsidRDefault="00340B87" w:rsidP="00DF25E0">
      <w:pPr>
        <w:pStyle w:val="Estilo2"/>
        <w:spacing w:before="0" w:line="240" w:lineRule="auto"/>
        <w:rPr>
          <w:rFonts w:ascii="Times New Roman" w:hAnsi="Times New Roman" w:cs="Times New Roman"/>
          <w:sz w:val="24"/>
        </w:rPr>
      </w:pPr>
    </w:p>
    <w:p w:rsidR="00340B87" w:rsidRDefault="00340B87" w:rsidP="00DF25E0">
      <w:pPr>
        <w:pStyle w:val="Estilo2"/>
        <w:spacing w:before="0" w:line="240" w:lineRule="auto"/>
        <w:rPr>
          <w:rFonts w:ascii="Times New Roman" w:hAnsi="Times New Roman" w:cs="Times New Roman"/>
          <w:sz w:val="24"/>
        </w:rPr>
      </w:pPr>
    </w:p>
    <w:p w:rsidR="00340B87" w:rsidRDefault="00340B87" w:rsidP="00DF25E0">
      <w:pPr>
        <w:pStyle w:val="Estilo2"/>
        <w:spacing w:before="0" w:line="240" w:lineRule="auto"/>
        <w:rPr>
          <w:rFonts w:ascii="Times New Roman" w:hAnsi="Times New Roman" w:cs="Times New Roman"/>
          <w:sz w:val="24"/>
        </w:rPr>
      </w:pPr>
    </w:p>
    <w:p w:rsidR="00340B87" w:rsidRDefault="00340B87" w:rsidP="00DF25E0">
      <w:pPr>
        <w:pStyle w:val="Estilo2"/>
        <w:spacing w:before="0" w:line="240" w:lineRule="auto"/>
        <w:rPr>
          <w:rFonts w:ascii="Times New Roman" w:hAnsi="Times New Roman" w:cs="Times New Roman"/>
          <w:sz w:val="24"/>
        </w:rPr>
      </w:pPr>
    </w:p>
    <w:p w:rsidR="00340B87" w:rsidRDefault="00340B87" w:rsidP="00DF25E0">
      <w:pPr>
        <w:pStyle w:val="Estilo2"/>
        <w:spacing w:before="0" w:line="240" w:lineRule="auto"/>
        <w:rPr>
          <w:rFonts w:ascii="Times New Roman" w:hAnsi="Times New Roman" w:cs="Times New Roman"/>
          <w:sz w:val="24"/>
        </w:rPr>
      </w:pPr>
    </w:p>
    <w:p w:rsidR="00340B87" w:rsidRDefault="00340B87" w:rsidP="00DF25E0">
      <w:pPr>
        <w:pStyle w:val="Estilo2"/>
        <w:spacing w:before="0" w:line="240" w:lineRule="auto"/>
        <w:rPr>
          <w:rFonts w:ascii="Times New Roman" w:hAnsi="Times New Roman" w:cs="Times New Roman"/>
          <w:sz w:val="24"/>
        </w:rPr>
      </w:pPr>
    </w:p>
    <w:p w:rsidR="00340B87" w:rsidRDefault="00340B87" w:rsidP="00DF25E0">
      <w:pPr>
        <w:pStyle w:val="Estilo2"/>
        <w:spacing w:before="0" w:line="240" w:lineRule="auto"/>
        <w:rPr>
          <w:rFonts w:ascii="Times New Roman" w:hAnsi="Times New Roman" w:cs="Times New Roman"/>
          <w:sz w:val="24"/>
        </w:rPr>
      </w:pPr>
    </w:p>
    <w:p w:rsidR="00340B87" w:rsidRDefault="00340B87" w:rsidP="00DF25E0">
      <w:pPr>
        <w:pStyle w:val="Estilo2"/>
        <w:spacing w:before="0" w:line="240" w:lineRule="auto"/>
        <w:rPr>
          <w:rFonts w:ascii="Times New Roman" w:hAnsi="Times New Roman" w:cs="Times New Roman"/>
          <w:sz w:val="24"/>
        </w:rPr>
      </w:pPr>
    </w:p>
    <w:p w:rsidR="00DF25E0" w:rsidRPr="00340B87" w:rsidRDefault="00DF25E0" w:rsidP="00DF25E0">
      <w:pPr>
        <w:pStyle w:val="Estilo2"/>
        <w:spacing w:before="0" w:line="240" w:lineRule="auto"/>
        <w:rPr>
          <w:rFonts w:ascii="Times New Roman" w:hAnsi="Times New Roman" w:cs="Times New Roman"/>
          <w:sz w:val="24"/>
        </w:rPr>
      </w:pPr>
      <w:r w:rsidRPr="00340B87">
        <w:rPr>
          <w:rFonts w:ascii="Times New Roman" w:hAnsi="Times New Roman" w:cs="Times New Roman"/>
          <w:sz w:val="24"/>
        </w:rPr>
        <w:t>Aplicação de requisitos</w:t>
      </w:r>
    </w:p>
    <w:p w:rsidR="00DF25E0" w:rsidRPr="00340B87" w:rsidRDefault="00DF25E0" w:rsidP="00DF25E0">
      <w:pPr>
        <w:pStyle w:val="Estilo2"/>
        <w:spacing w:before="0" w:line="240" w:lineRule="auto"/>
        <w:rPr>
          <w:rFonts w:ascii="Times New Roman" w:hAnsi="Times New Roman" w:cs="Times New Roman"/>
          <w:sz w:val="24"/>
        </w:rPr>
      </w:pPr>
    </w:p>
    <w:p w:rsidR="00DF25E0" w:rsidRDefault="00DF25E0" w:rsidP="00340B87">
      <w:pPr>
        <w:pStyle w:val="IASBNormalnpara"/>
        <w:spacing w:before="0"/>
        <w:ind w:left="567" w:hanging="567"/>
        <w:rPr>
          <w:sz w:val="24"/>
        </w:rPr>
      </w:pPr>
      <w:r w:rsidRPr="00E93E0F">
        <w:rPr>
          <w:sz w:val="24"/>
        </w:rPr>
        <w:t>EI12</w:t>
      </w:r>
      <w:r w:rsidR="00BB1E42">
        <w:rPr>
          <w:sz w:val="24"/>
        </w:rPr>
        <w:t>.</w:t>
      </w:r>
      <w:r w:rsidRPr="00E93E0F">
        <w:rPr>
          <w:sz w:val="24"/>
        </w:rPr>
        <w:tab/>
        <w:t xml:space="preserve">A obrigação presente da entidade em relação aos serviços já recebidos inclui as contribuições necessárias para sanar a defasagem, mas não inclui as contribuições mínimas necessárias para cobrir </w:t>
      </w:r>
      <w:r w:rsidR="00217EAB">
        <w:rPr>
          <w:sz w:val="24"/>
        </w:rPr>
        <w:t>serviço</w:t>
      </w:r>
      <w:r w:rsidRPr="00E93E0F">
        <w:rPr>
          <w:sz w:val="24"/>
        </w:rPr>
        <w:t xml:space="preserve"> futuro.</w:t>
      </w:r>
    </w:p>
    <w:p w:rsidR="00DF25E0" w:rsidRPr="00E93E0F" w:rsidRDefault="00DF25E0" w:rsidP="00DF25E0">
      <w:pPr>
        <w:spacing w:before="0" w:after="0"/>
        <w:ind w:left="705" w:hanging="705"/>
        <w:rPr>
          <w:rFonts w:ascii="Times New Roman" w:hAnsi="Times New Roman"/>
          <w:sz w:val="24"/>
        </w:rPr>
      </w:pPr>
    </w:p>
    <w:p w:rsidR="00DF25E0" w:rsidRPr="004971A4" w:rsidRDefault="00DF25E0" w:rsidP="00340B87">
      <w:pPr>
        <w:pStyle w:val="IASBNormalnpara"/>
        <w:spacing w:before="0"/>
        <w:ind w:left="567" w:hanging="567"/>
        <w:rPr>
          <w:sz w:val="24"/>
          <w:lang w:val="pt-BR"/>
        </w:rPr>
      </w:pPr>
      <w:r w:rsidRPr="004971A4">
        <w:rPr>
          <w:sz w:val="24"/>
          <w:lang w:val="pt-BR"/>
        </w:rPr>
        <w:t>EI13</w:t>
      </w:r>
      <w:r w:rsidR="00BB1E42" w:rsidRPr="004971A4">
        <w:rPr>
          <w:sz w:val="24"/>
          <w:lang w:val="pt-BR"/>
        </w:rPr>
        <w:t>.</w:t>
      </w:r>
      <w:r w:rsidRPr="004971A4">
        <w:rPr>
          <w:sz w:val="24"/>
          <w:lang w:val="pt-BR"/>
        </w:rPr>
        <w:tab/>
        <w:t xml:space="preserve">O valor presente da obrigação da entidade, assumindo a taxa de desconto de 6% ao ano, é aproximadamente </w:t>
      </w:r>
      <w:r w:rsidR="004971A4" w:rsidRPr="004971A4">
        <w:rPr>
          <w:sz w:val="24"/>
          <w:lang w:val="pt-BR"/>
        </w:rPr>
        <w:t xml:space="preserve">$ </w:t>
      </w:r>
      <w:r w:rsidRPr="004971A4">
        <w:rPr>
          <w:sz w:val="24"/>
          <w:lang w:val="pt-BR"/>
        </w:rPr>
        <w:t>300, calculado como segue:</w:t>
      </w:r>
    </w:p>
    <w:p w:rsidR="00DF25E0" w:rsidRDefault="00DF25E0" w:rsidP="00557FC8">
      <w:pPr>
        <w:spacing w:before="0" w:after="0"/>
        <w:ind w:firstLine="567"/>
        <w:rPr>
          <w:rFonts w:ascii="Times New Roman" w:hAnsi="Times New Roman"/>
          <w:sz w:val="24"/>
        </w:rPr>
      </w:pPr>
      <w:r w:rsidRPr="00E93E0F">
        <w:rPr>
          <w:rFonts w:ascii="Times New Roman" w:hAnsi="Times New Roman"/>
          <w:sz w:val="24"/>
        </w:rPr>
        <w:t>[</w:t>
      </w:r>
      <w:r w:rsidR="004971A4">
        <w:rPr>
          <w:rFonts w:ascii="Times New Roman" w:hAnsi="Times New Roman"/>
          <w:sz w:val="24"/>
        </w:rPr>
        <w:t xml:space="preserve">$ </w:t>
      </w:r>
      <w:r w:rsidRPr="00E93E0F">
        <w:rPr>
          <w:rFonts w:ascii="Times New Roman" w:hAnsi="Times New Roman"/>
          <w:sz w:val="24"/>
        </w:rPr>
        <w:t xml:space="preserve">120/(1.06) + </w:t>
      </w:r>
      <w:r w:rsidR="004971A4">
        <w:rPr>
          <w:rFonts w:ascii="Times New Roman" w:hAnsi="Times New Roman"/>
          <w:sz w:val="24"/>
        </w:rPr>
        <w:t xml:space="preserve">$ </w:t>
      </w:r>
      <w:r w:rsidRPr="00E93E0F">
        <w:rPr>
          <w:rFonts w:ascii="Times New Roman" w:hAnsi="Times New Roman"/>
          <w:sz w:val="24"/>
        </w:rPr>
        <w:t>112 /(1.06)</w:t>
      </w:r>
      <w:r w:rsidRPr="00E93E0F">
        <w:rPr>
          <w:rFonts w:ascii="Times New Roman" w:hAnsi="Times New Roman"/>
          <w:sz w:val="24"/>
          <w:vertAlign w:val="superscript"/>
        </w:rPr>
        <w:t>2</w:t>
      </w:r>
      <w:r w:rsidRPr="00E93E0F">
        <w:rPr>
          <w:rFonts w:ascii="Times New Roman" w:hAnsi="Times New Roman"/>
          <w:sz w:val="24"/>
        </w:rPr>
        <w:t xml:space="preserve"> + </w:t>
      </w:r>
      <w:r w:rsidR="004971A4">
        <w:rPr>
          <w:rFonts w:ascii="Times New Roman" w:hAnsi="Times New Roman"/>
          <w:sz w:val="24"/>
        </w:rPr>
        <w:t xml:space="preserve">$ </w:t>
      </w:r>
      <w:r w:rsidRPr="00E93E0F">
        <w:rPr>
          <w:rFonts w:ascii="Times New Roman" w:hAnsi="Times New Roman"/>
          <w:sz w:val="24"/>
        </w:rPr>
        <w:t>104/(1.06)</w:t>
      </w:r>
      <w:r w:rsidRPr="00E93E0F">
        <w:rPr>
          <w:rFonts w:ascii="Times New Roman" w:hAnsi="Times New Roman"/>
          <w:sz w:val="24"/>
          <w:vertAlign w:val="superscript"/>
        </w:rPr>
        <w:t>3</w:t>
      </w:r>
      <w:r w:rsidRPr="00E93E0F">
        <w:rPr>
          <w:rFonts w:ascii="Times New Roman" w:hAnsi="Times New Roman"/>
          <w:sz w:val="24"/>
        </w:rPr>
        <w:t>].</w:t>
      </w:r>
    </w:p>
    <w:p w:rsidR="00BB1E42" w:rsidRDefault="00BB1E42" w:rsidP="00DF25E0">
      <w:pPr>
        <w:spacing w:before="0" w:after="0"/>
        <w:ind w:firstLine="705"/>
        <w:rPr>
          <w:rFonts w:ascii="Times New Roman" w:hAnsi="Times New Roman"/>
          <w:sz w:val="24"/>
        </w:rPr>
      </w:pPr>
    </w:p>
    <w:p w:rsidR="00DF25E0" w:rsidRPr="00217EAB" w:rsidRDefault="00217EAB" w:rsidP="00340B87">
      <w:pPr>
        <w:pStyle w:val="IASBNormalnpara"/>
        <w:spacing w:before="0"/>
        <w:ind w:left="567" w:hanging="567"/>
        <w:rPr>
          <w:sz w:val="24"/>
          <w:lang w:val="pt-BR"/>
        </w:rPr>
      </w:pPr>
      <w:bookmarkStart w:id="7" w:name="F3902581"/>
      <w:r>
        <w:rPr>
          <w:rStyle w:val="tw4winMark"/>
          <w:szCs w:val="24"/>
          <w:lang w:val="pt-BR"/>
        </w:rPr>
        <w:t>{0&gt;</w:t>
      </w:r>
      <w:r w:rsidRPr="004028D4">
        <w:rPr>
          <w:noProof/>
          <w:vanish/>
          <w:color w:val="0000FF"/>
          <w:szCs w:val="24"/>
          <w:lang w:val="pt-BR"/>
        </w:rPr>
        <w:t>IE12</w:t>
      </w:r>
      <w:r>
        <w:rPr>
          <w:rStyle w:val="tw4winMark"/>
          <w:szCs w:val="24"/>
          <w:lang w:val="pt-BR"/>
        </w:rPr>
        <w:t>&lt;}100{&gt;&lt;0}</w:t>
      </w:r>
      <w:bookmarkEnd w:id="7"/>
      <w:r w:rsidR="00DF25E0" w:rsidRPr="00217EAB">
        <w:rPr>
          <w:sz w:val="24"/>
          <w:lang w:val="pt-BR"/>
        </w:rPr>
        <w:t>EI14</w:t>
      </w:r>
      <w:r w:rsidR="00BB1E42">
        <w:rPr>
          <w:sz w:val="24"/>
          <w:lang w:val="pt-BR"/>
        </w:rPr>
        <w:t>.</w:t>
      </w:r>
      <w:r w:rsidR="00DF25E0" w:rsidRPr="00217EAB">
        <w:rPr>
          <w:sz w:val="24"/>
          <w:lang w:val="pt-BR"/>
        </w:rPr>
        <w:tab/>
        <w:t xml:space="preserve">Quando essas contribuições forem pagas para o plano, o </w:t>
      </w:r>
      <w:r w:rsidR="00DF25E0" w:rsidRPr="00557FC8">
        <w:rPr>
          <w:i/>
          <w:sz w:val="24"/>
          <w:lang w:val="pt-BR"/>
        </w:rPr>
        <w:t>superávit</w:t>
      </w:r>
      <w:r w:rsidR="00557FC8">
        <w:rPr>
          <w:sz w:val="24"/>
          <w:lang w:val="pt-BR"/>
        </w:rPr>
        <w:t>,</w:t>
      </w:r>
      <w:r w:rsidR="00DF25E0" w:rsidRPr="00217EAB">
        <w:rPr>
          <w:sz w:val="24"/>
          <w:lang w:val="pt-BR"/>
        </w:rPr>
        <w:t xml:space="preserve"> conforme o Pronunciamento Técnico CPC 33 (ou seja, o valor justo dos ativos menos o valor presente da obrigação de benefício definido), </w:t>
      </w:r>
      <w:r>
        <w:rPr>
          <w:sz w:val="24"/>
          <w:lang w:val="pt-BR"/>
        </w:rPr>
        <w:t xml:space="preserve">aumentaria </w:t>
      </w:r>
      <w:r w:rsidR="00DF25E0" w:rsidRPr="00217EAB">
        <w:rPr>
          <w:sz w:val="24"/>
          <w:lang w:val="pt-BR"/>
        </w:rPr>
        <w:t xml:space="preserve">de </w:t>
      </w:r>
      <w:r w:rsidR="004971A4">
        <w:rPr>
          <w:sz w:val="24"/>
          <w:lang w:val="pt-BR"/>
        </w:rPr>
        <w:t xml:space="preserve">$ </w:t>
      </w:r>
      <w:r w:rsidR="00DF25E0" w:rsidRPr="00217EAB">
        <w:rPr>
          <w:sz w:val="24"/>
          <w:lang w:val="pt-BR"/>
        </w:rPr>
        <w:t xml:space="preserve">50 para </w:t>
      </w:r>
      <w:r w:rsidR="004971A4">
        <w:rPr>
          <w:sz w:val="24"/>
          <w:lang w:val="pt-BR"/>
        </w:rPr>
        <w:t xml:space="preserve">$ </w:t>
      </w:r>
      <w:r w:rsidR="00DF25E0" w:rsidRPr="00217EAB">
        <w:rPr>
          <w:sz w:val="24"/>
          <w:lang w:val="pt-BR"/>
        </w:rPr>
        <w:t>350 (</w:t>
      </w:r>
      <w:r w:rsidR="004971A4">
        <w:rPr>
          <w:sz w:val="24"/>
          <w:lang w:val="pt-BR"/>
        </w:rPr>
        <w:t xml:space="preserve">$ </w:t>
      </w:r>
      <w:r w:rsidR="00DF25E0" w:rsidRPr="00217EAB">
        <w:rPr>
          <w:sz w:val="24"/>
          <w:lang w:val="pt-BR"/>
        </w:rPr>
        <w:t xml:space="preserve">300 + </w:t>
      </w:r>
      <w:r w:rsidR="004971A4">
        <w:rPr>
          <w:sz w:val="24"/>
          <w:lang w:val="pt-BR"/>
        </w:rPr>
        <w:t xml:space="preserve">$ </w:t>
      </w:r>
      <w:r w:rsidR="00DF25E0" w:rsidRPr="00217EAB">
        <w:rPr>
          <w:sz w:val="24"/>
          <w:lang w:val="pt-BR"/>
        </w:rPr>
        <w:t>50)</w:t>
      </w:r>
      <w:r>
        <w:rPr>
          <w:sz w:val="24"/>
          <w:lang w:val="pt-BR"/>
        </w:rPr>
        <w:t>, com os demais elementos permanecendo inalterados</w:t>
      </w:r>
      <w:r w:rsidR="00DF25E0" w:rsidRPr="00217EAB">
        <w:rPr>
          <w:sz w:val="24"/>
          <w:lang w:val="pt-BR"/>
        </w:rPr>
        <w:t xml:space="preserve">. </w:t>
      </w:r>
    </w:p>
    <w:p w:rsidR="00DF25E0" w:rsidRPr="00217EAB" w:rsidRDefault="00DF25E0" w:rsidP="00DF25E0">
      <w:pPr>
        <w:spacing w:before="0" w:after="0"/>
        <w:ind w:left="705" w:hanging="705"/>
        <w:rPr>
          <w:rFonts w:ascii="Times New Roman" w:hAnsi="Times New Roman"/>
          <w:sz w:val="24"/>
          <w:lang w:val="pt-BR"/>
        </w:rPr>
      </w:pPr>
    </w:p>
    <w:p w:rsidR="00DF25E0" w:rsidRPr="00557FC8" w:rsidRDefault="00DF25E0" w:rsidP="00340B87">
      <w:pPr>
        <w:pStyle w:val="IASBNormalnpara"/>
        <w:spacing w:before="0"/>
        <w:ind w:left="567" w:hanging="567"/>
        <w:rPr>
          <w:sz w:val="24"/>
          <w:lang w:val="pt-BR"/>
        </w:rPr>
      </w:pPr>
      <w:r w:rsidRPr="00557FC8">
        <w:rPr>
          <w:sz w:val="24"/>
          <w:lang w:val="pt-BR"/>
        </w:rPr>
        <w:t>EI15</w:t>
      </w:r>
      <w:r w:rsidR="00BB1E42" w:rsidRPr="00557FC8">
        <w:rPr>
          <w:sz w:val="24"/>
          <w:lang w:val="pt-BR"/>
        </w:rPr>
        <w:t>.</w:t>
      </w:r>
      <w:r w:rsidRPr="00557FC8">
        <w:rPr>
          <w:sz w:val="24"/>
          <w:lang w:val="pt-BR"/>
        </w:rPr>
        <w:tab/>
        <w:t xml:space="preserve">Entretanto, o </w:t>
      </w:r>
      <w:r w:rsidRPr="00557FC8">
        <w:rPr>
          <w:i/>
          <w:sz w:val="24"/>
          <w:lang w:val="pt-BR"/>
        </w:rPr>
        <w:t xml:space="preserve">superávit </w:t>
      </w:r>
      <w:r w:rsidRPr="00557FC8">
        <w:rPr>
          <w:sz w:val="24"/>
          <w:lang w:val="pt-BR"/>
        </w:rPr>
        <w:t>não é restituível, embora um ativo possa estar disponível como redução nas contribuições futuras.</w:t>
      </w:r>
    </w:p>
    <w:p w:rsidR="00DF25E0" w:rsidRPr="00E93E0F" w:rsidRDefault="00DF25E0" w:rsidP="00DF25E0">
      <w:pPr>
        <w:spacing w:before="0" w:after="0"/>
        <w:ind w:left="705" w:hanging="705"/>
        <w:rPr>
          <w:rFonts w:ascii="Times New Roman" w:hAnsi="Times New Roman"/>
          <w:sz w:val="24"/>
        </w:rPr>
      </w:pPr>
    </w:p>
    <w:p w:rsidR="00DF25E0" w:rsidRPr="00E93E0F" w:rsidRDefault="00DF25E0" w:rsidP="00340B87">
      <w:pPr>
        <w:pStyle w:val="IASBNormalnpara"/>
        <w:spacing w:before="0" w:after="120"/>
        <w:ind w:left="567" w:hanging="567"/>
        <w:rPr>
          <w:sz w:val="24"/>
        </w:rPr>
      </w:pPr>
      <w:r w:rsidRPr="00E93E0F">
        <w:rPr>
          <w:sz w:val="24"/>
        </w:rPr>
        <w:t>EI16</w:t>
      </w:r>
      <w:r w:rsidR="00BB1E42">
        <w:rPr>
          <w:sz w:val="24"/>
        </w:rPr>
        <w:t>.</w:t>
      </w:r>
      <w:r w:rsidRPr="00E93E0F">
        <w:rPr>
          <w:sz w:val="24"/>
        </w:rPr>
        <w:tab/>
        <w:t xml:space="preserve">De acordo com o item 20 da </w:t>
      </w:r>
      <w:r w:rsidR="00217EAB">
        <w:rPr>
          <w:sz w:val="24"/>
        </w:rPr>
        <w:t>ICPC 20,</w:t>
      </w:r>
      <w:r w:rsidRPr="00E93E0F">
        <w:rPr>
          <w:sz w:val="24"/>
        </w:rPr>
        <w:t xml:space="preserve"> o benefício econômico disponível como uma redução nas contribuições futuras é </w:t>
      </w:r>
      <w:r w:rsidR="00217EAB">
        <w:rPr>
          <w:sz w:val="24"/>
        </w:rPr>
        <w:t>a soma de:</w:t>
      </w:r>
    </w:p>
    <w:p w:rsidR="00DF25E0" w:rsidRPr="00340B87" w:rsidRDefault="00591126" w:rsidP="00340B87">
      <w:pPr>
        <w:numPr>
          <w:ilvl w:val="0"/>
          <w:numId w:val="3"/>
        </w:numPr>
        <w:tabs>
          <w:tab w:val="clear" w:pos="1134"/>
        </w:tabs>
        <w:spacing w:before="0"/>
        <w:ind w:left="993" w:hanging="426"/>
        <w:rPr>
          <w:rFonts w:ascii="Times New Roman" w:hAnsi="Times New Roman"/>
          <w:sz w:val="24"/>
        </w:rPr>
      </w:pPr>
      <w:r>
        <w:rPr>
          <w:rFonts w:ascii="Times New Roman" w:hAnsi="Times New Roman"/>
          <w:sz w:val="24"/>
        </w:rPr>
        <w:t>q</w:t>
      </w:r>
      <w:r w:rsidR="00217EAB">
        <w:rPr>
          <w:rFonts w:ascii="Times New Roman" w:hAnsi="Times New Roman"/>
          <w:sz w:val="24"/>
        </w:rPr>
        <w:t xml:space="preserve">ualquer valor que reduza as contribuições de requisito de </w:t>
      </w:r>
      <w:r w:rsidR="00E61348">
        <w:rPr>
          <w:rFonts w:ascii="Times New Roman" w:hAnsi="Times New Roman"/>
          <w:sz w:val="24"/>
        </w:rPr>
        <w:t>custeio (</w:t>
      </w:r>
      <w:proofErr w:type="spellStart"/>
      <w:r w:rsidR="00522639" w:rsidRPr="00522639">
        <w:rPr>
          <w:rFonts w:ascii="Times New Roman" w:hAnsi="Times New Roman"/>
          <w:i/>
          <w:sz w:val="24"/>
          <w:lang w:val="pt-BR"/>
        </w:rPr>
        <w:t>funding</w:t>
      </w:r>
      <w:proofErr w:type="spellEnd"/>
      <w:r w:rsidR="00E61348">
        <w:rPr>
          <w:rFonts w:ascii="Times New Roman" w:hAnsi="Times New Roman"/>
          <w:sz w:val="24"/>
        </w:rPr>
        <w:t>)</w:t>
      </w:r>
      <w:r w:rsidR="00217EAB">
        <w:rPr>
          <w:rFonts w:ascii="Times New Roman" w:hAnsi="Times New Roman"/>
          <w:sz w:val="24"/>
        </w:rPr>
        <w:t xml:space="preserve"> mínimo </w:t>
      </w:r>
      <w:r w:rsidR="00DF25E0" w:rsidRPr="00E93E0F">
        <w:rPr>
          <w:rFonts w:ascii="Times New Roman" w:hAnsi="Times New Roman"/>
          <w:sz w:val="24"/>
        </w:rPr>
        <w:t xml:space="preserve">futuro </w:t>
      </w:r>
      <w:r w:rsidR="00217EAB">
        <w:rPr>
          <w:rFonts w:ascii="Times New Roman" w:hAnsi="Times New Roman"/>
          <w:sz w:val="24"/>
        </w:rPr>
        <w:t>para serviço futuro porque a</w:t>
      </w:r>
      <w:r w:rsidR="00DF25E0" w:rsidRPr="00E93E0F">
        <w:rPr>
          <w:rFonts w:ascii="Times New Roman" w:hAnsi="Times New Roman"/>
          <w:sz w:val="24"/>
        </w:rPr>
        <w:t xml:space="preserve"> entidade</w:t>
      </w:r>
      <w:r w:rsidR="00217EAB">
        <w:rPr>
          <w:rFonts w:ascii="Times New Roman" w:hAnsi="Times New Roman"/>
          <w:sz w:val="24"/>
        </w:rPr>
        <w:t xml:space="preserve"> efetuou um pré-pagamento (ou seja, pagou o valor antes de ser obrigado a faze-lo); e</w:t>
      </w:r>
    </w:p>
    <w:p w:rsidR="00217EAB" w:rsidRPr="00591126" w:rsidRDefault="00217EAB" w:rsidP="00340B87">
      <w:pPr>
        <w:pStyle w:val="IASBNormalnparaL1"/>
        <w:numPr>
          <w:ilvl w:val="0"/>
          <w:numId w:val="3"/>
        </w:numPr>
        <w:tabs>
          <w:tab w:val="clear" w:pos="1134"/>
        </w:tabs>
        <w:ind w:left="993" w:hanging="426"/>
        <w:rPr>
          <w:sz w:val="24"/>
          <w:szCs w:val="24"/>
          <w:lang w:val="pt-PT" w:eastAsia="pt-BR"/>
        </w:rPr>
      </w:pPr>
      <w:bookmarkStart w:id="8" w:name="F3902591"/>
      <w:r>
        <w:rPr>
          <w:rStyle w:val="tw4winMark"/>
          <w:szCs w:val="24"/>
          <w:lang w:val="pt-BR"/>
        </w:rPr>
        <w:t>&lt;0}</w:t>
      </w:r>
      <w:r w:rsidRPr="00591126">
        <w:rPr>
          <w:vanish/>
          <w:sz w:val="24"/>
          <w:lang w:val="pt-PT" w:eastAsia="pt-BR"/>
        </w:rPr>
        <w:t>&lt;}100{&gt;</w:t>
      </w:r>
      <w:r w:rsidRPr="00591126">
        <w:rPr>
          <w:sz w:val="24"/>
          <w:szCs w:val="24"/>
          <w:lang w:val="pt-PT" w:eastAsia="pt-BR"/>
        </w:rPr>
        <w:t xml:space="preserve">o custo do serviço futuro estimado em cada período de acordo com os </w:t>
      </w:r>
      <w:r w:rsidR="00591126">
        <w:rPr>
          <w:sz w:val="24"/>
          <w:szCs w:val="24"/>
          <w:lang w:val="pt-PT" w:eastAsia="pt-BR"/>
        </w:rPr>
        <w:t>itens</w:t>
      </w:r>
      <w:r w:rsidRPr="00591126">
        <w:rPr>
          <w:sz w:val="24"/>
          <w:szCs w:val="24"/>
          <w:lang w:val="pt-PT" w:eastAsia="pt-BR"/>
        </w:rPr>
        <w:t xml:space="preserve"> 16 e 17, menos as contribuições de requisito de </w:t>
      </w:r>
      <w:r w:rsidR="00E61348">
        <w:rPr>
          <w:sz w:val="24"/>
          <w:szCs w:val="24"/>
          <w:lang w:val="pt-PT" w:eastAsia="pt-BR"/>
        </w:rPr>
        <w:t>custeio (</w:t>
      </w:r>
      <w:r w:rsidR="00E61348" w:rsidRPr="009D50CA">
        <w:rPr>
          <w:i/>
          <w:sz w:val="24"/>
          <w:szCs w:val="24"/>
          <w:lang w:val="pt-PT" w:eastAsia="pt-BR"/>
        </w:rPr>
        <w:t>funding</w:t>
      </w:r>
      <w:r w:rsidR="00E61348">
        <w:rPr>
          <w:sz w:val="24"/>
          <w:szCs w:val="24"/>
          <w:lang w:val="pt-PT" w:eastAsia="pt-BR"/>
        </w:rPr>
        <w:t>)</w:t>
      </w:r>
      <w:r w:rsidRPr="00591126">
        <w:rPr>
          <w:sz w:val="24"/>
          <w:szCs w:val="24"/>
          <w:lang w:val="pt-PT" w:eastAsia="pt-BR"/>
        </w:rPr>
        <w:t xml:space="preserve"> mínimo estimado que seriam exigidas para serviço futuro nesses períodos se não houvesse pré-pagamento, conforme descrito no item (a).</w:t>
      </w:r>
      <w:r w:rsidRPr="00591126">
        <w:rPr>
          <w:vanish/>
          <w:sz w:val="24"/>
          <w:lang w:val="pt-PT" w:eastAsia="pt-BR"/>
        </w:rPr>
        <w:t>&lt;0}</w:t>
      </w:r>
    </w:p>
    <w:bookmarkEnd w:id="8"/>
    <w:p w:rsidR="00DF25E0" w:rsidRPr="00217EAB" w:rsidRDefault="00DF25E0" w:rsidP="00DF25E0">
      <w:pPr>
        <w:spacing w:before="0" w:after="0"/>
        <w:rPr>
          <w:rFonts w:ascii="Times New Roman" w:hAnsi="Times New Roman"/>
          <w:sz w:val="24"/>
          <w:lang w:val="pt-BR"/>
        </w:rPr>
      </w:pPr>
    </w:p>
    <w:p w:rsidR="00EB06FF" w:rsidRPr="00EB06FF" w:rsidRDefault="00DF25E0" w:rsidP="00340B87">
      <w:pPr>
        <w:pStyle w:val="IASBNormalnpara"/>
        <w:spacing w:before="0"/>
        <w:ind w:left="567" w:hanging="567"/>
        <w:rPr>
          <w:szCs w:val="24"/>
          <w:lang w:val="pt-BR"/>
        </w:rPr>
      </w:pPr>
      <w:r w:rsidRPr="00EB06FF">
        <w:rPr>
          <w:sz w:val="24"/>
          <w:lang w:val="pt-BR"/>
        </w:rPr>
        <w:t>EI17</w:t>
      </w:r>
      <w:r w:rsidR="00BB1E42">
        <w:rPr>
          <w:sz w:val="24"/>
          <w:lang w:val="pt-BR"/>
        </w:rPr>
        <w:t>.</w:t>
      </w:r>
      <w:r w:rsidRPr="00EB06FF">
        <w:rPr>
          <w:sz w:val="24"/>
          <w:lang w:val="pt-BR"/>
        </w:rPr>
        <w:tab/>
      </w:r>
      <w:r w:rsidR="00EB06FF" w:rsidRPr="00EB06FF">
        <w:rPr>
          <w:sz w:val="24"/>
          <w:szCs w:val="24"/>
          <w:lang w:val="pt-BR"/>
        </w:rPr>
        <w:t xml:space="preserve">Nesse exemplo, não existe pré-pagamento conforme descrito no </w:t>
      </w:r>
      <w:r w:rsidR="00EB06FF">
        <w:rPr>
          <w:sz w:val="24"/>
          <w:szCs w:val="24"/>
          <w:lang w:val="pt-BR"/>
        </w:rPr>
        <w:t>item</w:t>
      </w:r>
      <w:r w:rsidR="00EB06FF" w:rsidRPr="00EB06FF">
        <w:rPr>
          <w:sz w:val="24"/>
          <w:szCs w:val="24"/>
          <w:lang w:val="pt-BR"/>
        </w:rPr>
        <w:t xml:space="preserve"> 20(</w:t>
      </w:r>
      <w:proofErr w:type="gramStart"/>
      <w:r w:rsidR="00EB06FF" w:rsidRPr="00EB06FF">
        <w:rPr>
          <w:sz w:val="24"/>
          <w:szCs w:val="24"/>
          <w:lang w:val="pt-BR"/>
        </w:rPr>
        <w:t>a).</w:t>
      </w:r>
      <w:proofErr w:type="gramEnd"/>
      <w:r w:rsidR="00EB06FF" w:rsidRPr="00EB06FF">
        <w:rPr>
          <w:rStyle w:val="tw4winMark"/>
          <w:sz w:val="24"/>
          <w:szCs w:val="24"/>
          <w:lang w:val="pt-BR"/>
        </w:rPr>
        <w:t>&lt;0}</w:t>
      </w:r>
      <w:r w:rsidR="00EB06FF" w:rsidRPr="00EB06FF">
        <w:rPr>
          <w:sz w:val="24"/>
          <w:szCs w:val="24"/>
          <w:lang w:val="pt-BR"/>
        </w:rPr>
        <w:t xml:space="preserve"> </w:t>
      </w:r>
      <w:r w:rsidR="00EB06FF" w:rsidRPr="00EB06FF">
        <w:rPr>
          <w:rStyle w:val="tw4winMark"/>
          <w:sz w:val="24"/>
          <w:szCs w:val="24"/>
          <w:lang w:val="pt-BR"/>
        </w:rPr>
        <w:t>{0&gt;</w:t>
      </w:r>
      <w:r w:rsidR="00EB06FF" w:rsidRPr="00EB06FF">
        <w:rPr>
          <w:noProof/>
          <w:vanish/>
          <w:color w:val="0000FF"/>
          <w:sz w:val="24"/>
          <w:szCs w:val="24"/>
          <w:lang w:val="pt-BR"/>
        </w:rPr>
        <w:t>The amounts available as a reduction in future contributions when applying paragraph 20(b) are set out below.</w:t>
      </w:r>
      <w:r w:rsidR="00EB06FF" w:rsidRPr="00EB06FF">
        <w:rPr>
          <w:rStyle w:val="tw4winMark"/>
          <w:sz w:val="24"/>
          <w:szCs w:val="24"/>
          <w:lang w:val="pt-BR"/>
        </w:rPr>
        <w:t>&lt;}100{&gt;</w:t>
      </w:r>
      <w:r w:rsidR="00EB06FF" w:rsidRPr="00EB06FF">
        <w:rPr>
          <w:sz w:val="24"/>
          <w:szCs w:val="24"/>
          <w:lang w:val="pt-BR"/>
        </w:rPr>
        <w:t xml:space="preserve">Os valores disponíveis como redução em contribuições futuras ao aplicar o </w:t>
      </w:r>
      <w:r w:rsidR="00EB06FF">
        <w:rPr>
          <w:sz w:val="24"/>
          <w:szCs w:val="24"/>
          <w:lang w:val="pt-BR"/>
        </w:rPr>
        <w:t>item</w:t>
      </w:r>
      <w:r w:rsidR="00EB06FF" w:rsidRPr="00EB06FF">
        <w:rPr>
          <w:sz w:val="24"/>
          <w:szCs w:val="24"/>
          <w:lang w:val="pt-BR"/>
        </w:rPr>
        <w:t xml:space="preserve"> 20(b) estão definidos abaixo.</w:t>
      </w:r>
      <w:r w:rsidR="00EB06FF" w:rsidRPr="00EB06FF">
        <w:rPr>
          <w:rStyle w:val="tw4winMark"/>
          <w:sz w:val="24"/>
          <w:szCs w:val="24"/>
          <w:lang w:val="pt-BR"/>
        </w:rPr>
        <w:t>&lt;0}</w:t>
      </w:r>
      <w:r w:rsidR="00EB06FF" w:rsidRPr="00EB06FF">
        <w:rPr>
          <w:szCs w:val="24"/>
          <w:lang w:val="pt-BR"/>
        </w:rPr>
        <w:t xml:space="preserve"> </w:t>
      </w:r>
    </w:p>
    <w:p w:rsidR="00DF25E0" w:rsidRPr="00EB06FF" w:rsidRDefault="00DF25E0" w:rsidP="00EB06FF">
      <w:pPr>
        <w:spacing w:before="0" w:after="0"/>
        <w:rPr>
          <w:rFonts w:ascii="Times New Roman" w:hAnsi="Times New Roman"/>
          <w:lang w:val="pt-BR"/>
        </w:rPr>
      </w:pPr>
    </w:p>
    <w:tbl>
      <w:tblPr>
        <w:tblW w:w="7796"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50" w:type="dxa"/>
          <w:bottom w:w="5" w:type="dxa"/>
          <w:right w:w="50" w:type="dxa"/>
        </w:tblCellMar>
        <w:tblLook w:val="0000"/>
      </w:tblPr>
      <w:tblGrid>
        <w:gridCol w:w="1140"/>
        <w:gridCol w:w="2218"/>
        <w:gridCol w:w="2219"/>
        <w:gridCol w:w="2219"/>
      </w:tblGrid>
      <w:tr w:rsidR="00DF25E0" w:rsidRPr="005C75C9" w:rsidTr="00340B87">
        <w:trPr>
          <w:trHeight w:val="340"/>
        </w:trPr>
        <w:tc>
          <w:tcPr>
            <w:tcW w:w="1140" w:type="dxa"/>
          </w:tcPr>
          <w:p w:rsidR="00DF25E0" w:rsidRPr="00340B87" w:rsidRDefault="00DF25E0" w:rsidP="006D2CA5">
            <w:pPr>
              <w:jc w:val="center"/>
              <w:rPr>
                <w:rFonts w:ascii="Times New Roman" w:hAnsi="Times New Roman"/>
                <w:b/>
                <w:bCs/>
                <w:sz w:val="24"/>
              </w:rPr>
            </w:pPr>
            <w:r w:rsidRPr="00340B87">
              <w:rPr>
                <w:rFonts w:ascii="Times New Roman" w:hAnsi="Times New Roman"/>
                <w:b/>
                <w:bCs/>
                <w:sz w:val="24"/>
              </w:rPr>
              <w:t>Ano</w:t>
            </w:r>
          </w:p>
        </w:tc>
        <w:tc>
          <w:tcPr>
            <w:tcW w:w="2218" w:type="dxa"/>
          </w:tcPr>
          <w:p w:rsidR="00DF25E0" w:rsidRPr="00340B87" w:rsidRDefault="00DF25E0" w:rsidP="00340B87">
            <w:pPr>
              <w:jc w:val="center"/>
              <w:rPr>
                <w:rFonts w:ascii="Times New Roman" w:hAnsi="Times New Roman"/>
                <w:b/>
                <w:bCs/>
                <w:sz w:val="24"/>
              </w:rPr>
            </w:pPr>
            <w:r w:rsidRPr="00340B87">
              <w:rPr>
                <w:rFonts w:ascii="Times New Roman" w:hAnsi="Times New Roman"/>
                <w:b/>
                <w:bCs/>
                <w:sz w:val="24"/>
              </w:rPr>
              <w:t xml:space="preserve">Custo de serviço conforme Pronunciamento </w:t>
            </w:r>
            <w:r w:rsidRPr="00340B87">
              <w:rPr>
                <w:rFonts w:ascii="Times New Roman" w:hAnsi="Times New Roman"/>
                <w:b/>
                <w:bCs/>
                <w:sz w:val="24"/>
              </w:rPr>
              <w:lastRenderedPageBreak/>
              <w:t>Técnico CPC 33</w:t>
            </w:r>
          </w:p>
        </w:tc>
        <w:tc>
          <w:tcPr>
            <w:tcW w:w="2219" w:type="dxa"/>
            <w:vAlign w:val="center"/>
          </w:tcPr>
          <w:p w:rsidR="00DF25E0" w:rsidRPr="00340B87" w:rsidRDefault="00DF25E0" w:rsidP="00EB06FF">
            <w:pPr>
              <w:jc w:val="center"/>
              <w:rPr>
                <w:rFonts w:ascii="Times New Roman" w:hAnsi="Times New Roman"/>
                <w:b/>
                <w:bCs/>
                <w:sz w:val="24"/>
              </w:rPr>
            </w:pPr>
            <w:r w:rsidRPr="00340B87">
              <w:rPr>
                <w:rFonts w:ascii="Times New Roman" w:hAnsi="Times New Roman"/>
                <w:b/>
                <w:bCs/>
                <w:sz w:val="24"/>
              </w:rPr>
              <w:lastRenderedPageBreak/>
              <w:t xml:space="preserve">Contribuições mínimas necessárias para cobrir </w:t>
            </w:r>
            <w:r w:rsidR="00EB06FF" w:rsidRPr="00340B87">
              <w:rPr>
                <w:rFonts w:ascii="Times New Roman" w:hAnsi="Times New Roman"/>
                <w:b/>
                <w:bCs/>
                <w:sz w:val="24"/>
              </w:rPr>
              <w:t>serviço</w:t>
            </w:r>
            <w:r w:rsidRPr="00340B87">
              <w:rPr>
                <w:rFonts w:ascii="Times New Roman" w:hAnsi="Times New Roman"/>
                <w:b/>
                <w:bCs/>
                <w:sz w:val="24"/>
              </w:rPr>
              <w:t xml:space="preserve"> </w:t>
            </w:r>
            <w:r w:rsidRPr="00340B87">
              <w:rPr>
                <w:rFonts w:ascii="Times New Roman" w:hAnsi="Times New Roman"/>
                <w:b/>
                <w:bCs/>
                <w:sz w:val="24"/>
              </w:rPr>
              <w:lastRenderedPageBreak/>
              <w:t>futuro</w:t>
            </w:r>
          </w:p>
        </w:tc>
        <w:tc>
          <w:tcPr>
            <w:tcW w:w="2219" w:type="dxa"/>
            <w:vAlign w:val="center"/>
          </w:tcPr>
          <w:p w:rsidR="00DF25E0" w:rsidRPr="00340B87" w:rsidRDefault="00DF25E0" w:rsidP="006D2CA5">
            <w:pPr>
              <w:jc w:val="center"/>
              <w:rPr>
                <w:rFonts w:ascii="Times New Roman" w:hAnsi="Times New Roman"/>
                <w:b/>
                <w:bCs/>
                <w:sz w:val="24"/>
              </w:rPr>
            </w:pPr>
            <w:r w:rsidRPr="00340B87">
              <w:rPr>
                <w:rFonts w:ascii="Times New Roman" w:hAnsi="Times New Roman"/>
                <w:b/>
                <w:bCs/>
                <w:sz w:val="24"/>
              </w:rPr>
              <w:lastRenderedPageBreak/>
              <w:t>Valor disponível como redução na contribuição</w:t>
            </w:r>
          </w:p>
        </w:tc>
      </w:tr>
      <w:tr w:rsidR="00DF25E0" w:rsidRPr="005C75C9" w:rsidTr="00340B87">
        <w:trPr>
          <w:trHeight w:val="340"/>
        </w:trPr>
        <w:tc>
          <w:tcPr>
            <w:tcW w:w="1140"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lastRenderedPageBreak/>
              <w:t>1</w:t>
            </w:r>
          </w:p>
        </w:tc>
        <w:tc>
          <w:tcPr>
            <w:tcW w:w="2218"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13</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15</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(2)</w:t>
            </w:r>
          </w:p>
        </w:tc>
      </w:tr>
      <w:tr w:rsidR="00DF25E0" w:rsidRPr="005C75C9" w:rsidTr="00340B87">
        <w:trPr>
          <w:trHeight w:val="340"/>
        </w:trPr>
        <w:tc>
          <w:tcPr>
            <w:tcW w:w="1140"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2</w:t>
            </w:r>
          </w:p>
        </w:tc>
        <w:tc>
          <w:tcPr>
            <w:tcW w:w="2218"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13</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13</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0</w:t>
            </w:r>
          </w:p>
        </w:tc>
      </w:tr>
      <w:tr w:rsidR="00DF25E0" w:rsidRPr="005C75C9" w:rsidTr="00340B87">
        <w:trPr>
          <w:trHeight w:val="340"/>
        </w:trPr>
        <w:tc>
          <w:tcPr>
            <w:tcW w:w="1140"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3</w:t>
            </w:r>
          </w:p>
        </w:tc>
        <w:tc>
          <w:tcPr>
            <w:tcW w:w="2218"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13</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11</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2</w:t>
            </w:r>
          </w:p>
        </w:tc>
      </w:tr>
      <w:tr w:rsidR="00DF25E0" w:rsidRPr="005C75C9" w:rsidTr="00340B87">
        <w:trPr>
          <w:trHeight w:val="340"/>
        </w:trPr>
        <w:tc>
          <w:tcPr>
            <w:tcW w:w="1140"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4+</w:t>
            </w:r>
          </w:p>
        </w:tc>
        <w:tc>
          <w:tcPr>
            <w:tcW w:w="2218"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13</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9</w:t>
            </w:r>
          </w:p>
        </w:tc>
        <w:tc>
          <w:tcPr>
            <w:tcW w:w="2219" w:type="dxa"/>
            <w:vAlign w:val="center"/>
          </w:tcPr>
          <w:p w:rsidR="00DF25E0" w:rsidRPr="00340B87" w:rsidRDefault="00DF25E0" w:rsidP="006D2CA5">
            <w:pPr>
              <w:jc w:val="center"/>
              <w:rPr>
                <w:rFonts w:ascii="Times New Roman" w:hAnsi="Times New Roman"/>
                <w:bCs/>
                <w:sz w:val="24"/>
              </w:rPr>
            </w:pPr>
            <w:r w:rsidRPr="00340B87">
              <w:rPr>
                <w:rFonts w:ascii="Times New Roman" w:hAnsi="Times New Roman"/>
                <w:bCs/>
                <w:sz w:val="24"/>
              </w:rPr>
              <w:t>4</w:t>
            </w:r>
          </w:p>
        </w:tc>
      </w:tr>
    </w:tbl>
    <w:p w:rsidR="00DF25E0" w:rsidRDefault="00DF25E0" w:rsidP="00DF25E0">
      <w:pPr>
        <w:ind w:left="705" w:hanging="705"/>
        <w:rPr>
          <w:rFonts w:ascii="Times New Roman" w:hAnsi="Times New Roman"/>
        </w:rPr>
      </w:pPr>
    </w:p>
    <w:p w:rsidR="00DF25E0" w:rsidRPr="00557FC8" w:rsidRDefault="00DF25E0" w:rsidP="00340B87">
      <w:pPr>
        <w:pStyle w:val="IASBNormalnpara"/>
        <w:spacing w:before="0"/>
        <w:ind w:left="567" w:hanging="567"/>
        <w:rPr>
          <w:sz w:val="24"/>
          <w:lang w:val="pt-BR"/>
        </w:rPr>
      </w:pPr>
      <w:r w:rsidRPr="00557FC8">
        <w:rPr>
          <w:sz w:val="24"/>
          <w:lang w:val="pt-BR"/>
        </w:rPr>
        <w:t>EI18</w:t>
      </w:r>
      <w:r w:rsidR="00BB1E42" w:rsidRPr="00557FC8">
        <w:rPr>
          <w:sz w:val="24"/>
          <w:lang w:val="pt-BR"/>
        </w:rPr>
        <w:t>.</w:t>
      </w:r>
      <w:r w:rsidRPr="00557FC8">
        <w:rPr>
          <w:sz w:val="24"/>
          <w:lang w:val="pt-BR"/>
        </w:rPr>
        <w:tab/>
        <w:t>Assumindo a taxa de desconto de 6%, o benefício econômico disponível como redução nas contribuições futuras é, portanto, equivalente a:</w:t>
      </w:r>
    </w:p>
    <w:p w:rsidR="00DF25E0" w:rsidRPr="0038451C" w:rsidRDefault="00DF25E0" w:rsidP="00DF25E0">
      <w:pPr>
        <w:spacing w:before="0" w:after="0"/>
        <w:ind w:firstLine="705"/>
        <w:rPr>
          <w:rFonts w:ascii="Times New Roman" w:hAnsi="Times New Roman"/>
          <w:sz w:val="24"/>
        </w:rPr>
      </w:pPr>
      <w:r w:rsidRPr="0038451C">
        <w:rPr>
          <w:rFonts w:ascii="Times New Roman" w:hAnsi="Times New Roman"/>
          <w:sz w:val="24"/>
        </w:rPr>
        <w:t>(2)/(1.06) + 0/(1.06)</w:t>
      </w:r>
      <w:r w:rsidRPr="0038451C">
        <w:rPr>
          <w:rFonts w:ascii="Times New Roman" w:hAnsi="Times New Roman"/>
          <w:sz w:val="24"/>
          <w:vertAlign w:val="superscript"/>
        </w:rPr>
        <w:t>2</w:t>
      </w:r>
      <w:r w:rsidRPr="0038451C">
        <w:rPr>
          <w:rFonts w:ascii="Times New Roman" w:hAnsi="Times New Roman"/>
          <w:sz w:val="24"/>
        </w:rPr>
        <w:t xml:space="preserve"> + 2/(1.06)</w:t>
      </w:r>
      <w:r w:rsidRPr="0038451C">
        <w:rPr>
          <w:rFonts w:ascii="Times New Roman" w:hAnsi="Times New Roman"/>
          <w:sz w:val="24"/>
          <w:vertAlign w:val="superscript"/>
        </w:rPr>
        <w:t>3</w:t>
      </w:r>
      <w:r w:rsidRPr="0038451C">
        <w:rPr>
          <w:rFonts w:ascii="Times New Roman" w:hAnsi="Times New Roman"/>
          <w:sz w:val="24"/>
        </w:rPr>
        <w:t xml:space="preserve"> + 4/(1.06)</w:t>
      </w:r>
      <w:r w:rsidRPr="0038451C">
        <w:rPr>
          <w:rFonts w:ascii="Times New Roman" w:hAnsi="Times New Roman"/>
          <w:sz w:val="24"/>
          <w:vertAlign w:val="superscript"/>
        </w:rPr>
        <w:t>4</w:t>
      </w:r>
      <w:r w:rsidRPr="0038451C">
        <w:rPr>
          <w:rFonts w:ascii="Times New Roman" w:hAnsi="Times New Roman"/>
          <w:sz w:val="24"/>
        </w:rPr>
        <w:t xml:space="preserve"> + … + 4/(1.06)</w:t>
      </w:r>
      <w:r w:rsidRPr="0038451C">
        <w:rPr>
          <w:rFonts w:ascii="Times New Roman" w:hAnsi="Times New Roman"/>
          <w:sz w:val="24"/>
          <w:vertAlign w:val="superscript"/>
        </w:rPr>
        <w:t>50</w:t>
      </w:r>
      <w:r w:rsidRPr="0038451C">
        <w:rPr>
          <w:rFonts w:ascii="Times New Roman" w:hAnsi="Times New Roman"/>
          <w:sz w:val="24"/>
        </w:rPr>
        <w:t xml:space="preserve"> + ... = </w:t>
      </w:r>
      <w:r w:rsidR="004971A4">
        <w:rPr>
          <w:rFonts w:ascii="Times New Roman" w:hAnsi="Times New Roman"/>
          <w:sz w:val="24"/>
        </w:rPr>
        <w:t xml:space="preserve">$ </w:t>
      </w:r>
      <w:r w:rsidRPr="0038451C">
        <w:rPr>
          <w:rFonts w:ascii="Times New Roman" w:hAnsi="Times New Roman"/>
          <w:sz w:val="24"/>
        </w:rPr>
        <w:t xml:space="preserve">56. </w:t>
      </w:r>
    </w:p>
    <w:p w:rsidR="00DF25E0" w:rsidRPr="0038451C" w:rsidRDefault="00DF25E0" w:rsidP="00DF25E0">
      <w:pPr>
        <w:spacing w:before="0" w:after="0"/>
        <w:ind w:firstLine="705"/>
        <w:rPr>
          <w:rFonts w:ascii="Times New Roman" w:hAnsi="Times New Roman"/>
          <w:sz w:val="24"/>
        </w:rPr>
      </w:pPr>
    </w:p>
    <w:p w:rsidR="00DF25E0" w:rsidRPr="0038451C" w:rsidRDefault="00EB06FF" w:rsidP="00340B87">
      <w:pPr>
        <w:spacing w:before="0" w:after="0"/>
        <w:ind w:left="567"/>
        <w:rPr>
          <w:rFonts w:ascii="Times New Roman" w:hAnsi="Times New Roman"/>
          <w:sz w:val="24"/>
        </w:rPr>
      </w:pPr>
      <w:r w:rsidRPr="0038451C">
        <w:rPr>
          <w:rFonts w:ascii="Times New Roman" w:hAnsi="Times New Roman"/>
          <w:sz w:val="24"/>
        </w:rPr>
        <w:t>Assim, de acordo com o item 58 (b) do Pronunciamento Técnico CPC 33, o valor presente do benefício econômico disponível das reduções de contribuição futura</w:t>
      </w:r>
      <w:r w:rsidR="00DF25E0" w:rsidRPr="0038451C">
        <w:rPr>
          <w:rFonts w:ascii="Times New Roman" w:hAnsi="Times New Roman"/>
          <w:sz w:val="24"/>
        </w:rPr>
        <w:t xml:space="preserve"> está limitado a </w:t>
      </w:r>
      <w:r w:rsidR="004971A4">
        <w:rPr>
          <w:rFonts w:ascii="Times New Roman" w:hAnsi="Times New Roman"/>
          <w:sz w:val="24"/>
        </w:rPr>
        <w:t xml:space="preserve">$ </w:t>
      </w:r>
      <w:r w:rsidR="00DF25E0" w:rsidRPr="0038451C">
        <w:rPr>
          <w:rFonts w:ascii="Times New Roman" w:hAnsi="Times New Roman"/>
          <w:sz w:val="24"/>
        </w:rPr>
        <w:t xml:space="preserve">56. </w:t>
      </w:r>
    </w:p>
    <w:p w:rsidR="00DF25E0" w:rsidRPr="0038451C" w:rsidRDefault="00DF25E0" w:rsidP="00DF25E0">
      <w:pPr>
        <w:spacing w:before="0" w:after="0"/>
        <w:ind w:firstLine="705"/>
        <w:rPr>
          <w:rFonts w:ascii="Times New Roman" w:hAnsi="Times New Roman"/>
          <w:sz w:val="24"/>
          <w:lang w:val="pt-BR"/>
        </w:rPr>
      </w:pPr>
    </w:p>
    <w:p w:rsidR="00DF25E0" w:rsidRPr="004971A4" w:rsidRDefault="00DF25E0" w:rsidP="00340B87">
      <w:pPr>
        <w:pStyle w:val="IASBNormalnpara"/>
        <w:spacing w:before="0"/>
        <w:ind w:left="567" w:hanging="567"/>
        <w:rPr>
          <w:sz w:val="24"/>
          <w:lang w:val="pt-BR"/>
        </w:rPr>
      </w:pPr>
      <w:r w:rsidRPr="0038451C">
        <w:rPr>
          <w:sz w:val="24"/>
        </w:rPr>
        <w:t>EI19</w:t>
      </w:r>
      <w:r w:rsidR="00BB1E42" w:rsidRPr="0038451C">
        <w:rPr>
          <w:sz w:val="24"/>
        </w:rPr>
        <w:t>.</w:t>
      </w:r>
      <w:r w:rsidRPr="0038451C">
        <w:rPr>
          <w:sz w:val="24"/>
        </w:rPr>
        <w:tab/>
        <w:t xml:space="preserve">O item 24 da </w:t>
      </w:r>
      <w:r w:rsidR="00EB06FF" w:rsidRPr="0038451C">
        <w:rPr>
          <w:sz w:val="24"/>
        </w:rPr>
        <w:t>ICPC 20</w:t>
      </w:r>
      <w:r w:rsidRPr="0038451C">
        <w:rPr>
          <w:sz w:val="24"/>
        </w:rPr>
        <w:t xml:space="preserve"> requer que a entidade reconheça um passivo na medida em que as contribuições adicionais </w:t>
      </w:r>
      <w:r w:rsidR="00EB06FF" w:rsidRPr="0038451C">
        <w:rPr>
          <w:sz w:val="24"/>
        </w:rPr>
        <w:t>devidas não estejam</w:t>
      </w:r>
      <w:r w:rsidRPr="0038451C">
        <w:rPr>
          <w:sz w:val="24"/>
        </w:rPr>
        <w:t xml:space="preserve"> totalmente disponíveis. </w:t>
      </w:r>
      <w:r w:rsidRPr="004971A4">
        <w:rPr>
          <w:sz w:val="24"/>
          <w:lang w:val="pt-BR"/>
        </w:rPr>
        <w:t xml:space="preserve">Portanto, </w:t>
      </w:r>
      <w:r w:rsidR="00EB06FF" w:rsidRPr="004971A4">
        <w:rPr>
          <w:sz w:val="24"/>
          <w:lang w:val="pt-BR"/>
        </w:rPr>
        <w:t>o efeito do teto de</w:t>
      </w:r>
      <w:r w:rsidRPr="004971A4">
        <w:rPr>
          <w:sz w:val="24"/>
          <w:lang w:val="pt-BR"/>
        </w:rPr>
        <w:t xml:space="preserve"> ativo</w:t>
      </w:r>
      <w:r w:rsidR="00EB06FF" w:rsidRPr="004971A4">
        <w:rPr>
          <w:sz w:val="24"/>
          <w:lang w:val="pt-BR"/>
        </w:rPr>
        <w:t xml:space="preserve"> é de </w:t>
      </w:r>
      <w:r w:rsidR="004971A4" w:rsidRPr="004971A4">
        <w:rPr>
          <w:sz w:val="24"/>
          <w:lang w:val="pt-BR"/>
        </w:rPr>
        <w:t xml:space="preserve">$ </w:t>
      </w:r>
      <w:r w:rsidRPr="004971A4">
        <w:rPr>
          <w:sz w:val="24"/>
          <w:lang w:val="pt-BR"/>
        </w:rPr>
        <w:t>294 (</w:t>
      </w:r>
      <w:r w:rsidR="004971A4" w:rsidRPr="004971A4">
        <w:rPr>
          <w:sz w:val="24"/>
          <w:lang w:val="pt-BR"/>
        </w:rPr>
        <w:t xml:space="preserve">$ </w:t>
      </w:r>
      <w:r w:rsidRPr="004971A4">
        <w:rPr>
          <w:sz w:val="24"/>
          <w:lang w:val="pt-BR"/>
        </w:rPr>
        <w:t xml:space="preserve">50 + </w:t>
      </w:r>
      <w:r w:rsidR="004971A4">
        <w:rPr>
          <w:sz w:val="24"/>
          <w:lang w:val="pt-BR"/>
        </w:rPr>
        <w:t xml:space="preserve">$ </w:t>
      </w:r>
      <w:r w:rsidRPr="004971A4">
        <w:rPr>
          <w:sz w:val="24"/>
          <w:lang w:val="pt-BR"/>
        </w:rPr>
        <w:t xml:space="preserve">300 - </w:t>
      </w:r>
      <w:r w:rsidR="004971A4">
        <w:rPr>
          <w:sz w:val="24"/>
          <w:lang w:val="pt-BR"/>
        </w:rPr>
        <w:t xml:space="preserve">$ </w:t>
      </w:r>
      <w:r w:rsidRPr="004971A4">
        <w:rPr>
          <w:sz w:val="24"/>
          <w:lang w:val="pt-BR"/>
        </w:rPr>
        <w:t>56).</w:t>
      </w:r>
    </w:p>
    <w:p w:rsidR="00DF25E0" w:rsidRPr="0038451C" w:rsidRDefault="00DF25E0" w:rsidP="00DF25E0">
      <w:pPr>
        <w:spacing w:before="0" w:after="0"/>
        <w:ind w:left="705" w:hanging="705"/>
        <w:rPr>
          <w:rFonts w:ascii="Times New Roman" w:hAnsi="Times New Roman"/>
          <w:sz w:val="24"/>
        </w:rPr>
      </w:pPr>
    </w:p>
    <w:p w:rsidR="00EB06FF" w:rsidRPr="0038451C" w:rsidRDefault="00DF25E0" w:rsidP="00340B87">
      <w:pPr>
        <w:pStyle w:val="IASBNormalnpara"/>
        <w:spacing w:before="0"/>
        <w:ind w:left="567" w:hanging="567"/>
        <w:rPr>
          <w:rStyle w:val="tw4winMark"/>
          <w:rFonts w:ascii="Times New Roman" w:hAnsi="Times New Roman"/>
          <w:sz w:val="24"/>
          <w:lang w:val="pt-BR"/>
        </w:rPr>
      </w:pPr>
      <w:r w:rsidRPr="004971A4">
        <w:rPr>
          <w:sz w:val="24"/>
          <w:lang w:val="pt-BR"/>
        </w:rPr>
        <w:t>EI20</w:t>
      </w:r>
      <w:r w:rsidR="00BB1E42" w:rsidRPr="004971A4">
        <w:rPr>
          <w:sz w:val="24"/>
          <w:lang w:val="pt-BR"/>
        </w:rPr>
        <w:t>.</w:t>
      </w:r>
      <w:r w:rsidRPr="004971A4">
        <w:rPr>
          <w:sz w:val="24"/>
          <w:lang w:val="pt-BR"/>
        </w:rPr>
        <w:tab/>
      </w:r>
      <w:bookmarkStart w:id="9" w:name="F3902603"/>
      <w:bookmarkStart w:id="10" w:name="F3902602"/>
    </w:p>
    <w:p w:rsidR="00EB06FF" w:rsidRPr="0038451C" w:rsidRDefault="00EB06FF" w:rsidP="00340B87">
      <w:pPr>
        <w:pStyle w:val="IASBNormalnpara"/>
        <w:ind w:left="567" w:hanging="567"/>
        <w:rPr>
          <w:sz w:val="24"/>
          <w:szCs w:val="24"/>
          <w:lang w:val="pt-BR"/>
        </w:rPr>
      </w:pPr>
      <w:r w:rsidRPr="0038451C">
        <w:rPr>
          <w:rStyle w:val="tw4winMark"/>
          <w:rFonts w:ascii="Times New Roman" w:hAnsi="Times New Roman"/>
          <w:sz w:val="24"/>
          <w:szCs w:val="24"/>
          <w:lang w:val="pt-BR"/>
        </w:rPr>
        <w:t>{0&gt;</w:t>
      </w:r>
      <w:r w:rsidRPr="0038451C">
        <w:rPr>
          <w:noProof/>
          <w:vanish/>
          <w:color w:val="0000FF"/>
          <w:sz w:val="24"/>
          <w:szCs w:val="24"/>
          <w:lang w:val="pt-BR"/>
        </w:rPr>
        <w:t>The entity recognises a net defined benefit liability of 244 in the statement of financial position.</w:t>
      </w:r>
      <w:r w:rsidRPr="0038451C">
        <w:rPr>
          <w:rStyle w:val="tw4winMark"/>
          <w:rFonts w:ascii="Times New Roman" w:hAnsi="Times New Roman"/>
          <w:sz w:val="24"/>
          <w:szCs w:val="24"/>
          <w:lang w:val="pt-BR"/>
        </w:rPr>
        <w:t>&lt;}100{&gt;</w:t>
      </w:r>
      <w:r w:rsidRPr="0038451C">
        <w:rPr>
          <w:sz w:val="24"/>
          <w:szCs w:val="24"/>
          <w:lang w:val="pt-BR"/>
        </w:rPr>
        <w:t xml:space="preserve">A entidade deve reconhecer </w:t>
      </w:r>
      <w:r w:rsidR="00557FC8">
        <w:rPr>
          <w:sz w:val="24"/>
          <w:szCs w:val="24"/>
          <w:lang w:val="pt-BR"/>
        </w:rPr>
        <w:t>o</w:t>
      </w:r>
      <w:r w:rsidRPr="0038451C">
        <w:rPr>
          <w:sz w:val="24"/>
          <w:szCs w:val="24"/>
          <w:lang w:val="pt-BR"/>
        </w:rPr>
        <w:t xml:space="preserve"> passivo de benefício definido líquido de </w:t>
      </w:r>
      <w:r w:rsidR="004971A4">
        <w:rPr>
          <w:sz w:val="24"/>
          <w:szCs w:val="24"/>
          <w:lang w:val="pt-BR"/>
        </w:rPr>
        <w:t xml:space="preserve">$ </w:t>
      </w:r>
      <w:r w:rsidRPr="0038451C">
        <w:rPr>
          <w:sz w:val="24"/>
          <w:szCs w:val="24"/>
          <w:lang w:val="pt-BR"/>
        </w:rPr>
        <w:t xml:space="preserve">244 no balanço </w:t>
      </w:r>
      <w:proofErr w:type="gramStart"/>
      <w:r w:rsidRPr="0038451C">
        <w:rPr>
          <w:sz w:val="24"/>
          <w:szCs w:val="24"/>
          <w:lang w:val="pt-BR"/>
        </w:rPr>
        <w:t>patrimonial.</w:t>
      </w:r>
      <w:proofErr w:type="gramEnd"/>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No other liability is recognised in respect of the obligation to make contributions to fund the minimum funding shortfall.</w:t>
      </w:r>
      <w:r w:rsidRPr="0038451C">
        <w:rPr>
          <w:rStyle w:val="tw4winMark"/>
          <w:rFonts w:ascii="Times New Roman" w:hAnsi="Times New Roman"/>
          <w:sz w:val="24"/>
          <w:szCs w:val="24"/>
          <w:lang w:val="pt-BR"/>
        </w:rPr>
        <w:t>&lt;}100{&gt;</w:t>
      </w:r>
      <w:r w:rsidRPr="0038451C">
        <w:rPr>
          <w:sz w:val="24"/>
          <w:szCs w:val="24"/>
          <w:lang w:val="pt-BR"/>
        </w:rPr>
        <w:t xml:space="preserve">Nenhum outro passivo é reconhecido em relação à obrigação de fazer contribuições para cobrir a deficiência de </w:t>
      </w:r>
      <w:r w:rsidR="00E61348" w:rsidRPr="0038451C">
        <w:rPr>
          <w:sz w:val="24"/>
          <w:szCs w:val="24"/>
          <w:lang w:val="pt-BR"/>
        </w:rPr>
        <w:t>custeio (</w:t>
      </w:r>
      <w:proofErr w:type="spellStart"/>
      <w:r w:rsidR="00522639" w:rsidRPr="0038451C">
        <w:rPr>
          <w:i/>
          <w:sz w:val="24"/>
          <w:szCs w:val="24"/>
          <w:lang w:val="pt-BR"/>
        </w:rPr>
        <w:t>funding</w:t>
      </w:r>
      <w:proofErr w:type="spellEnd"/>
      <w:r w:rsidR="00E61348" w:rsidRPr="0038451C">
        <w:rPr>
          <w:sz w:val="24"/>
          <w:szCs w:val="24"/>
          <w:lang w:val="pt-BR"/>
        </w:rPr>
        <w:t>)</w:t>
      </w:r>
      <w:r w:rsidRPr="0038451C">
        <w:rPr>
          <w:sz w:val="24"/>
          <w:szCs w:val="24"/>
          <w:lang w:val="pt-BR"/>
        </w:rPr>
        <w:t xml:space="preserve"> mínimo.</w:t>
      </w:r>
      <w:r w:rsidRPr="0038451C">
        <w:rPr>
          <w:rStyle w:val="tw4winMark"/>
          <w:rFonts w:ascii="Times New Roman" w:hAnsi="Times New Roman"/>
          <w:sz w:val="24"/>
          <w:szCs w:val="24"/>
          <w:lang w:val="pt-BR"/>
        </w:rPr>
        <w:t>&lt;0}</w:t>
      </w:r>
    </w:p>
    <w:bookmarkEnd w:id="9"/>
    <w:bookmarkEnd w:id="10"/>
    <w:p w:rsidR="00DF25E0" w:rsidRPr="0038451C" w:rsidRDefault="00DF25E0" w:rsidP="00DF25E0">
      <w:pPr>
        <w:spacing w:before="0" w:after="0"/>
        <w:ind w:left="705" w:hanging="705"/>
        <w:rPr>
          <w:rFonts w:ascii="Times New Roman" w:hAnsi="Times New Roman"/>
          <w:sz w:val="24"/>
          <w:lang w:val="pt-BR"/>
        </w:rPr>
      </w:pPr>
    </w:p>
    <w:p w:rsidR="00DF25E0" w:rsidRPr="0038451C" w:rsidRDefault="00DF25E0" w:rsidP="00DF25E0">
      <w:pPr>
        <w:pStyle w:val="Estilo2"/>
        <w:spacing w:before="0" w:line="240" w:lineRule="auto"/>
        <w:rPr>
          <w:rFonts w:ascii="Times New Roman" w:hAnsi="Times New Roman" w:cs="Times New Roman"/>
          <w:sz w:val="24"/>
        </w:rPr>
      </w:pPr>
      <w:r w:rsidRPr="0038451C">
        <w:rPr>
          <w:rFonts w:ascii="Times New Roman" w:hAnsi="Times New Roman" w:cs="Times New Roman"/>
          <w:sz w:val="24"/>
        </w:rPr>
        <w:t>Resumo</w:t>
      </w:r>
    </w:p>
    <w:p w:rsidR="00DF25E0" w:rsidRPr="0038451C" w:rsidRDefault="00DF25E0" w:rsidP="00DF25E0">
      <w:pPr>
        <w:pStyle w:val="Estilo2"/>
        <w:spacing w:before="0" w:line="240" w:lineRule="auto"/>
        <w:rPr>
          <w:rFonts w:ascii="Times New Roman" w:hAnsi="Times New Roman" w:cs="Times New Roman"/>
          <w:sz w:val="24"/>
        </w:rPr>
      </w:pPr>
    </w:p>
    <w:tbl>
      <w:tblPr>
        <w:tblW w:w="8264" w:type="dxa"/>
        <w:jc w:val="right"/>
        <w:tblInd w:w="1233" w:type="dxa"/>
        <w:tblBorders>
          <w:top w:val="single" w:sz="4" w:space="0" w:color="auto"/>
          <w:left w:val="single" w:sz="4" w:space="0" w:color="auto"/>
          <w:bottom w:val="single" w:sz="4" w:space="0" w:color="auto"/>
          <w:right w:val="single" w:sz="4" w:space="0" w:color="auto"/>
        </w:tblBorders>
        <w:tblLayout w:type="fixed"/>
        <w:tblCellMar>
          <w:top w:w="10" w:type="dxa"/>
          <w:left w:w="50" w:type="dxa"/>
          <w:bottom w:w="5" w:type="dxa"/>
          <w:right w:w="50" w:type="dxa"/>
        </w:tblCellMar>
        <w:tblLook w:val="0000"/>
      </w:tblPr>
      <w:tblGrid>
        <w:gridCol w:w="7286"/>
        <w:gridCol w:w="978"/>
      </w:tblGrid>
      <w:tr w:rsidR="00DF25E0" w:rsidRPr="005C75C9" w:rsidTr="006D2CA5">
        <w:trPr>
          <w:cantSplit/>
          <w:trHeight w:hRule="exact" w:val="340"/>
          <w:jc w:val="right"/>
        </w:trPr>
        <w:tc>
          <w:tcPr>
            <w:tcW w:w="4408" w:type="pct"/>
          </w:tcPr>
          <w:p w:rsidR="00DF25E0" w:rsidRPr="0038451C" w:rsidRDefault="00DF25E0" w:rsidP="0038451C">
            <w:pPr>
              <w:spacing w:before="60" w:after="60"/>
              <w:rPr>
                <w:rFonts w:ascii="Times New Roman" w:hAnsi="Times New Roman"/>
                <w:bCs/>
                <w:i/>
                <w:sz w:val="24"/>
              </w:rPr>
            </w:pPr>
            <w:r w:rsidRPr="0038451C">
              <w:rPr>
                <w:rFonts w:ascii="Times New Roman" w:hAnsi="Times New Roman"/>
                <w:bCs/>
                <w:i/>
                <w:sz w:val="24"/>
              </w:rPr>
              <w:t>Superávit</w:t>
            </w:r>
          </w:p>
        </w:tc>
        <w:tc>
          <w:tcPr>
            <w:tcW w:w="592" w:type="pct"/>
            <w:vAlign w:val="bottom"/>
          </w:tcPr>
          <w:p w:rsidR="00DF25E0" w:rsidRPr="0038451C" w:rsidRDefault="00DF25E0" w:rsidP="0038451C">
            <w:pPr>
              <w:spacing w:before="60" w:after="60"/>
              <w:jc w:val="right"/>
              <w:rPr>
                <w:rFonts w:ascii="Times New Roman" w:hAnsi="Times New Roman"/>
                <w:bCs/>
                <w:sz w:val="24"/>
              </w:rPr>
            </w:pPr>
            <w:r w:rsidRPr="0038451C">
              <w:rPr>
                <w:rFonts w:ascii="Times New Roman" w:hAnsi="Times New Roman"/>
                <w:bCs/>
                <w:sz w:val="24"/>
              </w:rPr>
              <w:t>50</w:t>
            </w:r>
          </w:p>
        </w:tc>
      </w:tr>
      <w:tr w:rsidR="00DF25E0" w:rsidRPr="005C75C9" w:rsidTr="006D2CA5">
        <w:trPr>
          <w:cantSplit/>
          <w:trHeight w:val="701"/>
          <w:jc w:val="right"/>
        </w:trPr>
        <w:tc>
          <w:tcPr>
            <w:tcW w:w="4408" w:type="pct"/>
            <w:vAlign w:val="bottom"/>
          </w:tcPr>
          <w:p w:rsidR="00DF25E0" w:rsidRPr="0038451C" w:rsidRDefault="00DF25E0" w:rsidP="0038451C">
            <w:pPr>
              <w:spacing w:before="60" w:after="60"/>
              <w:jc w:val="left"/>
              <w:rPr>
                <w:rFonts w:ascii="Times New Roman" w:hAnsi="Times New Roman"/>
                <w:bCs/>
                <w:sz w:val="24"/>
              </w:rPr>
            </w:pPr>
            <w:r w:rsidRPr="0038451C">
              <w:rPr>
                <w:rFonts w:ascii="Times New Roman" w:hAnsi="Times New Roman"/>
                <w:bCs/>
                <w:sz w:val="24"/>
              </w:rPr>
              <w:t xml:space="preserve">Ativo de benefício definido </w:t>
            </w:r>
            <w:r w:rsidR="006D2CA5" w:rsidRPr="0038451C">
              <w:rPr>
                <w:rFonts w:ascii="Times New Roman" w:hAnsi="Times New Roman"/>
                <w:bCs/>
                <w:sz w:val="24"/>
              </w:rPr>
              <w:t xml:space="preserve">líquido </w:t>
            </w:r>
            <w:r w:rsidRPr="0038451C">
              <w:rPr>
                <w:rFonts w:ascii="Times New Roman" w:hAnsi="Times New Roman"/>
                <w:bCs/>
                <w:sz w:val="24"/>
              </w:rPr>
              <w:t>(antes d</w:t>
            </w:r>
            <w:r w:rsidR="006D2CA5" w:rsidRPr="0038451C">
              <w:rPr>
                <w:rFonts w:ascii="Times New Roman" w:hAnsi="Times New Roman"/>
                <w:bCs/>
                <w:sz w:val="24"/>
              </w:rPr>
              <w:t xml:space="preserve">e considerar </w:t>
            </w:r>
            <w:r w:rsidRPr="0038451C">
              <w:rPr>
                <w:rFonts w:ascii="Times New Roman" w:hAnsi="Times New Roman"/>
                <w:bCs/>
                <w:sz w:val="24"/>
              </w:rPr>
              <w:t xml:space="preserve">o requisito de </w:t>
            </w:r>
            <w:r w:rsidR="00E61348" w:rsidRPr="0038451C">
              <w:rPr>
                <w:rFonts w:ascii="Times New Roman" w:hAnsi="Times New Roman"/>
                <w:bCs/>
                <w:sz w:val="24"/>
              </w:rPr>
              <w:t>custeio (</w:t>
            </w:r>
            <w:proofErr w:type="spellStart"/>
            <w:r w:rsidR="00522639" w:rsidRPr="0038451C">
              <w:rPr>
                <w:rFonts w:ascii="Times New Roman" w:hAnsi="Times New Roman"/>
                <w:i/>
                <w:sz w:val="24"/>
                <w:lang w:val="pt-BR"/>
              </w:rPr>
              <w:t>funding</w:t>
            </w:r>
            <w:proofErr w:type="spellEnd"/>
            <w:r w:rsidR="00E61348" w:rsidRPr="0038451C">
              <w:rPr>
                <w:rFonts w:ascii="Times New Roman" w:hAnsi="Times New Roman"/>
                <w:bCs/>
                <w:sz w:val="24"/>
              </w:rPr>
              <w:t>)</w:t>
            </w:r>
            <w:r w:rsidRPr="0038451C">
              <w:rPr>
                <w:rFonts w:ascii="Times New Roman" w:hAnsi="Times New Roman"/>
                <w:bCs/>
                <w:sz w:val="24"/>
              </w:rPr>
              <w:t xml:space="preserve"> mínimo)</w:t>
            </w:r>
          </w:p>
        </w:tc>
        <w:tc>
          <w:tcPr>
            <w:tcW w:w="592" w:type="pct"/>
            <w:vAlign w:val="bottom"/>
          </w:tcPr>
          <w:p w:rsidR="00DF25E0" w:rsidRPr="0038451C" w:rsidRDefault="00DF25E0" w:rsidP="0038451C">
            <w:pPr>
              <w:spacing w:before="60" w:after="60"/>
              <w:jc w:val="right"/>
              <w:rPr>
                <w:rFonts w:ascii="Times New Roman" w:hAnsi="Times New Roman"/>
                <w:bCs/>
                <w:sz w:val="24"/>
              </w:rPr>
            </w:pPr>
            <w:r w:rsidRPr="0038451C">
              <w:rPr>
                <w:rFonts w:ascii="Times New Roman" w:hAnsi="Times New Roman"/>
                <w:bCs/>
                <w:sz w:val="24"/>
              </w:rPr>
              <w:t>50</w:t>
            </w:r>
          </w:p>
        </w:tc>
      </w:tr>
      <w:tr w:rsidR="00DF25E0" w:rsidRPr="005C75C9" w:rsidTr="006D2CA5">
        <w:trPr>
          <w:cantSplit/>
          <w:trHeight w:val="701"/>
          <w:jc w:val="right"/>
        </w:trPr>
        <w:tc>
          <w:tcPr>
            <w:tcW w:w="4408" w:type="pct"/>
            <w:vAlign w:val="bottom"/>
          </w:tcPr>
          <w:p w:rsidR="00DF25E0" w:rsidRPr="0038451C" w:rsidRDefault="006D2CA5" w:rsidP="0038451C">
            <w:pPr>
              <w:spacing w:before="60" w:after="60"/>
              <w:jc w:val="left"/>
              <w:rPr>
                <w:rFonts w:ascii="Times New Roman" w:hAnsi="Times New Roman"/>
                <w:bCs/>
                <w:sz w:val="24"/>
              </w:rPr>
            </w:pPr>
            <w:r w:rsidRPr="0038451C">
              <w:rPr>
                <w:rFonts w:ascii="Times New Roman" w:hAnsi="Times New Roman"/>
                <w:bCs/>
                <w:sz w:val="24"/>
              </w:rPr>
              <w:t>Efeito do teto de ativo</w:t>
            </w:r>
          </w:p>
        </w:tc>
        <w:tc>
          <w:tcPr>
            <w:tcW w:w="592" w:type="pct"/>
            <w:vAlign w:val="bottom"/>
          </w:tcPr>
          <w:p w:rsidR="00DF25E0" w:rsidRPr="0038451C" w:rsidRDefault="00DF25E0" w:rsidP="0038451C">
            <w:pPr>
              <w:spacing w:before="60" w:after="60"/>
              <w:jc w:val="right"/>
              <w:rPr>
                <w:rFonts w:ascii="Times New Roman" w:hAnsi="Times New Roman"/>
                <w:bCs/>
                <w:sz w:val="24"/>
              </w:rPr>
            </w:pPr>
            <w:r w:rsidRPr="0038451C">
              <w:rPr>
                <w:rFonts w:ascii="Times New Roman" w:hAnsi="Times New Roman"/>
                <w:bCs/>
                <w:sz w:val="24"/>
              </w:rPr>
              <w:t>(294)</w:t>
            </w:r>
          </w:p>
        </w:tc>
      </w:tr>
      <w:tr w:rsidR="00DF25E0" w:rsidRPr="005C75C9" w:rsidTr="006D2CA5">
        <w:trPr>
          <w:cantSplit/>
          <w:trHeight w:val="701"/>
          <w:jc w:val="right"/>
        </w:trPr>
        <w:tc>
          <w:tcPr>
            <w:tcW w:w="4408" w:type="pct"/>
            <w:vAlign w:val="bottom"/>
          </w:tcPr>
          <w:p w:rsidR="00DF25E0" w:rsidRPr="0038451C" w:rsidRDefault="00DF25E0" w:rsidP="0038451C">
            <w:pPr>
              <w:spacing w:before="60" w:after="60"/>
              <w:jc w:val="left"/>
              <w:rPr>
                <w:rFonts w:ascii="Times New Roman" w:hAnsi="Times New Roman"/>
                <w:bCs/>
                <w:sz w:val="24"/>
              </w:rPr>
            </w:pPr>
            <w:r w:rsidRPr="0038451C">
              <w:rPr>
                <w:rFonts w:ascii="Times New Roman" w:hAnsi="Times New Roman"/>
                <w:bCs/>
                <w:sz w:val="24"/>
              </w:rPr>
              <w:t xml:space="preserve">Passivo </w:t>
            </w:r>
            <w:r w:rsidR="00733572" w:rsidRPr="0038451C">
              <w:rPr>
                <w:rFonts w:ascii="Times New Roman" w:hAnsi="Times New Roman"/>
                <w:bCs/>
                <w:sz w:val="24"/>
              </w:rPr>
              <w:t xml:space="preserve">de benefício definido </w:t>
            </w:r>
            <w:r w:rsidRPr="0038451C">
              <w:rPr>
                <w:rFonts w:ascii="Times New Roman" w:hAnsi="Times New Roman"/>
                <w:bCs/>
                <w:sz w:val="24"/>
              </w:rPr>
              <w:t>líquido</w:t>
            </w:r>
          </w:p>
        </w:tc>
        <w:tc>
          <w:tcPr>
            <w:tcW w:w="592" w:type="pct"/>
            <w:vAlign w:val="bottom"/>
          </w:tcPr>
          <w:p w:rsidR="00DF25E0" w:rsidRPr="0038451C" w:rsidRDefault="00DF25E0" w:rsidP="0038451C">
            <w:pPr>
              <w:spacing w:before="60" w:after="60"/>
              <w:jc w:val="right"/>
              <w:rPr>
                <w:rFonts w:ascii="Times New Roman" w:hAnsi="Times New Roman"/>
                <w:bCs/>
                <w:sz w:val="24"/>
              </w:rPr>
            </w:pPr>
            <w:r w:rsidRPr="0038451C">
              <w:rPr>
                <w:rFonts w:ascii="Times New Roman" w:hAnsi="Times New Roman"/>
                <w:bCs/>
                <w:sz w:val="24"/>
              </w:rPr>
              <w:t>(244)</w:t>
            </w:r>
          </w:p>
        </w:tc>
      </w:tr>
    </w:tbl>
    <w:p w:rsidR="00DF25E0" w:rsidRDefault="00DF25E0" w:rsidP="00DF25E0">
      <w:pPr>
        <w:spacing w:before="0" w:after="0"/>
        <w:ind w:left="705" w:hanging="705"/>
        <w:rPr>
          <w:rFonts w:ascii="Times New Roman" w:hAnsi="Times New Roman"/>
          <w:sz w:val="24"/>
        </w:rPr>
      </w:pPr>
    </w:p>
    <w:p w:rsidR="00DF25E0" w:rsidRPr="004971A4" w:rsidRDefault="00DF25E0" w:rsidP="00340B87">
      <w:pPr>
        <w:pStyle w:val="IASBNormalnpara"/>
        <w:spacing w:before="0"/>
        <w:ind w:left="567" w:hanging="567"/>
        <w:rPr>
          <w:sz w:val="24"/>
          <w:lang w:val="pt-BR"/>
        </w:rPr>
      </w:pPr>
      <w:r w:rsidRPr="004971A4">
        <w:rPr>
          <w:sz w:val="24"/>
          <w:lang w:val="pt-BR"/>
        </w:rPr>
        <w:t>EI21</w:t>
      </w:r>
      <w:r w:rsidR="00BB1E42" w:rsidRPr="004971A4">
        <w:rPr>
          <w:sz w:val="24"/>
          <w:lang w:val="pt-BR"/>
        </w:rPr>
        <w:t>.</w:t>
      </w:r>
      <w:r w:rsidRPr="004971A4">
        <w:rPr>
          <w:sz w:val="24"/>
          <w:lang w:val="pt-BR"/>
        </w:rPr>
        <w:tab/>
        <w:t xml:space="preserve">Quando as contribuições de </w:t>
      </w:r>
      <w:r w:rsidR="004971A4" w:rsidRPr="004971A4">
        <w:rPr>
          <w:sz w:val="24"/>
          <w:lang w:val="pt-BR"/>
        </w:rPr>
        <w:t xml:space="preserve">$ </w:t>
      </w:r>
      <w:r w:rsidRPr="004971A4">
        <w:rPr>
          <w:sz w:val="24"/>
          <w:lang w:val="pt-BR"/>
        </w:rPr>
        <w:t>300 forem pagas para o plano, o ativo líquido reconhecido no balanço será</w:t>
      </w:r>
      <w:r w:rsidR="002F0E65" w:rsidRPr="004971A4">
        <w:rPr>
          <w:sz w:val="24"/>
          <w:lang w:val="pt-BR"/>
        </w:rPr>
        <w:t xml:space="preserve"> de</w:t>
      </w:r>
      <w:r w:rsidRPr="004971A4">
        <w:rPr>
          <w:sz w:val="24"/>
          <w:lang w:val="pt-BR"/>
        </w:rPr>
        <w:t xml:space="preserve"> </w:t>
      </w:r>
      <w:r w:rsidR="004971A4">
        <w:rPr>
          <w:sz w:val="24"/>
          <w:lang w:val="pt-BR"/>
        </w:rPr>
        <w:t xml:space="preserve">$ </w:t>
      </w:r>
      <w:r w:rsidRPr="004971A4">
        <w:rPr>
          <w:sz w:val="24"/>
          <w:lang w:val="pt-BR"/>
        </w:rPr>
        <w:t>56 (</w:t>
      </w:r>
      <w:r w:rsidR="004971A4">
        <w:rPr>
          <w:sz w:val="24"/>
          <w:lang w:val="pt-BR"/>
        </w:rPr>
        <w:t xml:space="preserve">$ </w:t>
      </w:r>
      <w:r w:rsidRPr="004971A4">
        <w:rPr>
          <w:sz w:val="24"/>
          <w:lang w:val="pt-BR"/>
        </w:rPr>
        <w:t xml:space="preserve">300 - </w:t>
      </w:r>
      <w:r w:rsidR="004971A4">
        <w:rPr>
          <w:sz w:val="24"/>
          <w:lang w:val="pt-BR"/>
        </w:rPr>
        <w:t xml:space="preserve">$ </w:t>
      </w:r>
      <w:r w:rsidRPr="004971A4">
        <w:rPr>
          <w:sz w:val="24"/>
          <w:lang w:val="pt-BR"/>
        </w:rPr>
        <w:t>244).</w:t>
      </w:r>
    </w:p>
    <w:p w:rsidR="002F0E65" w:rsidRPr="0038451C" w:rsidRDefault="002F0E65" w:rsidP="0038451C">
      <w:pPr>
        <w:spacing w:before="0" w:after="0"/>
        <w:ind w:left="705" w:hanging="705"/>
        <w:rPr>
          <w:rFonts w:ascii="Times New Roman" w:hAnsi="Times New Roman"/>
          <w:sz w:val="24"/>
        </w:rPr>
      </w:pPr>
    </w:p>
    <w:p w:rsidR="0038451C" w:rsidRDefault="002F0E65" w:rsidP="0038451C">
      <w:pPr>
        <w:pStyle w:val="IASBSectionTitle1NonInd"/>
        <w:pBdr>
          <w:bottom w:val="none" w:sz="0" w:space="0" w:color="auto"/>
        </w:pBdr>
        <w:spacing w:before="0" w:after="0"/>
        <w:jc w:val="both"/>
        <w:rPr>
          <w:rFonts w:ascii="Times New Roman" w:hAnsi="Times New Roman" w:cs="Times New Roman"/>
          <w:sz w:val="24"/>
          <w:szCs w:val="24"/>
          <w:lang w:val="pt-BR"/>
        </w:rPr>
      </w:pPr>
      <w:r w:rsidRPr="0038451C">
        <w:rPr>
          <w:rStyle w:val="tw4winMark"/>
          <w:rFonts w:ascii="Times New Roman" w:hAnsi="Times New Roman" w:cs="Times New Roman"/>
          <w:b w:val="0"/>
          <w:sz w:val="24"/>
          <w:szCs w:val="24"/>
          <w:lang w:val="pt-BR"/>
        </w:rPr>
        <w:t>{0&gt;</w:t>
      </w:r>
      <w:r w:rsidRPr="0038451C">
        <w:rPr>
          <w:rFonts w:ascii="Times New Roman" w:hAnsi="Times New Roman" w:cs="Times New Roman"/>
          <w:noProof/>
          <w:vanish/>
          <w:color w:val="0000FF"/>
          <w:sz w:val="24"/>
          <w:szCs w:val="24"/>
          <w:lang w:val="pt-BR"/>
        </w:rPr>
        <w:t>Example 4—Effect of a prepayment when a minimum funding requirement exceeds the expected future service charge</w:t>
      </w:r>
      <w:r w:rsidRPr="0038451C">
        <w:rPr>
          <w:rStyle w:val="tw4winMark"/>
          <w:rFonts w:ascii="Times New Roman" w:hAnsi="Times New Roman" w:cs="Times New Roman"/>
          <w:b w:val="0"/>
          <w:sz w:val="24"/>
          <w:szCs w:val="24"/>
          <w:lang w:val="pt-BR"/>
        </w:rPr>
        <w:t>&lt;}100{&gt;</w:t>
      </w:r>
      <w:r w:rsidRPr="0038451C">
        <w:rPr>
          <w:rFonts w:ascii="Times New Roman" w:hAnsi="Times New Roman" w:cs="Times New Roman"/>
          <w:sz w:val="24"/>
          <w:szCs w:val="24"/>
          <w:lang w:val="pt-BR"/>
        </w:rPr>
        <w:t xml:space="preserve">Exemplo 4 – Efeito de pré-pagamento quando um requisito de </w:t>
      </w:r>
      <w:r w:rsidR="00E61348" w:rsidRPr="0038451C">
        <w:rPr>
          <w:rFonts w:ascii="Times New Roman" w:hAnsi="Times New Roman" w:cs="Times New Roman"/>
          <w:sz w:val="24"/>
          <w:szCs w:val="24"/>
          <w:lang w:val="pt-BR"/>
        </w:rPr>
        <w:t>custeio (</w:t>
      </w:r>
      <w:proofErr w:type="spellStart"/>
      <w:r w:rsidR="00522639" w:rsidRPr="0038451C">
        <w:rPr>
          <w:rFonts w:ascii="Times New Roman" w:hAnsi="Times New Roman" w:cs="Times New Roman"/>
          <w:i/>
          <w:sz w:val="24"/>
          <w:szCs w:val="24"/>
          <w:lang w:val="pt-BR"/>
        </w:rPr>
        <w:t>funding</w:t>
      </w:r>
      <w:proofErr w:type="spellEnd"/>
      <w:r w:rsidR="00E61348" w:rsidRPr="0038451C">
        <w:rPr>
          <w:rFonts w:ascii="Times New Roman" w:hAnsi="Times New Roman" w:cs="Times New Roman"/>
          <w:sz w:val="24"/>
          <w:szCs w:val="24"/>
          <w:lang w:val="pt-BR"/>
        </w:rPr>
        <w:t>)</w:t>
      </w:r>
      <w:r w:rsidRPr="0038451C">
        <w:rPr>
          <w:rFonts w:ascii="Times New Roman" w:hAnsi="Times New Roman" w:cs="Times New Roman"/>
          <w:sz w:val="24"/>
          <w:szCs w:val="24"/>
          <w:lang w:val="pt-BR"/>
        </w:rPr>
        <w:t xml:space="preserve"> mínimo excede a cobrança de serviço futuro esperado</w:t>
      </w:r>
    </w:p>
    <w:p w:rsidR="002F0E65" w:rsidRPr="0038451C" w:rsidRDefault="002F0E65" w:rsidP="0038451C">
      <w:pPr>
        <w:pStyle w:val="IASBSectionTitle1NonInd"/>
        <w:pBdr>
          <w:bottom w:val="none" w:sz="0" w:space="0" w:color="auto"/>
        </w:pBdr>
        <w:spacing w:before="0" w:after="0"/>
        <w:jc w:val="both"/>
        <w:rPr>
          <w:rFonts w:ascii="Times New Roman" w:hAnsi="Times New Roman" w:cs="Times New Roman"/>
          <w:sz w:val="24"/>
          <w:szCs w:val="24"/>
          <w:lang w:val="pt-BR"/>
        </w:rPr>
      </w:pPr>
      <w:r w:rsidRPr="0038451C">
        <w:rPr>
          <w:rStyle w:val="tw4winMark"/>
          <w:rFonts w:ascii="Times New Roman" w:hAnsi="Times New Roman" w:cs="Times New Roman"/>
          <w:b w:val="0"/>
          <w:sz w:val="24"/>
          <w:szCs w:val="24"/>
          <w:lang w:val="pt-BR"/>
        </w:rPr>
        <w:t>&lt;0}</w:t>
      </w:r>
    </w:p>
    <w:p w:rsidR="0038451C" w:rsidRDefault="002F0E65" w:rsidP="00340B87">
      <w:pPr>
        <w:pStyle w:val="IASBNormalnpara"/>
        <w:spacing w:before="0"/>
        <w:ind w:left="567" w:hanging="567"/>
        <w:rPr>
          <w:sz w:val="24"/>
          <w:szCs w:val="24"/>
          <w:lang w:val="pt-BR"/>
        </w:rPr>
      </w:pPr>
      <w:bookmarkStart w:id="11" w:name="F13570269"/>
      <w:r w:rsidRPr="0038451C">
        <w:rPr>
          <w:rStyle w:val="tw4winMark"/>
          <w:rFonts w:ascii="Times New Roman" w:hAnsi="Times New Roman"/>
          <w:sz w:val="24"/>
          <w:szCs w:val="24"/>
          <w:lang w:val="pt-BR"/>
        </w:rPr>
        <w:t>{0&gt;</w:t>
      </w:r>
      <w:r w:rsidRPr="0038451C">
        <w:rPr>
          <w:noProof/>
          <w:vanish/>
          <w:color w:val="0000FF"/>
          <w:sz w:val="24"/>
          <w:szCs w:val="24"/>
          <w:lang w:val="pt-BR"/>
        </w:rPr>
        <w:t>IE22</w:t>
      </w:r>
      <w:r w:rsidRPr="0038451C">
        <w:rPr>
          <w:rStyle w:val="tw4winMark"/>
          <w:rFonts w:ascii="Times New Roman" w:hAnsi="Times New Roman"/>
          <w:sz w:val="24"/>
          <w:szCs w:val="24"/>
          <w:lang w:val="pt-BR"/>
        </w:rPr>
        <w:t>&lt;}100{&gt;</w:t>
      </w:r>
      <w:proofErr w:type="gramStart"/>
      <w:r w:rsidRPr="0038451C">
        <w:rPr>
          <w:sz w:val="24"/>
          <w:szCs w:val="24"/>
          <w:lang w:val="pt-BR"/>
        </w:rPr>
        <w:t>EI22</w:t>
      </w:r>
      <w:r w:rsidR="00BB1E42" w:rsidRPr="0038451C">
        <w:rPr>
          <w:sz w:val="24"/>
          <w:szCs w:val="24"/>
          <w:lang w:val="pt-BR"/>
        </w:rPr>
        <w:t>.</w:t>
      </w:r>
      <w:proofErr w:type="gramEnd"/>
      <w:r w:rsidRPr="0038451C">
        <w:rPr>
          <w:rStyle w:val="tw4winMark"/>
          <w:rFonts w:ascii="Times New Roman" w:hAnsi="Times New Roman"/>
          <w:sz w:val="24"/>
          <w:szCs w:val="24"/>
          <w:lang w:val="pt-BR"/>
        </w:rPr>
        <w:t>&lt;0}</w:t>
      </w:r>
      <w:r w:rsidRPr="0038451C">
        <w:rPr>
          <w:sz w:val="24"/>
          <w:szCs w:val="24"/>
          <w:lang w:val="pt-BR"/>
        </w:rPr>
        <w:tab/>
      </w:r>
      <w:r w:rsidRPr="0038451C">
        <w:rPr>
          <w:rStyle w:val="tw4winMark"/>
          <w:rFonts w:ascii="Times New Roman" w:hAnsi="Times New Roman"/>
          <w:sz w:val="24"/>
          <w:szCs w:val="24"/>
          <w:lang w:val="pt-BR"/>
        </w:rPr>
        <w:t>{0&gt;</w:t>
      </w:r>
      <w:r w:rsidRPr="0038451C">
        <w:rPr>
          <w:noProof/>
          <w:vanish/>
          <w:color w:val="0000FF"/>
          <w:sz w:val="24"/>
          <w:szCs w:val="24"/>
          <w:lang w:val="pt-BR"/>
        </w:rPr>
        <w:t>An entity is required to fund Plan D so that no deficit arises on the minimum funding basis.</w:t>
      </w:r>
      <w:r w:rsidRPr="0038451C">
        <w:rPr>
          <w:rStyle w:val="tw4winMark"/>
          <w:rFonts w:ascii="Times New Roman" w:hAnsi="Times New Roman"/>
          <w:sz w:val="24"/>
          <w:szCs w:val="24"/>
          <w:lang w:val="pt-BR"/>
        </w:rPr>
        <w:t>&lt;}100{&gt;</w:t>
      </w:r>
      <w:r w:rsidRPr="0038451C">
        <w:rPr>
          <w:sz w:val="24"/>
          <w:szCs w:val="24"/>
          <w:lang w:val="pt-BR"/>
        </w:rPr>
        <w:t xml:space="preserve">Uma entidade é obrigada a custear o Plano D de modo que não ocorra </w:t>
      </w:r>
      <w:r w:rsidRPr="0038451C">
        <w:rPr>
          <w:i/>
          <w:sz w:val="24"/>
          <w:szCs w:val="24"/>
          <w:lang w:val="pt-BR"/>
        </w:rPr>
        <w:t>d</w:t>
      </w:r>
      <w:r w:rsidR="00557FC8">
        <w:rPr>
          <w:i/>
          <w:sz w:val="24"/>
          <w:szCs w:val="24"/>
          <w:lang w:val="pt-BR"/>
        </w:rPr>
        <w:t>é</w:t>
      </w:r>
      <w:r w:rsidRPr="0038451C">
        <w:rPr>
          <w:i/>
          <w:sz w:val="24"/>
          <w:szCs w:val="24"/>
          <w:lang w:val="pt-BR"/>
        </w:rPr>
        <w:t>ficit</w:t>
      </w:r>
      <w:r w:rsidRPr="0038451C">
        <w:rPr>
          <w:sz w:val="24"/>
          <w:szCs w:val="24"/>
          <w:lang w:val="pt-BR"/>
        </w:rPr>
        <w:t xml:space="preserve"> com base no </w:t>
      </w:r>
      <w:r w:rsidR="00E61348" w:rsidRPr="0038451C">
        <w:rPr>
          <w:sz w:val="24"/>
          <w:szCs w:val="24"/>
          <w:lang w:val="pt-BR"/>
        </w:rPr>
        <w:t>custeio (</w:t>
      </w:r>
      <w:proofErr w:type="spellStart"/>
      <w:r w:rsidR="00522639" w:rsidRPr="0038451C">
        <w:rPr>
          <w:i/>
          <w:sz w:val="24"/>
          <w:szCs w:val="24"/>
          <w:lang w:val="pt-BR"/>
        </w:rPr>
        <w:t>funding</w:t>
      </w:r>
      <w:proofErr w:type="spellEnd"/>
      <w:r w:rsidR="00E61348" w:rsidRPr="0038451C">
        <w:rPr>
          <w:sz w:val="24"/>
          <w:szCs w:val="24"/>
          <w:lang w:val="pt-BR"/>
        </w:rPr>
        <w:t>)</w:t>
      </w:r>
      <w:r w:rsidRPr="0038451C">
        <w:rPr>
          <w:sz w:val="24"/>
          <w:szCs w:val="24"/>
          <w:lang w:val="pt-BR"/>
        </w:rPr>
        <w:t xml:space="preserve"> mínimo.</w:t>
      </w:r>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The entity is required to pay minimum funding requirement contributions to cover the service cost in each period determined on the minimum funding basis.</w:t>
      </w:r>
      <w:r w:rsidRPr="0038451C">
        <w:rPr>
          <w:rStyle w:val="tw4winMark"/>
          <w:rFonts w:ascii="Times New Roman" w:hAnsi="Times New Roman"/>
          <w:sz w:val="24"/>
          <w:szCs w:val="24"/>
          <w:lang w:val="pt-BR"/>
        </w:rPr>
        <w:t>&lt;}100{&gt;</w:t>
      </w:r>
      <w:r w:rsidRPr="0038451C">
        <w:rPr>
          <w:sz w:val="24"/>
          <w:szCs w:val="24"/>
          <w:lang w:val="pt-BR"/>
        </w:rPr>
        <w:t xml:space="preserve">A entidade é obrigada a pagar contribuições de requisito de </w:t>
      </w:r>
      <w:r w:rsidR="00E61348" w:rsidRPr="0038451C">
        <w:rPr>
          <w:sz w:val="24"/>
          <w:szCs w:val="24"/>
          <w:lang w:val="pt-BR"/>
        </w:rPr>
        <w:t>custeio (</w:t>
      </w:r>
      <w:proofErr w:type="spellStart"/>
      <w:r w:rsidR="00522639" w:rsidRPr="0038451C">
        <w:rPr>
          <w:i/>
          <w:sz w:val="24"/>
          <w:szCs w:val="24"/>
          <w:lang w:val="pt-BR"/>
        </w:rPr>
        <w:t>funding</w:t>
      </w:r>
      <w:proofErr w:type="spellEnd"/>
      <w:r w:rsidR="00E61348" w:rsidRPr="0038451C">
        <w:rPr>
          <w:sz w:val="24"/>
          <w:szCs w:val="24"/>
          <w:lang w:val="pt-BR"/>
        </w:rPr>
        <w:t>)</w:t>
      </w:r>
      <w:r w:rsidRPr="0038451C">
        <w:rPr>
          <w:sz w:val="24"/>
          <w:szCs w:val="24"/>
          <w:lang w:val="pt-BR"/>
        </w:rPr>
        <w:t xml:space="preserve"> mínimo para cobrir o custo do serviço em cada período determinado com base no </w:t>
      </w:r>
      <w:r w:rsidR="00E61348" w:rsidRPr="0038451C">
        <w:rPr>
          <w:sz w:val="24"/>
          <w:szCs w:val="24"/>
          <w:lang w:val="pt-BR"/>
        </w:rPr>
        <w:t>custeio (</w:t>
      </w:r>
      <w:proofErr w:type="spellStart"/>
      <w:r w:rsidR="00791F2B" w:rsidRPr="0038451C">
        <w:rPr>
          <w:i/>
          <w:sz w:val="24"/>
          <w:szCs w:val="24"/>
          <w:lang w:val="pt-BR"/>
        </w:rPr>
        <w:t>funding</w:t>
      </w:r>
      <w:proofErr w:type="spellEnd"/>
      <w:r w:rsidR="00E61348" w:rsidRPr="0038451C">
        <w:rPr>
          <w:sz w:val="24"/>
          <w:szCs w:val="24"/>
          <w:lang w:val="pt-BR"/>
        </w:rPr>
        <w:t>)</w:t>
      </w:r>
      <w:r w:rsidRPr="0038451C">
        <w:rPr>
          <w:sz w:val="24"/>
          <w:szCs w:val="24"/>
          <w:lang w:val="pt-BR"/>
        </w:rPr>
        <w:t xml:space="preserve"> mínimo.</w:t>
      </w:r>
    </w:p>
    <w:p w:rsidR="002F0E65" w:rsidRPr="0038451C" w:rsidRDefault="002F0E65" w:rsidP="0038451C">
      <w:pPr>
        <w:pStyle w:val="IASBNormalnpara"/>
        <w:spacing w:before="0"/>
        <w:rPr>
          <w:sz w:val="24"/>
          <w:szCs w:val="24"/>
          <w:lang w:val="pt-BR"/>
        </w:rPr>
      </w:pPr>
      <w:r w:rsidRPr="0038451C">
        <w:rPr>
          <w:rStyle w:val="tw4winMark"/>
          <w:rFonts w:ascii="Times New Roman" w:hAnsi="Times New Roman"/>
          <w:sz w:val="24"/>
          <w:szCs w:val="24"/>
          <w:lang w:val="pt-BR"/>
        </w:rPr>
        <w:t>&lt;0}</w:t>
      </w:r>
    </w:p>
    <w:p w:rsidR="0038451C" w:rsidRDefault="002F0E65" w:rsidP="00340B87">
      <w:pPr>
        <w:pStyle w:val="IASBNormalnpara"/>
        <w:spacing w:before="0"/>
        <w:ind w:left="567" w:hanging="567"/>
        <w:rPr>
          <w:sz w:val="24"/>
          <w:szCs w:val="24"/>
          <w:lang w:val="pt-BR"/>
        </w:rPr>
      </w:pPr>
      <w:bookmarkStart w:id="12" w:name="F13570270"/>
      <w:bookmarkEnd w:id="11"/>
      <w:r w:rsidRPr="0038451C">
        <w:rPr>
          <w:rStyle w:val="tw4winMark"/>
          <w:rFonts w:ascii="Times New Roman" w:hAnsi="Times New Roman"/>
          <w:sz w:val="24"/>
          <w:szCs w:val="24"/>
          <w:lang w:val="pt-BR"/>
        </w:rPr>
        <w:lastRenderedPageBreak/>
        <w:t>{0&gt;</w:t>
      </w:r>
      <w:r w:rsidRPr="0038451C">
        <w:rPr>
          <w:noProof/>
          <w:vanish/>
          <w:color w:val="0000FF"/>
          <w:sz w:val="24"/>
          <w:szCs w:val="24"/>
          <w:lang w:val="pt-BR"/>
        </w:rPr>
        <w:t>IE23</w:t>
      </w:r>
      <w:r w:rsidRPr="0038451C">
        <w:rPr>
          <w:rStyle w:val="tw4winMark"/>
          <w:rFonts w:ascii="Times New Roman" w:hAnsi="Times New Roman"/>
          <w:sz w:val="24"/>
          <w:szCs w:val="24"/>
          <w:lang w:val="pt-BR"/>
        </w:rPr>
        <w:t>&lt;}100{&gt;</w:t>
      </w:r>
      <w:proofErr w:type="gramStart"/>
      <w:r w:rsidRPr="0038451C">
        <w:rPr>
          <w:sz w:val="24"/>
          <w:szCs w:val="24"/>
          <w:lang w:val="pt-BR"/>
        </w:rPr>
        <w:t>EI23</w:t>
      </w:r>
      <w:r w:rsidR="00BB1E42" w:rsidRPr="0038451C">
        <w:rPr>
          <w:sz w:val="24"/>
          <w:szCs w:val="24"/>
          <w:lang w:val="pt-BR"/>
        </w:rPr>
        <w:t>.</w:t>
      </w:r>
      <w:proofErr w:type="gramEnd"/>
      <w:r w:rsidRPr="0038451C">
        <w:rPr>
          <w:rStyle w:val="tw4winMark"/>
          <w:rFonts w:ascii="Times New Roman" w:hAnsi="Times New Roman"/>
          <w:sz w:val="24"/>
          <w:szCs w:val="24"/>
          <w:lang w:val="pt-BR"/>
        </w:rPr>
        <w:t>&lt;0}</w:t>
      </w:r>
      <w:r w:rsidRPr="0038451C">
        <w:rPr>
          <w:sz w:val="24"/>
          <w:szCs w:val="24"/>
          <w:lang w:val="pt-BR"/>
        </w:rPr>
        <w:tab/>
      </w:r>
      <w:r w:rsidRPr="0038451C">
        <w:rPr>
          <w:rStyle w:val="tw4winMark"/>
          <w:rFonts w:ascii="Times New Roman" w:hAnsi="Times New Roman"/>
          <w:sz w:val="24"/>
          <w:szCs w:val="24"/>
          <w:lang w:val="pt-BR"/>
        </w:rPr>
        <w:t>{0&gt;</w:t>
      </w:r>
      <w:r w:rsidRPr="0038451C">
        <w:rPr>
          <w:noProof/>
          <w:vanish/>
          <w:color w:val="0000FF"/>
          <w:sz w:val="24"/>
          <w:szCs w:val="24"/>
          <w:lang w:val="pt-BR"/>
        </w:rPr>
        <w:t>Plan D has an IAS 19 surplus of 35 at the beginning of 20X1.</w:t>
      </w:r>
      <w:r w:rsidRPr="0038451C">
        <w:rPr>
          <w:rStyle w:val="tw4winMark"/>
          <w:rFonts w:ascii="Times New Roman" w:hAnsi="Times New Roman"/>
          <w:sz w:val="24"/>
          <w:szCs w:val="24"/>
          <w:lang w:val="pt-BR"/>
        </w:rPr>
        <w:t>&lt;}100{&gt;</w:t>
      </w:r>
      <w:r w:rsidRPr="0038451C">
        <w:rPr>
          <w:sz w:val="24"/>
          <w:szCs w:val="24"/>
          <w:lang w:val="pt-BR"/>
        </w:rPr>
        <w:t xml:space="preserve">O Plano D tem um </w:t>
      </w:r>
      <w:r w:rsidRPr="0038451C">
        <w:rPr>
          <w:i/>
          <w:sz w:val="24"/>
          <w:szCs w:val="24"/>
          <w:lang w:val="pt-BR"/>
        </w:rPr>
        <w:t>super</w:t>
      </w:r>
      <w:r w:rsidR="00557FC8">
        <w:rPr>
          <w:i/>
          <w:sz w:val="24"/>
          <w:szCs w:val="24"/>
          <w:lang w:val="pt-BR"/>
        </w:rPr>
        <w:t>á</w:t>
      </w:r>
      <w:r w:rsidRPr="0038451C">
        <w:rPr>
          <w:i/>
          <w:sz w:val="24"/>
          <w:szCs w:val="24"/>
          <w:lang w:val="pt-BR"/>
        </w:rPr>
        <w:t>vit</w:t>
      </w:r>
      <w:r w:rsidR="00557FC8">
        <w:rPr>
          <w:i/>
          <w:sz w:val="24"/>
          <w:szCs w:val="24"/>
          <w:lang w:val="pt-BR"/>
        </w:rPr>
        <w:t>,</w:t>
      </w:r>
      <w:r w:rsidRPr="0038451C">
        <w:rPr>
          <w:sz w:val="24"/>
          <w:szCs w:val="24"/>
          <w:lang w:val="pt-BR"/>
        </w:rPr>
        <w:t xml:space="preserve"> conforme o Pronunciamento Técnico CPC 33</w:t>
      </w:r>
      <w:r w:rsidR="00557FC8">
        <w:rPr>
          <w:sz w:val="24"/>
          <w:szCs w:val="24"/>
          <w:lang w:val="pt-BR"/>
        </w:rPr>
        <w:t>,</w:t>
      </w:r>
      <w:r w:rsidRPr="0038451C">
        <w:rPr>
          <w:sz w:val="24"/>
          <w:szCs w:val="24"/>
          <w:lang w:val="pt-BR"/>
        </w:rPr>
        <w:t xml:space="preserve"> de </w:t>
      </w:r>
      <w:r w:rsidR="004971A4">
        <w:rPr>
          <w:sz w:val="24"/>
          <w:szCs w:val="24"/>
          <w:lang w:val="pt-BR"/>
        </w:rPr>
        <w:t xml:space="preserve">$ </w:t>
      </w:r>
      <w:r w:rsidRPr="0038451C">
        <w:rPr>
          <w:sz w:val="24"/>
          <w:szCs w:val="24"/>
          <w:lang w:val="pt-BR"/>
        </w:rPr>
        <w:t>35 no início de 20X1.</w:t>
      </w:r>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This example assumes that the discount rate and expected return on assets are 0 per cent, and that the plan cannot refund the surplus to the entity under any circumstances but can use the surplus for reductions of future contributions.</w:t>
      </w:r>
      <w:r w:rsidRPr="0038451C">
        <w:rPr>
          <w:rStyle w:val="tw4winMark"/>
          <w:rFonts w:ascii="Times New Roman" w:hAnsi="Times New Roman"/>
          <w:sz w:val="24"/>
          <w:szCs w:val="24"/>
          <w:lang w:val="pt-BR"/>
        </w:rPr>
        <w:t>&lt;}100{&gt;</w:t>
      </w:r>
      <w:r w:rsidRPr="0038451C">
        <w:rPr>
          <w:sz w:val="24"/>
          <w:szCs w:val="24"/>
          <w:lang w:val="pt-BR"/>
        </w:rPr>
        <w:t xml:space="preserve">Este exemplo presume que a taxa de desconto e o retorno esperado sobre os ativos são de 0%, e que o plano não pode restituir o </w:t>
      </w:r>
      <w:r w:rsidRPr="0038451C">
        <w:rPr>
          <w:i/>
          <w:sz w:val="24"/>
          <w:szCs w:val="24"/>
          <w:lang w:val="pt-BR"/>
        </w:rPr>
        <w:t>super</w:t>
      </w:r>
      <w:r w:rsidR="00557FC8">
        <w:rPr>
          <w:i/>
          <w:sz w:val="24"/>
          <w:szCs w:val="24"/>
          <w:lang w:val="pt-BR"/>
        </w:rPr>
        <w:t>á</w:t>
      </w:r>
      <w:r w:rsidRPr="0038451C">
        <w:rPr>
          <w:i/>
          <w:sz w:val="24"/>
          <w:szCs w:val="24"/>
          <w:lang w:val="pt-BR"/>
        </w:rPr>
        <w:t>vit</w:t>
      </w:r>
      <w:r w:rsidRPr="0038451C">
        <w:rPr>
          <w:sz w:val="24"/>
          <w:szCs w:val="24"/>
          <w:lang w:val="pt-BR"/>
        </w:rPr>
        <w:t xml:space="preserve"> à entidade em nenhuma circunstância, mas pode utilizar o </w:t>
      </w:r>
      <w:r w:rsidRPr="0038451C">
        <w:rPr>
          <w:i/>
          <w:sz w:val="24"/>
          <w:szCs w:val="24"/>
          <w:lang w:val="pt-BR"/>
        </w:rPr>
        <w:t>super</w:t>
      </w:r>
      <w:r w:rsidR="00557FC8">
        <w:rPr>
          <w:i/>
          <w:sz w:val="24"/>
          <w:szCs w:val="24"/>
          <w:lang w:val="pt-BR"/>
        </w:rPr>
        <w:t>á</w:t>
      </w:r>
      <w:r w:rsidRPr="0038451C">
        <w:rPr>
          <w:i/>
          <w:sz w:val="24"/>
          <w:szCs w:val="24"/>
          <w:lang w:val="pt-BR"/>
        </w:rPr>
        <w:t>vit</w:t>
      </w:r>
      <w:r w:rsidRPr="0038451C">
        <w:rPr>
          <w:sz w:val="24"/>
          <w:szCs w:val="24"/>
          <w:lang w:val="pt-BR"/>
        </w:rPr>
        <w:t xml:space="preserve"> para reduções de contribuições futuras.</w:t>
      </w:r>
    </w:p>
    <w:p w:rsidR="002F0E65" w:rsidRPr="0038451C" w:rsidRDefault="002F0E65" w:rsidP="0038451C">
      <w:pPr>
        <w:pStyle w:val="IASBNormalnpara"/>
        <w:spacing w:before="0"/>
        <w:rPr>
          <w:sz w:val="24"/>
          <w:szCs w:val="24"/>
          <w:lang w:val="pt-BR"/>
        </w:rPr>
      </w:pPr>
      <w:r w:rsidRPr="0038451C">
        <w:rPr>
          <w:rStyle w:val="tw4winMark"/>
          <w:rFonts w:ascii="Times New Roman" w:hAnsi="Times New Roman"/>
          <w:sz w:val="24"/>
          <w:szCs w:val="24"/>
          <w:lang w:val="pt-BR"/>
        </w:rPr>
        <w:t>&lt;0}</w:t>
      </w:r>
    </w:p>
    <w:p w:rsidR="0038451C" w:rsidRDefault="002F0E65" w:rsidP="00340B87">
      <w:pPr>
        <w:pStyle w:val="IASBNormalnpara"/>
        <w:spacing w:before="0"/>
        <w:ind w:left="567" w:hanging="567"/>
        <w:rPr>
          <w:sz w:val="24"/>
          <w:szCs w:val="24"/>
          <w:lang w:val="pt-BR"/>
        </w:rPr>
      </w:pPr>
      <w:bookmarkStart w:id="13" w:name="F13570271"/>
      <w:bookmarkEnd w:id="12"/>
      <w:r w:rsidRPr="0038451C">
        <w:rPr>
          <w:rStyle w:val="tw4winMark"/>
          <w:rFonts w:ascii="Times New Roman" w:hAnsi="Times New Roman"/>
          <w:sz w:val="24"/>
          <w:szCs w:val="24"/>
          <w:lang w:val="pt-BR"/>
        </w:rPr>
        <w:t>{0&gt;</w:t>
      </w:r>
      <w:r w:rsidRPr="0038451C">
        <w:rPr>
          <w:noProof/>
          <w:vanish/>
          <w:color w:val="0000FF"/>
          <w:sz w:val="24"/>
          <w:szCs w:val="24"/>
          <w:lang w:val="pt-BR"/>
        </w:rPr>
        <w:t>IE24</w:t>
      </w:r>
      <w:r w:rsidRPr="0038451C">
        <w:rPr>
          <w:rStyle w:val="tw4winMark"/>
          <w:rFonts w:ascii="Times New Roman" w:hAnsi="Times New Roman"/>
          <w:sz w:val="24"/>
          <w:szCs w:val="24"/>
          <w:lang w:val="pt-BR"/>
        </w:rPr>
        <w:t>&lt;}100{&gt;</w:t>
      </w:r>
      <w:proofErr w:type="gramStart"/>
      <w:r w:rsidRPr="0038451C">
        <w:rPr>
          <w:sz w:val="24"/>
          <w:szCs w:val="24"/>
          <w:lang w:val="pt-BR"/>
        </w:rPr>
        <w:t>EI24</w:t>
      </w:r>
      <w:r w:rsidR="00BB1E42" w:rsidRPr="0038451C">
        <w:rPr>
          <w:sz w:val="24"/>
          <w:szCs w:val="24"/>
          <w:lang w:val="pt-BR"/>
        </w:rPr>
        <w:t>.</w:t>
      </w:r>
      <w:proofErr w:type="gramEnd"/>
      <w:r w:rsidRPr="0038451C">
        <w:rPr>
          <w:rStyle w:val="tw4winMark"/>
          <w:rFonts w:ascii="Times New Roman" w:hAnsi="Times New Roman"/>
          <w:sz w:val="24"/>
          <w:szCs w:val="24"/>
          <w:lang w:val="pt-BR"/>
        </w:rPr>
        <w:t>&lt;0}</w:t>
      </w:r>
      <w:r w:rsidRPr="0038451C">
        <w:rPr>
          <w:sz w:val="24"/>
          <w:szCs w:val="24"/>
          <w:lang w:val="pt-BR"/>
        </w:rPr>
        <w:tab/>
      </w:r>
      <w:r w:rsidRPr="0038451C">
        <w:rPr>
          <w:rStyle w:val="tw4winMark"/>
          <w:rFonts w:ascii="Times New Roman" w:hAnsi="Times New Roman"/>
          <w:sz w:val="24"/>
          <w:szCs w:val="24"/>
          <w:lang w:val="pt-BR"/>
        </w:rPr>
        <w:t>{0&gt;</w:t>
      </w:r>
      <w:r w:rsidRPr="0038451C">
        <w:rPr>
          <w:noProof/>
          <w:vanish/>
          <w:color w:val="0000FF"/>
          <w:sz w:val="24"/>
          <w:szCs w:val="24"/>
          <w:lang w:val="pt-BR"/>
        </w:rPr>
        <w:t>The minimum contributions required to cover future service are 15 for each of the next five years.</w:t>
      </w:r>
      <w:r w:rsidRPr="0038451C">
        <w:rPr>
          <w:rStyle w:val="tw4winMark"/>
          <w:rFonts w:ascii="Times New Roman" w:hAnsi="Times New Roman"/>
          <w:sz w:val="24"/>
          <w:szCs w:val="24"/>
          <w:lang w:val="pt-BR"/>
        </w:rPr>
        <w:t>&lt;}100{&gt;</w:t>
      </w:r>
      <w:r w:rsidRPr="0038451C">
        <w:rPr>
          <w:sz w:val="24"/>
          <w:szCs w:val="24"/>
          <w:lang w:val="pt-BR"/>
        </w:rPr>
        <w:t xml:space="preserve">As contribuições mínimas exigidas para cobrir serviço futuro são de </w:t>
      </w:r>
      <w:r w:rsidR="004971A4">
        <w:rPr>
          <w:sz w:val="24"/>
          <w:szCs w:val="24"/>
          <w:lang w:val="pt-BR"/>
        </w:rPr>
        <w:t xml:space="preserve">$ </w:t>
      </w:r>
      <w:r w:rsidRPr="0038451C">
        <w:rPr>
          <w:sz w:val="24"/>
          <w:szCs w:val="24"/>
          <w:lang w:val="pt-BR"/>
        </w:rPr>
        <w:t>15 para cada um dos próximos cinco anos.</w:t>
      </w:r>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The expected IAS 19 service cost is 10 in each year.</w:t>
      </w:r>
      <w:r w:rsidRPr="0038451C">
        <w:rPr>
          <w:rStyle w:val="tw4winMark"/>
          <w:rFonts w:ascii="Times New Roman" w:hAnsi="Times New Roman"/>
          <w:sz w:val="24"/>
          <w:szCs w:val="24"/>
          <w:lang w:val="pt-BR"/>
        </w:rPr>
        <w:t>&lt;}100{&gt;</w:t>
      </w:r>
      <w:r w:rsidRPr="0038451C">
        <w:rPr>
          <w:sz w:val="24"/>
          <w:szCs w:val="24"/>
          <w:lang w:val="pt-BR"/>
        </w:rPr>
        <w:t>O custo do serviço esperado</w:t>
      </w:r>
      <w:r w:rsidR="00557FC8">
        <w:rPr>
          <w:sz w:val="24"/>
          <w:szCs w:val="24"/>
          <w:lang w:val="pt-BR"/>
        </w:rPr>
        <w:t>,</w:t>
      </w:r>
      <w:r w:rsidRPr="0038451C">
        <w:rPr>
          <w:sz w:val="24"/>
          <w:szCs w:val="24"/>
          <w:lang w:val="pt-BR"/>
        </w:rPr>
        <w:t xml:space="preserve"> conforme o Pronunciamento Técnico CPC 33</w:t>
      </w:r>
      <w:r w:rsidR="00557FC8">
        <w:rPr>
          <w:sz w:val="24"/>
          <w:szCs w:val="24"/>
          <w:lang w:val="pt-BR"/>
        </w:rPr>
        <w:t>,</w:t>
      </w:r>
      <w:r w:rsidRPr="0038451C">
        <w:rPr>
          <w:sz w:val="24"/>
          <w:szCs w:val="24"/>
          <w:lang w:val="pt-BR"/>
        </w:rPr>
        <w:t xml:space="preserve"> é de </w:t>
      </w:r>
      <w:r w:rsidR="004971A4">
        <w:rPr>
          <w:sz w:val="24"/>
          <w:szCs w:val="24"/>
          <w:lang w:val="pt-BR"/>
        </w:rPr>
        <w:t xml:space="preserve">$ </w:t>
      </w:r>
      <w:r w:rsidRPr="0038451C">
        <w:rPr>
          <w:sz w:val="24"/>
          <w:szCs w:val="24"/>
          <w:lang w:val="pt-BR"/>
        </w:rPr>
        <w:t>10 em cada ano.</w:t>
      </w:r>
    </w:p>
    <w:p w:rsidR="002F0E65" w:rsidRPr="0038451C" w:rsidRDefault="002F0E65" w:rsidP="0038451C">
      <w:pPr>
        <w:pStyle w:val="IASBNormalnpara"/>
        <w:spacing w:before="0"/>
        <w:rPr>
          <w:sz w:val="24"/>
          <w:szCs w:val="24"/>
          <w:lang w:val="pt-BR"/>
        </w:rPr>
      </w:pPr>
      <w:r w:rsidRPr="0038451C">
        <w:rPr>
          <w:rStyle w:val="tw4winMark"/>
          <w:rFonts w:ascii="Times New Roman" w:hAnsi="Times New Roman"/>
          <w:sz w:val="24"/>
          <w:szCs w:val="24"/>
          <w:lang w:val="pt-BR"/>
        </w:rPr>
        <w:t>&lt;0}</w:t>
      </w:r>
    </w:p>
    <w:p w:rsidR="002F0E65" w:rsidRPr="0038451C" w:rsidRDefault="002F0E65" w:rsidP="00340B87">
      <w:pPr>
        <w:pStyle w:val="IASBNormalnpara"/>
        <w:spacing w:before="0"/>
        <w:ind w:left="567" w:hanging="567"/>
        <w:rPr>
          <w:sz w:val="24"/>
          <w:szCs w:val="24"/>
          <w:lang w:val="pt-BR"/>
        </w:rPr>
      </w:pPr>
      <w:bookmarkStart w:id="14" w:name="F13570272"/>
      <w:bookmarkEnd w:id="13"/>
      <w:r w:rsidRPr="0038451C">
        <w:rPr>
          <w:rStyle w:val="tw4winMark"/>
          <w:rFonts w:ascii="Times New Roman" w:hAnsi="Times New Roman"/>
          <w:sz w:val="24"/>
          <w:szCs w:val="24"/>
          <w:lang w:val="pt-BR"/>
        </w:rPr>
        <w:t>{0&gt;</w:t>
      </w:r>
      <w:r w:rsidRPr="0038451C">
        <w:rPr>
          <w:noProof/>
          <w:vanish/>
          <w:color w:val="0000FF"/>
          <w:sz w:val="24"/>
          <w:szCs w:val="24"/>
          <w:lang w:val="pt-BR"/>
        </w:rPr>
        <w:t>IE25</w:t>
      </w:r>
      <w:r w:rsidRPr="0038451C">
        <w:rPr>
          <w:rStyle w:val="tw4winMark"/>
          <w:rFonts w:ascii="Times New Roman" w:hAnsi="Times New Roman"/>
          <w:sz w:val="24"/>
          <w:szCs w:val="24"/>
          <w:lang w:val="pt-BR"/>
        </w:rPr>
        <w:t>&lt;}100{&gt;</w:t>
      </w:r>
      <w:proofErr w:type="gramStart"/>
      <w:r w:rsidRPr="0038451C">
        <w:rPr>
          <w:sz w:val="24"/>
          <w:szCs w:val="24"/>
          <w:lang w:val="pt-BR"/>
        </w:rPr>
        <w:t>EI25</w:t>
      </w:r>
      <w:r w:rsidR="00BB1E42" w:rsidRPr="0038451C">
        <w:rPr>
          <w:sz w:val="24"/>
          <w:szCs w:val="24"/>
          <w:lang w:val="pt-BR"/>
        </w:rPr>
        <w:t>.</w:t>
      </w:r>
      <w:proofErr w:type="gramEnd"/>
      <w:r w:rsidRPr="0038451C">
        <w:rPr>
          <w:rStyle w:val="tw4winMark"/>
          <w:rFonts w:ascii="Times New Roman" w:hAnsi="Times New Roman"/>
          <w:sz w:val="24"/>
          <w:szCs w:val="24"/>
          <w:lang w:val="pt-BR"/>
        </w:rPr>
        <w:t>&lt;0}</w:t>
      </w:r>
      <w:r w:rsidRPr="0038451C">
        <w:rPr>
          <w:sz w:val="24"/>
          <w:szCs w:val="24"/>
          <w:lang w:val="pt-BR"/>
        </w:rPr>
        <w:tab/>
      </w:r>
      <w:r w:rsidRPr="0038451C">
        <w:rPr>
          <w:rStyle w:val="tw4winMark"/>
          <w:rFonts w:ascii="Times New Roman" w:hAnsi="Times New Roman"/>
          <w:sz w:val="24"/>
          <w:szCs w:val="24"/>
          <w:lang w:val="pt-BR"/>
        </w:rPr>
        <w:t>{0&gt;</w:t>
      </w:r>
      <w:r w:rsidRPr="0038451C">
        <w:rPr>
          <w:noProof/>
          <w:vanish/>
          <w:color w:val="0000FF"/>
          <w:sz w:val="24"/>
          <w:szCs w:val="24"/>
          <w:lang w:val="pt-BR"/>
        </w:rPr>
        <w:t>The entity makes a prepayment of 30 at the beginning of 20X1 in respect of years 20X1 and 20X2, increasing its surplus at the beginning of 20X1 to 65.</w:t>
      </w:r>
      <w:r w:rsidRPr="0038451C">
        <w:rPr>
          <w:rStyle w:val="tw4winMark"/>
          <w:rFonts w:ascii="Times New Roman" w:hAnsi="Times New Roman"/>
          <w:sz w:val="24"/>
          <w:szCs w:val="24"/>
          <w:lang w:val="pt-BR"/>
        </w:rPr>
        <w:t>&lt;}100{&gt;</w:t>
      </w:r>
      <w:r w:rsidRPr="0038451C">
        <w:rPr>
          <w:sz w:val="24"/>
          <w:szCs w:val="24"/>
          <w:lang w:val="pt-BR"/>
        </w:rPr>
        <w:t xml:space="preserve">A entidade efetua </w:t>
      </w:r>
      <w:r w:rsidR="00557FC8">
        <w:rPr>
          <w:sz w:val="24"/>
          <w:szCs w:val="24"/>
          <w:lang w:val="pt-BR"/>
        </w:rPr>
        <w:t>o</w:t>
      </w:r>
      <w:r w:rsidRPr="0038451C">
        <w:rPr>
          <w:sz w:val="24"/>
          <w:szCs w:val="24"/>
          <w:lang w:val="pt-BR"/>
        </w:rPr>
        <w:t xml:space="preserve"> pré-pagamento de </w:t>
      </w:r>
      <w:r w:rsidR="004971A4">
        <w:rPr>
          <w:sz w:val="24"/>
          <w:szCs w:val="24"/>
          <w:lang w:val="pt-BR"/>
        </w:rPr>
        <w:t xml:space="preserve">$ </w:t>
      </w:r>
      <w:r w:rsidRPr="0038451C">
        <w:rPr>
          <w:sz w:val="24"/>
          <w:szCs w:val="24"/>
          <w:lang w:val="pt-BR"/>
        </w:rPr>
        <w:t xml:space="preserve">30 no início de 20X1 referente aos anos 20X1 e 20X2, aumentando seu </w:t>
      </w:r>
      <w:proofErr w:type="spellStart"/>
      <w:r w:rsidRPr="0038451C">
        <w:rPr>
          <w:i/>
          <w:sz w:val="24"/>
          <w:szCs w:val="24"/>
          <w:lang w:val="pt-BR"/>
        </w:rPr>
        <w:t>superavit</w:t>
      </w:r>
      <w:proofErr w:type="spellEnd"/>
      <w:r w:rsidRPr="0038451C">
        <w:rPr>
          <w:sz w:val="24"/>
          <w:szCs w:val="24"/>
          <w:lang w:val="pt-BR"/>
        </w:rPr>
        <w:t xml:space="preserve"> no início de 20X1 para </w:t>
      </w:r>
      <w:r w:rsidR="004971A4">
        <w:rPr>
          <w:sz w:val="24"/>
          <w:szCs w:val="24"/>
          <w:lang w:val="pt-BR"/>
        </w:rPr>
        <w:t xml:space="preserve">$ </w:t>
      </w:r>
      <w:r w:rsidRPr="0038451C">
        <w:rPr>
          <w:sz w:val="24"/>
          <w:szCs w:val="24"/>
          <w:lang w:val="pt-BR"/>
        </w:rPr>
        <w:t>65.</w:t>
      </w:r>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That prepayment reduces the future contributions it expects to make in the following two years, as follows:</w:t>
      </w:r>
      <w:r w:rsidRPr="0038451C">
        <w:rPr>
          <w:rStyle w:val="tw4winMark"/>
          <w:rFonts w:ascii="Times New Roman" w:hAnsi="Times New Roman"/>
          <w:sz w:val="24"/>
          <w:szCs w:val="24"/>
          <w:lang w:val="pt-BR"/>
        </w:rPr>
        <w:t>&lt;}100{&gt;</w:t>
      </w:r>
      <w:r w:rsidRPr="0038451C">
        <w:rPr>
          <w:sz w:val="24"/>
          <w:szCs w:val="24"/>
          <w:lang w:val="pt-BR"/>
        </w:rPr>
        <w:t>Esse pré-pagamento reduz as contribuições futuras que ela espera fazer nos próximos dois anos, conforme abaixo:</w:t>
      </w:r>
      <w:r w:rsidRPr="0038451C">
        <w:rPr>
          <w:rStyle w:val="tw4winMark"/>
          <w:rFonts w:ascii="Times New Roman" w:hAnsi="Times New Roman"/>
          <w:sz w:val="24"/>
          <w:szCs w:val="24"/>
          <w:lang w:val="pt-BR"/>
        </w:rPr>
        <w:t>&lt;0}</w:t>
      </w:r>
    </w:p>
    <w:bookmarkEnd w:id="14"/>
    <w:p w:rsidR="002F0E65" w:rsidRPr="0038451C" w:rsidRDefault="002F0E65" w:rsidP="0038451C">
      <w:pPr>
        <w:pStyle w:val="IASBNormalnpara"/>
        <w:spacing w:before="0"/>
        <w:rPr>
          <w:sz w:val="24"/>
          <w:szCs w:val="24"/>
          <w:lang w:val="pt-BR"/>
        </w:rPr>
      </w:pPr>
    </w:p>
    <w:tbl>
      <w:tblPr>
        <w:tblW w:w="8080" w:type="dxa"/>
        <w:tblInd w:w="964" w:type="dxa"/>
        <w:tblLayout w:type="fixed"/>
        <w:tblLook w:val="0000"/>
      </w:tblPr>
      <w:tblGrid>
        <w:gridCol w:w="2089"/>
        <w:gridCol w:w="1997"/>
        <w:gridCol w:w="1997"/>
        <w:gridCol w:w="1997"/>
      </w:tblGrid>
      <w:tr w:rsidR="002F0E65" w:rsidRPr="004028D4" w:rsidTr="00064DB2">
        <w:trPr>
          <w:cantSplit/>
          <w:tblHeader/>
        </w:trPr>
        <w:tc>
          <w:tcPr>
            <w:tcW w:w="2383" w:type="dxa"/>
            <w:tcBorders>
              <w:top w:val="single" w:sz="4" w:space="0" w:color="auto"/>
              <w:left w:val="single" w:sz="4" w:space="0" w:color="auto"/>
              <w:bottom w:val="single" w:sz="4" w:space="0" w:color="auto"/>
              <w:right w:val="single" w:sz="4" w:space="0" w:color="auto"/>
            </w:tcBorders>
          </w:tcPr>
          <w:p w:rsidR="002F0E65" w:rsidRPr="0038451C" w:rsidRDefault="002F0E65" w:rsidP="00064DB2">
            <w:pPr>
              <w:pStyle w:val="IASBTableHeaderArial"/>
              <w:spacing w:line="280" w:lineRule="auto"/>
              <w:jc w:val="center"/>
              <w:rPr>
                <w:rFonts w:ascii="Times New Roman" w:hAnsi="Times New Roman"/>
                <w:sz w:val="24"/>
                <w:szCs w:val="24"/>
              </w:rPr>
            </w:pPr>
            <w:r w:rsidRPr="0038451C">
              <w:rPr>
                <w:rStyle w:val="tw4winMark"/>
                <w:rFonts w:ascii="Times New Roman" w:hAnsi="Times New Roman"/>
                <w:sz w:val="24"/>
                <w:szCs w:val="24"/>
                <w:lang w:val="pt-BR"/>
              </w:rPr>
              <w:t>{0&gt;</w:t>
            </w:r>
            <w:r w:rsidRPr="0038451C">
              <w:rPr>
                <w:rFonts w:ascii="Times New Roman" w:hAnsi="Times New Roman"/>
                <w:b/>
                <w:noProof/>
                <w:vanish/>
                <w:color w:val="0000FF"/>
                <w:sz w:val="24"/>
                <w:szCs w:val="24"/>
                <w:lang w:val="pt-BR"/>
              </w:rPr>
              <w:t>Year</w:t>
            </w:r>
            <w:r w:rsidRPr="0038451C">
              <w:rPr>
                <w:rStyle w:val="tw4winMark"/>
                <w:rFonts w:ascii="Times New Roman" w:hAnsi="Times New Roman"/>
                <w:sz w:val="24"/>
                <w:szCs w:val="24"/>
                <w:lang w:val="pt-BR"/>
              </w:rPr>
              <w:t>&lt;}100{&gt;</w:t>
            </w:r>
            <w:r w:rsidRPr="0038451C">
              <w:rPr>
                <w:rFonts w:ascii="Times New Roman" w:hAnsi="Times New Roman"/>
                <w:b/>
                <w:sz w:val="24"/>
                <w:szCs w:val="24"/>
                <w:lang w:val="pt-BR"/>
              </w:rPr>
              <w:t>Ano</w:t>
            </w:r>
            <w:r w:rsidRPr="0038451C">
              <w:rPr>
                <w:rStyle w:val="tw4winMark"/>
                <w:rFonts w:ascii="Times New Roman" w:hAnsi="Times New Roman"/>
                <w:sz w:val="24"/>
                <w:szCs w:val="24"/>
                <w:lang w:val="pt-BR"/>
              </w:rPr>
              <w:t>&lt;0}</w:t>
            </w:r>
          </w:p>
        </w:tc>
        <w:tc>
          <w:tcPr>
            <w:tcW w:w="2275" w:type="dxa"/>
            <w:tcBorders>
              <w:top w:val="single" w:sz="4" w:space="0" w:color="auto"/>
              <w:left w:val="nil"/>
              <w:bottom w:val="single" w:sz="4" w:space="0" w:color="auto"/>
              <w:right w:val="single" w:sz="4" w:space="0" w:color="auto"/>
            </w:tcBorders>
          </w:tcPr>
          <w:p w:rsidR="002F0E65" w:rsidRPr="0038451C" w:rsidRDefault="002F0E65" w:rsidP="00064DB2">
            <w:pPr>
              <w:pStyle w:val="IASBTableHeaderArial"/>
              <w:spacing w:line="280" w:lineRule="auto"/>
              <w:jc w:val="center"/>
              <w:rPr>
                <w:rFonts w:ascii="Times New Roman" w:hAnsi="Times New Roman"/>
                <w:sz w:val="24"/>
                <w:szCs w:val="24"/>
                <w:lang w:val="pt-BR"/>
              </w:rPr>
            </w:pPr>
            <w:r w:rsidRPr="0038451C">
              <w:rPr>
                <w:rStyle w:val="tw4winMark"/>
                <w:rFonts w:ascii="Times New Roman" w:hAnsi="Times New Roman"/>
                <w:sz w:val="24"/>
                <w:szCs w:val="24"/>
                <w:lang w:val="pt-BR"/>
              </w:rPr>
              <w:t>{0&gt;</w:t>
            </w:r>
            <w:r w:rsidRPr="0038451C">
              <w:rPr>
                <w:rFonts w:ascii="Times New Roman" w:hAnsi="Times New Roman"/>
                <w:b/>
                <w:noProof/>
                <w:vanish/>
                <w:color w:val="0000FF"/>
                <w:sz w:val="24"/>
                <w:szCs w:val="24"/>
                <w:lang w:val="pt-BR"/>
              </w:rPr>
              <w:t>IAS 19 service cost</w:t>
            </w:r>
            <w:r w:rsidRPr="0038451C">
              <w:rPr>
                <w:rStyle w:val="tw4winMark"/>
                <w:rFonts w:ascii="Times New Roman" w:hAnsi="Times New Roman"/>
                <w:sz w:val="24"/>
                <w:szCs w:val="24"/>
                <w:lang w:val="pt-BR"/>
              </w:rPr>
              <w:t>&lt;}100{&gt;</w:t>
            </w:r>
            <w:r w:rsidRPr="0038451C">
              <w:rPr>
                <w:rFonts w:ascii="Times New Roman" w:hAnsi="Times New Roman"/>
                <w:b/>
                <w:sz w:val="24"/>
                <w:szCs w:val="24"/>
                <w:lang w:val="pt-BR"/>
              </w:rPr>
              <w:t>Custo de serviço conforme o Pronunciamento Técnico CPC 33</w:t>
            </w:r>
            <w:r w:rsidRPr="0038451C">
              <w:rPr>
                <w:rFonts w:ascii="Times New Roman" w:hAnsi="Times New Roman"/>
                <w:sz w:val="24"/>
                <w:szCs w:val="24"/>
                <w:lang w:val="pt-BR"/>
              </w:rPr>
              <w:t xml:space="preserve"> </w:t>
            </w:r>
            <w:r w:rsidRPr="0038451C">
              <w:rPr>
                <w:rStyle w:val="tw4winMark"/>
                <w:rFonts w:ascii="Times New Roman" w:hAnsi="Times New Roman"/>
                <w:sz w:val="24"/>
                <w:szCs w:val="24"/>
                <w:lang w:val="pt-BR"/>
              </w:rPr>
              <w:t>&lt;0}</w:t>
            </w:r>
          </w:p>
        </w:tc>
        <w:tc>
          <w:tcPr>
            <w:tcW w:w="2275" w:type="dxa"/>
            <w:tcBorders>
              <w:top w:val="single" w:sz="4" w:space="0" w:color="auto"/>
              <w:left w:val="nil"/>
              <w:bottom w:val="single" w:sz="4" w:space="0" w:color="auto"/>
              <w:right w:val="single" w:sz="4" w:space="0" w:color="auto"/>
            </w:tcBorders>
          </w:tcPr>
          <w:p w:rsidR="002F0E65" w:rsidRPr="0038451C" w:rsidRDefault="002F0E65" w:rsidP="00064DB2">
            <w:pPr>
              <w:pStyle w:val="IASBTableHeaderArial"/>
              <w:spacing w:line="280" w:lineRule="auto"/>
              <w:jc w:val="center"/>
              <w:rPr>
                <w:rFonts w:ascii="Times New Roman" w:hAnsi="Times New Roman"/>
                <w:sz w:val="24"/>
                <w:szCs w:val="24"/>
                <w:lang w:val="pt-BR"/>
              </w:rPr>
            </w:pPr>
            <w:r w:rsidRPr="0038451C">
              <w:rPr>
                <w:rStyle w:val="tw4winMark"/>
                <w:rFonts w:ascii="Times New Roman" w:hAnsi="Times New Roman"/>
                <w:sz w:val="24"/>
                <w:szCs w:val="24"/>
                <w:lang w:val="pt-BR"/>
              </w:rPr>
              <w:t>{0&gt;</w:t>
            </w:r>
            <w:r w:rsidRPr="0038451C">
              <w:rPr>
                <w:rFonts w:ascii="Times New Roman" w:hAnsi="Times New Roman"/>
                <w:b/>
                <w:noProof/>
                <w:vanish/>
                <w:color w:val="0000FF"/>
                <w:sz w:val="24"/>
                <w:szCs w:val="24"/>
                <w:lang w:val="pt-BR"/>
              </w:rPr>
              <w:t>Minimum funding requirement contribution before prepayment</w:t>
            </w:r>
            <w:r w:rsidRPr="0038451C">
              <w:rPr>
                <w:rStyle w:val="tw4winMark"/>
                <w:rFonts w:ascii="Times New Roman" w:hAnsi="Times New Roman"/>
                <w:sz w:val="24"/>
                <w:szCs w:val="24"/>
                <w:lang w:val="pt-BR"/>
              </w:rPr>
              <w:t>&lt;}100{&gt;</w:t>
            </w:r>
            <w:r w:rsidRPr="0038451C">
              <w:rPr>
                <w:rFonts w:ascii="Times New Roman" w:hAnsi="Times New Roman"/>
                <w:b/>
                <w:sz w:val="24"/>
                <w:szCs w:val="24"/>
                <w:lang w:val="pt-BR"/>
              </w:rPr>
              <w:t xml:space="preserve">Contribuição de requisito de </w:t>
            </w:r>
            <w:r w:rsidR="00E61348" w:rsidRPr="0038451C">
              <w:rPr>
                <w:rFonts w:ascii="Times New Roman" w:hAnsi="Times New Roman"/>
                <w:b/>
                <w:sz w:val="24"/>
                <w:szCs w:val="24"/>
                <w:lang w:val="pt-BR"/>
              </w:rPr>
              <w:t>custeio (</w:t>
            </w:r>
            <w:proofErr w:type="spellStart"/>
            <w:r w:rsidR="00791F2B" w:rsidRPr="0038451C">
              <w:rPr>
                <w:rFonts w:ascii="Times New Roman" w:hAnsi="Times New Roman"/>
                <w:b/>
                <w:i/>
                <w:sz w:val="24"/>
                <w:szCs w:val="24"/>
                <w:lang w:val="pt-BR"/>
              </w:rPr>
              <w:t>funding</w:t>
            </w:r>
            <w:proofErr w:type="spellEnd"/>
            <w:r w:rsidR="00E61348" w:rsidRPr="0038451C">
              <w:rPr>
                <w:rFonts w:ascii="Times New Roman" w:hAnsi="Times New Roman"/>
                <w:b/>
                <w:sz w:val="24"/>
                <w:szCs w:val="24"/>
                <w:lang w:val="pt-BR"/>
              </w:rPr>
              <w:t>)</w:t>
            </w:r>
            <w:r w:rsidRPr="0038451C">
              <w:rPr>
                <w:rFonts w:ascii="Times New Roman" w:hAnsi="Times New Roman"/>
                <w:b/>
                <w:sz w:val="24"/>
                <w:szCs w:val="24"/>
                <w:lang w:val="pt-BR"/>
              </w:rPr>
              <w:t xml:space="preserve"> mínimo antes do pré-pagamento</w:t>
            </w:r>
            <w:r w:rsidRPr="0038451C">
              <w:rPr>
                <w:rStyle w:val="tw4winMark"/>
                <w:rFonts w:ascii="Times New Roman" w:hAnsi="Times New Roman"/>
                <w:sz w:val="24"/>
                <w:szCs w:val="24"/>
                <w:lang w:val="pt-BR"/>
              </w:rPr>
              <w:t>&lt;0}</w:t>
            </w:r>
          </w:p>
        </w:tc>
        <w:tc>
          <w:tcPr>
            <w:tcW w:w="2275" w:type="dxa"/>
            <w:tcBorders>
              <w:top w:val="single" w:sz="4" w:space="0" w:color="auto"/>
              <w:left w:val="nil"/>
              <w:bottom w:val="single" w:sz="4" w:space="0" w:color="auto"/>
              <w:right w:val="single" w:sz="4" w:space="0" w:color="auto"/>
            </w:tcBorders>
          </w:tcPr>
          <w:p w:rsidR="002F0E65" w:rsidRPr="0038451C" w:rsidRDefault="002F0E65" w:rsidP="00064DB2">
            <w:pPr>
              <w:pStyle w:val="IASBTableHeaderArial"/>
              <w:spacing w:line="280" w:lineRule="auto"/>
              <w:jc w:val="center"/>
              <w:rPr>
                <w:rFonts w:ascii="Times New Roman" w:hAnsi="Times New Roman"/>
                <w:sz w:val="24"/>
                <w:szCs w:val="24"/>
                <w:lang w:val="pt-BR"/>
              </w:rPr>
            </w:pPr>
            <w:r w:rsidRPr="0038451C">
              <w:rPr>
                <w:rStyle w:val="tw4winMark"/>
                <w:rFonts w:ascii="Times New Roman" w:hAnsi="Times New Roman"/>
                <w:sz w:val="24"/>
                <w:szCs w:val="24"/>
                <w:lang w:val="pt-BR"/>
              </w:rPr>
              <w:t>{0&gt;</w:t>
            </w:r>
            <w:r w:rsidRPr="0038451C">
              <w:rPr>
                <w:rFonts w:ascii="Times New Roman" w:hAnsi="Times New Roman"/>
                <w:b/>
                <w:noProof/>
                <w:vanish/>
                <w:color w:val="0000FF"/>
                <w:sz w:val="24"/>
                <w:szCs w:val="24"/>
                <w:lang w:val="pt-BR"/>
              </w:rPr>
              <w:t>Minimum funding requirement contribution after prepayment</w:t>
            </w:r>
            <w:r w:rsidRPr="0038451C">
              <w:rPr>
                <w:rStyle w:val="tw4winMark"/>
                <w:rFonts w:ascii="Times New Roman" w:hAnsi="Times New Roman"/>
                <w:sz w:val="24"/>
                <w:szCs w:val="24"/>
                <w:lang w:val="pt-BR"/>
              </w:rPr>
              <w:t>&lt;}100{&gt;</w:t>
            </w:r>
            <w:r w:rsidRPr="0038451C">
              <w:rPr>
                <w:rFonts w:ascii="Times New Roman" w:hAnsi="Times New Roman"/>
                <w:b/>
                <w:sz w:val="24"/>
                <w:szCs w:val="24"/>
                <w:lang w:val="pt-BR"/>
              </w:rPr>
              <w:t xml:space="preserve">Contribuição de requisito de </w:t>
            </w:r>
            <w:r w:rsidR="00E61348" w:rsidRPr="0038451C">
              <w:rPr>
                <w:rFonts w:ascii="Times New Roman" w:hAnsi="Times New Roman"/>
                <w:b/>
                <w:sz w:val="24"/>
                <w:szCs w:val="24"/>
                <w:lang w:val="pt-BR"/>
              </w:rPr>
              <w:t>custeio (</w:t>
            </w:r>
            <w:proofErr w:type="spellStart"/>
            <w:r w:rsidR="00791F2B" w:rsidRPr="0038451C">
              <w:rPr>
                <w:rFonts w:ascii="Times New Roman" w:hAnsi="Times New Roman"/>
                <w:b/>
                <w:i/>
                <w:sz w:val="24"/>
                <w:szCs w:val="24"/>
                <w:lang w:val="pt-BR"/>
              </w:rPr>
              <w:t>funding</w:t>
            </w:r>
            <w:proofErr w:type="spellEnd"/>
            <w:r w:rsidR="00E61348" w:rsidRPr="0038451C">
              <w:rPr>
                <w:rFonts w:ascii="Times New Roman" w:hAnsi="Times New Roman"/>
                <w:b/>
                <w:sz w:val="24"/>
                <w:szCs w:val="24"/>
                <w:lang w:val="pt-BR"/>
              </w:rPr>
              <w:t>)</w:t>
            </w:r>
            <w:r w:rsidRPr="0038451C">
              <w:rPr>
                <w:rFonts w:ascii="Times New Roman" w:hAnsi="Times New Roman"/>
                <w:b/>
                <w:sz w:val="24"/>
                <w:szCs w:val="24"/>
                <w:lang w:val="pt-BR"/>
              </w:rPr>
              <w:t xml:space="preserve"> mínimo após o pré-pagamento</w:t>
            </w:r>
            <w:r w:rsidRPr="0038451C">
              <w:rPr>
                <w:rStyle w:val="tw4winMark"/>
                <w:rFonts w:ascii="Times New Roman" w:hAnsi="Times New Roman"/>
                <w:sz w:val="24"/>
                <w:szCs w:val="24"/>
                <w:lang w:val="pt-BR"/>
              </w:rPr>
              <w:t>&lt;0}</w:t>
            </w:r>
          </w:p>
        </w:tc>
      </w:tr>
      <w:tr w:rsidR="002F0E65" w:rsidTr="00064DB2">
        <w:trPr>
          <w:cantSplit/>
        </w:trPr>
        <w:tc>
          <w:tcPr>
            <w:tcW w:w="2383" w:type="dxa"/>
            <w:tcBorders>
              <w:top w:val="nil"/>
              <w:left w:val="single" w:sz="4" w:space="0" w:color="auto"/>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lang w:val="en-US"/>
              </w:rPr>
              <w:t>20X1</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10</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0</w:t>
            </w:r>
          </w:p>
        </w:tc>
      </w:tr>
      <w:tr w:rsidR="002F0E65" w:rsidTr="00064DB2">
        <w:trPr>
          <w:cantSplit/>
        </w:trPr>
        <w:tc>
          <w:tcPr>
            <w:tcW w:w="2383" w:type="dxa"/>
            <w:tcBorders>
              <w:top w:val="nil"/>
              <w:left w:val="single" w:sz="4" w:space="0" w:color="auto"/>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20X2</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10</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0</w:t>
            </w:r>
          </w:p>
        </w:tc>
      </w:tr>
      <w:tr w:rsidR="002F0E65" w:rsidTr="00064DB2">
        <w:trPr>
          <w:cantSplit/>
        </w:trPr>
        <w:tc>
          <w:tcPr>
            <w:tcW w:w="2383" w:type="dxa"/>
            <w:tcBorders>
              <w:top w:val="nil"/>
              <w:left w:val="single" w:sz="4" w:space="0" w:color="auto"/>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20X3</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10</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r>
      <w:tr w:rsidR="002F0E65" w:rsidTr="00064DB2">
        <w:trPr>
          <w:cantSplit/>
        </w:trPr>
        <w:tc>
          <w:tcPr>
            <w:tcW w:w="2383" w:type="dxa"/>
            <w:tcBorders>
              <w:top w:val="nil"/>
              <w:left w:val="single" w:sz="4" w:space="0" w:color="auto"/>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20X4</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10</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r>
      <w:tr w:rsidR="002F0E65" w:rsidTr="00064DB2">
        <w:trPr>
          <w:cantSplit/>
        </w:trPr>
        <w:tc>
          <w:tcPr>
            <w:tcW w:w="2383" w:type="dxa"/>
            <w:tcBorders>
              <w:top w:val="nil"/>
              <w:left w:val="single" w:sz="4" w:space="0" w:color="auto"/>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20X5</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10</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15</w:t>
            </w:r>
          </w:p>
        </w:tc>
      </w:tr>
      <w:tr w:rsidR="002F0E65" w:rsidTr="00064DB2">
        <w:trPr>
          <w:cantSplit/>
        </w:trPr>
        <w:tc>
          <w:tcPr>
            <w:tcW w:w="2383" w:type="dxa"/>
            <w:tcBorders>
              <w:top w:val="nil"/>
              <w:left w:val="single" w:sz="4" w:space="0" w:color="auto"/>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Total</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50</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75</w:t>
            </w:r>
          </w:p>
        </w:tc>
        <w:tc>
          <w:tcPr>
            <w:tcW w:w="2275" w:type="dxa"/>
            <w:tcBorders>
              <w:top w:val="nil"/>
              <w:left w:val="nil"/>
              <w:bottom w:val="single" w:sz="4" w:space="0" w:color="auto"/>
              <w:right w:val="single" w:sz="4" w:space="0" w:color="auto"/>
            </w:tcBorders>
            <w:vAlign w:val="bottom"/>
          </w:tcPr>
          <w:p w:rsidR="002F0E65" w:rsidRPr="0038451C" w:rsidRDefault="002F0E65" w:rsidP="00064DB2">
            <w:pPr>
              <w:pStyle w:val="IASBTableArial"/>
              <w:jc w:val="center"/>
              <w:rPr>
                <w:rFonts w:ascii="Times New Roman" w:hAnsi="Times New Roman"/>
                <w:sz w:val="24"/>
                <w:szCs w:val="24"/>
              </w:rPr>
            </w:pPr>
            <w:r w:rsidRPr="0038451C">
              <w:rPr>
                <w:rFonts w:ascii="Times New Roman" w:hAnsi="Times New Roman"/>
                <w:sz w:val="24"/>
                <w:szCs w:val="24"/>
              </w:rPr>
              <w:t>45</w:t>
            </w:r>
          </w:p>
        </w:tc>
      </w:tr>
    </w:tbl>
    <w:p w:rsidR="002F0E65" w:rsidRDefault="002F0E65" w:rsidP="002F0E65">
      <w:pPr>
        <w:pStyle w:val="IASBNormalnpara"/>
      </w:pPr>
    </w:p>
    <w:p w:rsidR="0038451C" w:rsidRDefault="002F0E65" w:rsidP="0038451C">
      <w:pPr>
        <w:pStyle w:val="IASBSectionTitle2Ind"/>
        <w:spacing w:before="0" w:after="0"/>
        <w:rPr>
          <w:rFonts w:ascii="Times New Roman" w:hAnsi="Times New Roman" w:cs="Times New Roman"/>
          <w:sz w:val="24"/>
          <w:szCs w:val="24"/>
          <w:lang w:val="pt-BR"/>
        </w:rPr>
      </w:pPr>
      <w:bookmarkStart w:id="15" w:name="F13570273"/>
      <w:r w:rsidRPr="0038451C">
        <w:rPr>
          <w:rStyle w:val="tw4winMark"/>
          <w:rFonts w:ascii="Times New Roman" w:hAnsi="Times New Roman" w:cs="Times New Roman"/>
          <w:b w:val="0"/>
          <w:sz w:val="24"/>
          <w:szCs w:val="24"/>
          <w:lang w:val="pt-BR"/>
        </w:rPr>
        <w:t>{0&gt;</w:t>
      </w:r>
      <w:r w:rsidRPr="0038451C">
        <w:rPr>
          <w:rFonts w:ascii="Times New Roman" w:hAnsi="Times New Roman" w:cs="Times New Roman"/>
          <w:noProof/>
          <w:vanish/>
          <w:color w:val="0000FF"/>
          <w:sz w:val="24"/>
          <w:szCs w:val="24"/>
          <w:lang w:val="pt-BR"/>
        </w:rPr>
        <w:t>Application of requirements</w:t>
      </w:r>
      <w:r w:rsidRPr="0038451C">
        <w:rPr>
          <w:rStyle w:val="tw4winMark"/>
          <w:rFonts w:ascii="Times New Roman" w:hAnsi="Times New Roman" w:cs="Times New Roman"/>
          <w:b w:val="0"/>
          <w:sz w:val="24"/>
          <w:szCs w:val="24"/>
          <w:lang w:val="pt-BR"/>
        </w:rPr>
        <w:t>&lt;}100{&gt;</w:t>
      </w:r>
      <w:r w:rsidRPr="0038451C">
        <w:rPr>
          <w:rFonts w:ascii="Times New Roman" w:hAnsi="Times New Roman" w:cs="Times New Roman"/>
          <w:sz w:val="24"/>
          <w:szCs w:val="24"/>
          <w:lang w:val="pt-BR"/>
        </w:rPr>
        <w:t>Aplicação de requisitos</w:t>
      </w:r>
    </w:p>
    <w:p w:rsidR="002F0E65" w:rsidRPr="0038451C" w:rsidRDefault="002F0E65" w:rsidP="0038451C">
      <w:pPr>
        <w:pStyle w:val="IASBSectionTitle2Ind"/>
        <w:spacing w:before="0" w:after="0"/>
        <w:rPr>
          <w:rFonts w:ascii="Times New Roman" w:hAnsi="Times New Roman" w:cs="Times New Roman"/>
          <w:sz w:val="24"/>
          <w:szCs w:val="24"/>
        </w:rPr>
      </w:pPr>
      <w:r w:rsidRPr="0038451C">
        <w:rPr>
          <w:rStyle w:val="tw4winMark"/>
          <w:rFonts w:ascii="Times New Roman" w:hAnsi="Times New Roman" w:cs="Times New Roman"/>
          <w:b w:val="0"/>
          <w:sz w:val="24"/>
          <w:szCs w:val="24"/>
          <w:lang w:val="pt-BR"/>
        </w:rPr>
        <w:t>&lt;0}</w:t>
      </w:r>
    </w:p>
    <w:p w:rsidR="002F0E65" w:rsidRPr="0038451C" w:rsidRDefault="002F0E65" w:rsidP="00340B87">
      <w:pPr>
        <w:pStyle w:val="IASBNormalnpara"/>
        <w:spacing w:before="0"/>
        <w:ind w:left="567" w:hanging="567"/>
        <w:rPr>
          <w:sz w:val="24"/>
          <w:szCs w:val="24"/>
          <w:lang w:val="pt-BR"/>
        </w:rPr>
      </w:pPr>
      <w:bookmarkStart w:id="16" w:name="F13570275"/>
      <w:bookmarkEnd w:id="15"/>
      <w:r w:rsidRPr="0038451C">
        <w:rPr>
          <w:rStyle w:val="tw4winMark"/>
          <w:rFonts w:ascii="Times New Roman" w:hAnsi="Times New Roman"/>
          <w:sz w:val="24"/>
          <w:szCs w:val="24"/>
          <w:lang w:val="pt-BR"/>
        </w:rPr>
        <w:t>{0&gt;</w:t>
      </w:r>
      <w:r w:rsidRPr="0038451C">
        <w:rPr>
          <w:noProof/>
          <w:vanish/>
          <w:color w:val="0000FF"/>
          <w:sz w:val="24"/>
          <w:szCs w:val="24"/>
          <w:lang w:val="pt-BR"/>
        </w:rPr>
        <w:t>IE26</w:t>
      </w:r>
      <w:r w:rsidRPr="0038451C">
        <w:rPr>
          <w:rStyle w:val="tw4winMark"/>
          <w:rFonts w:ascii="Times New Roman" w:hAnsi="Times New Roman"/>
          <w:sz w:val="24"/>
          <w:szCs w:val="24"/>
          <w:lang w:val="pt-BR"/>
        </w:rPr>
        <w:t>&lt;}100{&gt;</w:t>
      </w:r>
      <w:proofErr w:type="gramStart"/>
      <w:r w:rsidRPr="0038451C">
        <w:rPr>
          <w:sz w:val="24"/>
          <w:szCs w:val="24"/>
          <w:lang w:val="pt-BR"/>
        </w:rPr>
        <w:t>EI26</w:t>
      </w:r>
      <w:r w:rsidR="00BB1E42" w:rsidRPr="0038451C">
        <w:rPr>
          <w:sz w:val="24"/>
          <w:szCs w:val="24"/>
          <w:lang w:val="pt-BR"/>
        </w:rPr>
        <w:t>.</w:t>
      </w:r>
      <w:proofErr w:type="gramEnd"/>
      <w:r w:rsidRPr="0038451C">
        <w:rPr>
          <w:rStyle w:val="tw4winMark"/>
          <w:rFonts w:ascii="Times New Roman" w:hAnsi="Times New Roman"/>
          <w:sz w:val="24"/>
          <w:szCs w:val="24"/>
          <w:lang w:val="pt-BR"/>
        </w:rPr>
        <w:t>&lt;0}</w:t>
      </w:r>
      <w:r w:rsidRPr="0038451C">
        <w:rPr>
          <w:sz w:val="24"/>
          <w:szCs w:val="24"/>
          <w:lang w:val="pt-BR"/>
        </w:rPr>
        <w:tab/>
      </w:r>
      <w:r w:rsidRPr="0038451C">
        <w:rPr>
          <w:rStyle w:val="tw4winMark"/>
          <w:rFonts w:ascii="Times New Roman" w:hAnsi="Times New Roman"/>
          <w:sz w:val="24"/>
          <w:szCs w:val="24"/>
          <w:lang w:val="pt-BR"/>
        </w:rPr>
        <w:t>{0&gt;</w:t>
      </w:r>
      <w:r w:rsidRPr="0038451C">
        <w:rPr>
          <w:noProof/>
          <w:vanish/>
          <w:color w:val="0000FF"/>
          <w:sz w:val="24"/>
          <w:szCs w:val="24"/>
          <w:lang w:val="pt-BR"/>
        </w:rPr>
        <w:t>In accordance with paragraphs 20 and 22 of IFRIC 14, at the beginning of 20X1, the economic benefit available as a reduction in future contributions is the sum of:</w:t>
      </w:r>
      <w:r w:rsidRPr="0038451C">
        <w:rPr>
          <w:rStyle w:val="tw4winMark"/>
          <w:rFonts w:ascii="Times New Roman" w:hAnsi="Times New Roman"/>
          <w:sz w:val="24"/>
          <w:szCs w:val="24"/>
          <w:lang w:val="pt-BR"/>
        </w:rPr>
        <w:t>&lt;}100{&gt;</w:t>
      </w:r>
      <w:r w:rsidRPr="0038451C">
        <w:rPr>
          <w:sz w:val="24"/>
          <w:szCs w:val="24"/>
          <w:lang w:val="pt-BR"/>
        </w:rPr>
        <w:t>De acordo com os itens 20 e 22 da ICPC 20, no início de 20X1, o benefício econômico disponível como uma redução nas contribuições futuras é a soma de:</w:t>
      </w:r>
      <w:r w:rsidRPr="0038451C">
        <w:rPr>
          <w:rStyle w:val="tw4winMark"/>
          <w:rFonts w:ascii="Times New Roman" w:hAnsi="Times New Roman"/>
          <w:sz w:val="24"/>
          <w:szCs w:val="24"/>
          <w:lang w:val="pt-BR"/>
        </w:rPr>
        <w:t>&lt;0}</w:t>
      </w:r>
    </w:p>
    <w:p w:rsidR="002F0E65" w:rsidRPr="0038451C" w:rsidRDefault="002F0E65" w:rsidP="00340B87">
      <w:pPr>
        <w:pStyle w:val="IASBNormalnparaL1"/>
        <w:spacing w:before="0"/>
        <w:ind w:left="993" w:hanging="426"/>
        <w:rPr>
          <w:sz w:val="24"/>
          <w:szCs w:val="24"/>
          <w:lang w:val="pt-BR"/>
        </w:rPr>
      </w:pPr>
      <w:bookmarkStart w:id="17" w:name="F13570278"/>
      <w:bookmarkEnd w:id="16"/>
      <w:r w:rsidRPr="0038451C">
        <w:rPr>
          <w:rStyle w:val="tw4winMark"/>
          <w:rFonts w:ascii="Times New Roman" w:hAnsi="Times New Roman"/>
          <w:sz w:val="24"/>
          <w:szCs w:val="24"/>
          <w:lang w:val="pt-BR"/>
        </w:rPr>
        <w:t>{0&gt;</w:t>
      </w:r>
      <w:r w:rsidRPr="0038451C">
        <w:rPr>
          <w:noProof/>
          <w:vanish/>
          <w:color w:val="0000FF"/>
          <w:sz w:val="24"/>
          <w:szCs w:val="24"/>
          <w:lang w:val="pt-BR"/>
        </w:rPr>
        <w:t>(a)</w:t>
      </w:r>
      <w:r w:rsidRPr="0038451C">
        <w:rPr>
          <w:rStyle w:val="tw4winMark"/>
          <w:rFonts w:ascii="Times New Roman" w:hAnsi="Times New Roman"/>
          <w:sz w:val="24"/>
          <w:szCs w:val="24"/>
          <w:lang w:val="pt-BR"/>
        </w:rPr>
        <w:t>&lt;}100{&gt;</w:t>
      </w:r>
      <w:r w:rsidRPr="0038451C">
        <w:rPr>
          <w:sz w:val="24"/>
          <w:szCs w:val="24"/>
          <w:lang w:val="pt-BR"/>
        </w:rPr>
        <w:t>(a)</w:t>
      </w:r>
      <w:r w:rsidRPr="0038451C">
        <w:rPr>
          <w:rStyle w:val="tw4winMark"/>
          <w:rFonts w:ascii="Times New Roman" w:hAnsi="Times New Roman"/>
          <w:sz w:val="24"/>
          <w:szCs w:val="24"/>
          <w:lang w:val="pt-BR"/>
        </w:rPr>
        <w:t>&lt;0}</w:t>
      </w:r>
      <w:r w:rsidRPr="0038451C">
        <w:rPr>
          <w:sz w:val="24"/>
          <w:szCs w:val="24"/>
          <w:lang w:val="pt-BR"/>
        </w:rPr>
        <w:tab/>
      </w:r>
      <w:r w:rsidR="004971A4">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30, being the prepayment of the minimum funding requirement contributions; and</w:t>
      </w:r>
      <w:r w:rsidRPr="0038451C">
        <w:rPr>
          <w:rStyle w:val="tw4winMark"/>
          <w:rFonts w:ascii="Times New Roman" w:hAnsi="Times New Roman"/>
          <w:sz w:val="24"/>
          <w:szCs w:val="24"/>
          <w:lang w:val="pt-BR"/>
        </w:rPr>
        <w:t>&lt;}100{&gt;</w:t>
      </w:r>
      <w:r w:rsidRPr="0038451C">
        <w:rPr>
          <w:sz w:val="24"/>
          <w:szCs w:val="24"/>
          <w:lang w:val="pt-BR"/>
        </w:rPr>
        <w:t xml:space="preserve">30, sendo o pré-pagamento das contribuições de requisito de </w:t>
      </w:r>
      <w:r w:rsidR="00E61348" w:rsidRPr="0038451C">
        <w:rPr>
          <w:sz w:val="24"/>
          <w:szCs w:val="24"/>
          <w:lang w:val="pt-BR"/>
        </w:rPr>
        <w:t>custeio (</w:t>
      </w:r>
      <w:proofErr w:type="spellStart"/>
      <w:r w:rsidR="00791F2B" w:rsidRPr="0038451C">
        <w:rPr>
          <w:i/>
          <w:sz w:val="24"/>
          <w:szCs w:val="24"/>
          <w:lang w:val="pt-BR"/>
        </w:rPr>
        <w:t>funding</w:t>
      </w:r>
      <w:proofErr w:type="spellEnd"/>
      <w:r w:rsidR="00E61348" w:rsidRPr="0038451C">
        <w:rPr>
          <w:sz w:val="24"/>
          <w:szCs w:val="24"/>
          <w:lang w:val="pt-BR"/>
        </w:rPr>
        <w:t>)</w:t>
      </w:r>
      <w:r w:rsidRPr="0038451C">
        <w:rPr>
          <w:sz w:val="24"/>
          <w:szCs w:val="24"/>
          <w:lang w:val="pt-BR"/>
        </w:rPr>
        <w:t xml:space="preserve"> mínimo; e</w:t>
      </w:r>
      <w:proofErr w:type="gramStart"/>
      <w:r w:rsidRPr="0038451C">
        <w:rPr>
          <w:rStyle w:val="tw4winMark"/>
          <w:rFonts w:ascii="Times New Roman" w:hAnsi="Times New Roman"/>
          <w:sz w:val="24"/>
          <w:szCs w:val="24"/>
          <w:lang w:val="pt-BR"/>
        </w:rPr>
        <w:t>&lt;0}</w:t>
      </w:r>
      <w:proofErr w:type="gramEnd"/>
    </w:p>
    <w:p w:rsidR="0038451C" w:rsidRDefault="002F0E65" w:rsidP="00340B87">
      <w:pPr>
        <w:pStyle w:val="IASBNormalnparaL1"/>
        <w:spacing w:before="0"/>
        <w:ind w:left="993" w:hanging="426"/>
        <w:rPr>
          <w:sz w:val="24"/>
          <w:szCs w:val="24"/>
          <w:lang w:val="pt-BR"/>
        </w:rPr>
      </w:pPr>
      <w:bookmarkStart w:id="18" w:name="F13570280"/>
      <w:bookmarkEnd w:id="17"/>
      <w:r w:rsidRPr="0038451C">
        <w:rPr>
          <w:rStyle w:val="tw4winMark"/>
          <w:rFonts w:ascii="Times New Roman" w:hAnsi="Times New Roman"/>
          <w:sz w:val="24"/>
          <w:szCs w:val="24"/>
          <w:lang w:val="pt-BR"/>
        </w:rPr>
        <w:t>{0&gt;</w:t>
      </w:r>
      <w:r w:rsidRPr="0038451C">
        <w:rPr>
          <w:noProof/>
          <w:vanish/>
          <w:color w:val="0000FF"/>
          <w:sz w:val="24"/>
          <w:szCs w:val="24"/>
          <w:lang w:val="pt-BR"/>
        </w:rPr>
        <w:t>(b)</w:t>
      </w:r>
      <w:r w:rsidRPr="0038451C">
        <w:rPr>
          <w:rStyle w:val="tw4winMark"/>
          <w:rFonts w:ascii="Times New Roman" w:hAnsi="Times New Roman"/>
          <w:sz w:val="24"/>
          <w:szCs w:val="24"/>
          <w:lang w:val="pt-BR"/>
        </w:rPr>
        <w:t>&lt;}100{&gt;</w:t>
      </w:r>
      <w:r w:rsidRPr="0038451C">
        <w:rPr>
          <w:sz w:val="24"/>
          <w:szCs w:val="24"/>
          <w:lang w:val="pt-BR"/>
        </w:rPr>
        <w:t>(b)</w:t>
      </w:r>
      <w:r w:rsidRPr="0038451C">
        <w:rPr>
          <w:rStyle w:val="tw4winMark"/>
          <w:rFonts w:ascii="Times New Roman" w:hAnsi="Times New Roman"/>
          <w:sz w:val="24"/>
          <w:szCs w:val="24"/>
          <w:lang w:val="pt-BR"/>
        </w:rPr>
        <w:t>&lt;0}</w:t>
      </w:r>
      <w:r w:rsidRPr="0038451C">
        <w:rPr>
          <w:sz w:val="24"/>
          <w:szCs w:val="24"/>
          <w:lang w:val="pt-BR"/>
        </w:rPr>
        <w:tab/>
      </w:r>
      <w:r w:rsidR="004971A4">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nil.</w:t>
      </w:r>
      <w:r w:rsidRPr="0038451C">
        <w:rPr>
          <w:rStyle w:val="tw4winMark"/>
          <w:rFonts w:ascii="Times New Roman" w:hAnsi="Times New Roman"/>
          <w:sz w:val="24"/>
          <w:szCs w:val="24"/>
          <w:lang w:val="pt-BR"/>
        </w:rPr>
        <w:t>&lt;}100{&gt;</w:t>
      </w:r>
      <w:proofErr w:type="gramStart"/>
      <w:r w:rsidRPr="0038451C">
        <w:rPr>
          <w:sz w:val="24"/>
          <w:szCs w:val="24"/>
          <w:lang w:val="pt-BR"/>
        </w:rPr>
        <w:t>zero.</w:t>
      </w:r>
      <w:proofErr w:type="gramEnd"/>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The estimated minimum funding requirement contributions required for future service would be 75 if there was no prepayment.</w:t>
      </w:r>
      <w:r w:rsidRPr="0038451C">
        <w:rPr>
          <w:rStyle w:val="tw4winMark"/>
          <w:rFonts w:ascii="Times New Roman" w:hAnsi="Times New Roman"/>
          <w:sz w:val="24"/>
          <w:szCs w:val="24"/>
          <w:lang w:val="pt-BR"/>
        </w:rPr>
        <w:t>&lt;}100{&gt;</w:t>
      </w:r>
      <w:r w:rsidRPr="0038451C">
        <w:rPr>
          <w:sz w:val="24"/>
          <w:szCs w:val="24"/>
          <w:lang w:val="pt-BR"/>
        </w:rPr>
        <w:t xml:space="preserve">As contribuições de requisito de </w:t>
      </w:r>
      <w:r w:rsidR="00E61348" w:rsidRPr="0038451C">
        <w:rPr>
          <w:sz w:val="24"/>
          <w:szCs w:val="24"/>
          <w:lang w:val="pt-BR"/>
        </w:rPr>
        <w:t>custeio (</w:t>
      </w:r>
      <w:proofErr w:type="spellStart"/>
      <w:r w:rsidR="00E61348" w:rsidRPr="009D50CA">
        <w:rPr>
          <w:i/>
          <w:sz w:val="24"/>
          <w:szCs w:val="24"/>
          <w:lang w:val="pt-BR"/>
        </w:rPr>
        <w:t>funding</w:t>
      </w:r>
      <w:proofErr w:type="spellEnd"/>
      <w:r w:rsidR="00E61348" w:rsidRPr="0038451C">
        <w:rPr>
          <w:sz w:val="24"/>
          <w:szCs w:val="24"/>
          <w:lang w:val="pt-BR"/>
        </w:rPr>
        <w:t>)</w:t>
      </w:r>
      <w:r w:rsidRPr="0038451C">
        <w:rPr>
          <w:sz w:val="24"/>
          <w:szCs w:val="24"/>
          <w:lang w:val="pt-BR"/>
        </w:rPr>
        <w:t xml:space="preserve"> mínimo estimado exigidas para serviço futuro seriam de </w:t>
      </w:r>
      <w:r w:rsidR="004971A4">
        <w:rPr>
          <w:sz w:val="24"/>
          <w:szCs w:val="24"/>
          <w:lang w:val="pt-BR"/>
        </w:rPr>
        <w:t xml:space="preserve">$ </w:t>
      </w:r>
      <w:r w:rsidRPr="0038451C">
        <w:rPr>
          <w:sz w:val="24"/>
          <w:szCs w:val="24"/>
          <w:lang w:val="pt-BR"/>
        </w:rPr>
        <w:t>75 se não houvesse pré-pagamento.</w:t>
      </w:r>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Those contributions exceed the estimated future service cost (50); therefore the entity cannot use any part of the surplus of 35 noted in paragraph IE23 (see paragraph 22).</w:t>
      </w:r>
      <w:r w:rsidRPr="0038451C">
        <w:rPr>
          <w:rStyle w:val="tw4winMark"/>
          <w:rFonts w:ascii="Times New Roman" w:hAnsi="Times New Roman"/>
          <w:sz w:val="24"/>
          <w:szCs w:val="24"/>
          <w:lang w:val="pt-BR"/>
        </w:rPr>
        <w:t>&lt;}100{&gt;</w:t>
      </w:r>
      <w:r w:rsidRPr="0038451C">
        <w:rPr>
          <w:sz w:val="24"/>
          <w:szCs w:val="24"/>
          <w:lang w:val="pt-BR"/>
        </w:rPr>
        <w:t>Essas contribuições excedem o custo do serviço futuro estimado (</w:t>
      </w:r>
      <w:r w:rsidR="004971A4">
        <w:rPr>
          <w:sz w:val="24"/>
          <w:szCs w:val="24"/>
          <w:lang w:val="pt-BR"/>
        </w:rPr>
        <w:t xml:space="preserve">$ </w:t>
      </w:r>
      <w:r w:rsidRPr="0038451C">
        <w:rPr>
          <w:sz w:val="24"/>
          <w:szCs w:val="24"/>
          <w:lang w:val="pt-BR"/>
        </w:rPr>
        <w:t xml:space="preserve">50); portanto, a entidade não pode utilizar qualquer parte do </w:t>
      </w:r>
      <w:r w:rsidRPr="0038451C">
        <w:rPr>
          <w:i/>
          <w:sz w:val="24"/>
          <w:szCs w:val="24"/>
          <w:lang w:val="pt-BR"/>
        </w:rPr>
        <w:t>super</w:t>
      </w:r>
      <w:r w:rsidR="00557FC8">
        <w:rPr>
          <w:i/>
          <w:sz w:val="24"/>
          <w:szCs w:val="24"/>
          <w:lang w:val="pt-BR"/>
        </w:rPr>
        <w:t>á</w:t>
      </w:r>
      <w:r w:rsidRPr="0038451C">
        <w:rPr>
          <w:i/>
          <w:sz w:val="24"/>
          <w:szCs w:val="24"/>
          <w:lang w:val="pt-BR"/>
        </w:rPr>
        <w:t>vit</w:t>
      </w:r>
      <w:r w:rsidRPr="0038451C">
        <w:rPr>
          <w:sz w:val="24"/>
          <w:szCs w:val="24"/>
          <w:lang w:val="pt-BR"/>
        </w:rPr>
        <w:t xml:space="preserve"> de </w:t>
      </w:r>
      <w:r w:rsidR="004971A4">
        <w:rPr>
          <w:sz w:val="24"/>
          <w:szCs w:val="24"/>
          <w:lang w:val="pt-BR"/>
        </w:rPr>
        <w:t xml:space="preserve">$ </w:t>
      </w:r>
      <w:r w:rsidRPr="0038451C">
        <w:rPr>
          <w:sz w:val="24"/>
          <w:szCs w:val="24"/>
          <w:lang w:val="pt-BR"/>
        </w:rPr>
        <w:t>35 observado no item EI23 (</w:t>
      </w:r>
      <w:r w:rsidR="00557FC8" w:rsidRPr="00557FC8">
        <w:rPr>
          <w:sz w:val="24"/>
          <w:szCs w:val="24"/>
          <w:lang w:val="pt-BR"/>
        </w:rPr>
        <w:t>ver</w:t>
      </w:r>
      <w:r w:rsidRPr="0038451C">
        <w:rPr>
          <w:sz w:val="24"/>
          <w:szCs w:val="24"/>
          <w:lang w:val="pt-BR"/>
        </w:rPr>
        <w:t xml:space="preserve"> item 22).</w:t>
      </w:r>
    </w:p>
    <w:p w:rsidR="002F0E65" w:rsidRPr="0038451C" w:rsidRDefault="002F0E65" w:rsidP="0038451C">
      <w:pPr>
        <w:pStyle w:val="IASBNormalnparaL1"/>
        <w:spacing w:before="0"/>
        <w:rPr>
          <w:sz w:val="24"/>
          <w:szCs w:val="24"/>
          <w:lang w:val="pt-BR"/>
        </w:rPr>
      </w:pPr>
      <w:r w:rsidRPr="0038451C">
        <w:rPr>
          <w:rStyle w:val="tw4winMark"/>
          <w:rFonts w:ascii="Times New Roman" w:hAnsi="Times New Roman"/>
          <w:sz w:val="24"/>
          <w:szCs w:val="24"/>
          <w:lang w:val="pt-BR"/>
        </w:rPr>
        <w:t>&lt;0}</w:t>
      </w:r>
    </w:p>
    <w:p w:rsidR="002F0E65" w:rsidRPr="0038451C" w:rsidRDefault="002F0E65" w:rsidP="00340B87">
      <w:pPr>
        <w:pStyle w:val="IASBNormalnpara"/>
        <w:spacing w:before="0"/>
        <w:ind w:left="567" w:hanging="567"/>
        <w:rPr>
          <w:sz w:val="24"/>
          <w:szCs w:val="24"/>
          <w:lang w:val="pt-BR"/>
        </w:rPr>
      </w:pPr>
      <w:bookmarkStart w:id="19" w:name="F13570281"/>
      <w:bookmarkEnd w:id="18"/>
      <w:r w:rsidRPr="0038451C">
        <w:rPr>
          <w:rStyle w:val="tw4winMark"/>
          <w:rFonts w:ascii="Times New Roman" w:hAnsi="Times New Roman"/>
          <w:sz w:val="24"/>
          <w:szCs w:val="24"/>
          <w:lang w:val="pt-BR"/>
        </w:rPr>
        <w:t>{0&gt;</w:t>
      </w:r>
      <w:r w:rsidRPr="0038451C">
        <w:rPr>
          <w:noProof/>
          <w:vanish/>
          <w:color w:val="0000FF"/>
          <w:sz w:val="24"/>
          <w:szCs w:val="24"/>
          <w:lang w:val="pt-BR"/>
        </w:rPr>
        <w:t>IE27</w:t>
      </w:r>
      <w:r w:rsidRPr="0038451C">
        <w:rPr>
          <w:rStyle w:val="tw4winMark"/>
          <w:rFonts w:ascii="Times New Roman" w:hAnsi="Times New Roman"/>
          <w:sz w:val="24"/>
          <w:szCs w:val="24"/>
          <w:lang w:val="pt-BR"/>
        </w:rPr>
        <w:t>&lt;}100{&gt;</w:t>
      </w:r>
      <w:proofErr w:type="gramStart"/>
      <w:r w:rsidRPr="0038451C">
        <w:rPr>
          <w:sz w:val="24"/>
          <w:szCs w:val="24"/>
          <w:lang w:val="pt-BR"/>
        </w:rPr>
        <w:t>EI27</w:t>
      </w:r>
      <w:r w:rsidR="00BB1E42" w:rsidRPr="0038451C">
        <w:rPr>
          <w:sz w:val="24"/>
          <w:szCs w:val="24"/>
          <w:lang w:val="pt-BR"/>
        </w:rPr>
        <w:t>.</w:t>
      </w:r>
      <w:proofErr w:type="gramEnd"/>
      <w:r w:rsidRPr="0038451C">
        <w:rPr>
          <w:rStyle w:val="tw4winMark"/>
          <w:rFonts w:ascii="Times New Roman" w:hAnsi="Times New Roman"/>
          <w:sz w:val="24"/>
          <w:szCs w:val="24"/>
          <w:lang w:val="pt-BR"/>
        </w:rPr>
        <w:t>&lt;0}</w:t>
      </w:r>
      <w:r w:rsidRPr="0038451C">
        <w:rPr>
          <w:sz w:val="24"/>
          <w:szCs w:val="24"/>
          <w:lang w:val="pt-BR"/>
        </w:rPr>
        <w:tab/>
      </w:r>
      <w:r w:rsidRPr="0038451C">
        <w:rPr>
          <w:rStyle w:val="tw4winMark"/>
          <w:rFonts w:ascii="Times New Roman" w:hAnsi="Times New Roman"/>
          <w:sz w:val="24"/>
          <w:szCs w:val="24"/>
          <w:lang w:val="pt-BR"/>
        </w:rPr>
        <w:t>{0&gt;</w:t>
      </w:r>
      <w:r w:rsidRPr="0038451C">
        <w:rPr>
          <w:noProof/>
          <w:vanish/>
          <w:color w:val="0000FF"/>
          <w:sz w:val="24"/>
          <w:szCs w:val="24"/>
          <w:lang w:val="pt-BR"/>
        </w:rPr>
        <w:t>Assuming a discount rate of 0 per cent, the present value of the economic benefit available as a reduction in future contributions is equal to 30.</w:t>
      </w:r>
      <w:r w:rsidRPr="0038451C">
        <w:rPr>
          <w:rStyle w:val="tw4winMark"/>
          <w:rFonts w:ascii="Times New Roman" w:hAnsi="Times New Roman"/>
          <w:sz w:val="24"/>
          <w:szCs w:val="24"/>
          <w:lang w:val="pt-BR"/>
        </w:rPr>
        <w:t>&lt;}100{&gt;</w:t>
      </w:r>
      <w:r w:rsidRPr="0038451C">
        <w:rPr>
          <w:sz w:val="24"/>
          <w:szCs w:val="24"/>
          <w:lang w:val="pt-BR"/>
        </w:rPr>
        <w:t xml:space="preserve">Supondo a taxa de desconto de 0%, o valor presente do benefício econômico disponível como redução nas contribuições futuras é igual a </w:t>
      </w:r>
      <w:r w:rsidR="004971A4">
        <w:rPr>
          <w:sz w:val="24"/>
          <w:szCs w:val="24"/>
          <w:lang w:val="pt-BR"/>
        </w:rPr>
        <w:t xml:space="preserve">$ </w:t>
      </w:r>
      <w:r w:rsidRPr="0038451C">
        <w:rPr>
          <w:sz w:val="24"/>
          <w:szCs w:val="24"/>
          <w:lang w:val="pt-BR"/>
        </w:rPr>
        <w:t>30.</w:t>
      </w:r>
      <w:r w:rsidRPr="0038451C">
        <w:rPr>
          <w:rStyle w:val="tw4winMark"/>
          <w:rFonts w:ascii="Times New Roman" w:hAnsi="Times New Roman"/>
          <w:sz w:val="24"/>
          <w:szCs w:val="24"/>
          <w:lang w:val="pt-BR"/>
        </w:rPr>
        <w:t>&lt;0}</w:t>
      </w:r>
      <w:r w:rsidRPr="0038451C">
        <w:rPr>
          <w:sz w:val="24"/>
          <w:szCs w:val="24"/>
          <w:lang w:val="pt-BR"/>
        </w:rPr>
        <w:t xml:space="preserve"> </w:t>
      </w:r>
      <w:r w:rsidRPr="0038451C">
        <w:rPr>
          <w:rStyle w:val="tw4winMark"/>
          <w:rFonts w:ascii="Times New Roman" w:hAnsi="Times New Roman"/>
          <w:sz w:val="24"/>
          <w:szCs w:val="24"/>
          <w:lang w:val="pt-BR"/>
        </w:rPr>
        <w:t>{0&gt;</w:t>
      </w:r>
      <w:r w:rsidRPr="0038451C">
        <w:rPr>
          <w:noProof/>
          <w:vanish/>
          <w:color w:val="0000FF"/>
          <w:sz w:val="24"/>
          <w:szCs w:val="24"/>
          <w:lang w:val="pt-BR"/>
        </w:rPr>
        <w:t>Thus in accordance with paragraph 64 of IAS 19 the entity recognises a net defined benefit asset of 30 (because this is lower than the IAS 19 surplus of 65).</w:t>
      </w:r>
      <w:r w:rsidRPr="0038451C">
        <w:rPr>
          <w:rStyle w:val="tw4winMark"/>
          <w:rFonts w:ascii="Times New Roman" w:hAnsi="Times New Roman"/>
          <w:sz w:val="24"/>
          <w:szCs w:val="24"/>
          <w:lang w:val="pt-BR"/>
        </w:rPr>
        <w:t>&lt;}100{&gt;</w:t>
      </w:r>
      <w:r w:rsidRPr="0038451C">
        <w:rPr>
          <w:sz w:val="24"/>
          <w:szCs w:val="24"/>
          <w:lang w:val="pt-BR"/>
        </w:rPr>
        <w:t xml:space="preserve">Assim, de acordo com o item 64 do Pronunciamento Técnico CPC 33, a entidade reconhece </w:t>
      </w:r>
      <w:r w:rsidR="00463392">
        <w:rPr>
          <w:sz w:val="24"/>
          <w:szCs w:val="24"/>
          <w:lang w:val="pt-BR"/>
        </w:rPr>
        <w:t>o</w:t>
      </w:r>
      <w:r w:rsidRPr="0038451C">
        <w:rPr>
          <w:sz w:val="24"/>
          <w:szCs w:val="24"/>
          <w:lang w:val="pt-BR"/>
        </w:rPr>
        <w:t xml:space="preserve"> ativo de benefício definido líquido de </w:t>
      </w:r>
      <w:r w:rsidR="004971A4">
        <w:rPr>
          <w:sz w:val="24"/>
          <w:szCs w:val="24"/>
          <w:lang w:val="pt-BR"/>
        </w:rPr>
        <w:t xml:space="preserve">$ </w:t>
      </w:r>
      <w:r w:rsidRPr="0038451C">
        <w:rPr>
          <w:sz w:val="24"/>
          <w:szCs w:val="24"/>
          <w:lang w:val="pt-BR"/>
        </w:rPr>
        <w:t xml:space="preserve">30 (porque esse valor é inferior ao </w:t>
      </w:r>
      <w:r w:rsidRPr="0038451C">
        <w:rPr>
          <w:i/>
          <w:sz w:val="24"/>
          <w:szCs w:val="24"/>
          <w:lang w:val="pt-BR"/>
        </w:rPr>
        <w:t>super</w:t>
      </w:r>
      <w:r w:rsidR="00463392">
        <w:rPr>
          <w:i/>
          <w:sz w:val="24"/>
          <w:szCs w:val="24"/>
          <w:lang w:val="pt-BR"/>
        </w:rPr>
        <w:t>á</w:t>
      </w:r>
      <w:r w:rsidRPr="0038451C">
        <w:rPr>
          <w:i/>
          <w:sz w:val="24"/>
          <w:szCs w:val="24"/>
          <w:lang w:val="pt-BR"/>
        </w:rPr>
        <w:t>vit</w:t>
      </w:r>
      <w:r w:rsidR="00463392">
        <w:rPr>
          <w:i/>
          <w:sz w:val="24"/>
          <w:szCs w:val="24"/>
          <w:lang w:val="pt-BR"/>
        </w:rPr>
        <w:t>,</w:t>
      </w:r>
      <w:r w:rsidRPr="0038451C">
        <w:rPr>
          <w:sz w:val="24"/>
          <w:szCs w:val="24"/>
          <w:lang w:val="pt-BR"/>
        </w:rPr>
        <w:t xml:space="preserve"> conforme o Pronunciamento Técnico CPC 33</w:t>
      </w:r>
      <w:r w:rsidR="00463392">
        <w:rPr>
          <w:sz w:val="24"/>
          <w:szCs w:val="24"/>
          <w:lang w:val="pt-BR"/>
        </w:rPr>
        <w:t>,</w:t>
      </w:r>
      <w:r w:rsidRPr="0038451C">
        <w:rPr>
          <w:sz w:val="24"/>
          <w:szCs w:val="24"/>
          <w:lang w:val="pt-BR"/>
        </w:rPr>
        <w:t xml:space="preserve"> de </w:t>
      </w:r>
      <w:r w:rsidR="004971A4">
        <w:rPr>
          <w:sz w:val="24"/>
          <w:szCs w:val="24"/>
          <w:lang w:val="pt-BR"/>
        </w:rPr>
        <w:t xml:space="preserve">$ </w:t>
      </w:r>
      <w:r w:rsidRPr="0038451C">
        <w:rPr>
          <w:sz w:val="24"/>
          <w:szCs w:val="24"/>
          <w:lang w:val="pt-BR"/>
        </w:rPr>
        <w:t>65).</w:t>
      </w:r>
      <w:r w:rsidR="007137AD" w:rsidRPr="0038451C">
        <w:rPr>
          <w:sz w:val="24"/>
          <w:szCs w:val="24"/>
          <w:lang w:val="pt-BR"/>
        </w:rPr>
        <w:t xml:space="preserve"> </w:t>
      </w:r>
      <w:r w:rsidRPr="0038451C">
        <w:rPr>
          <w:rStyle w:val="tw4winMark"/>
          <w:rFonts w:ascii="Times New Roman" w:hAnsi="Times New Roman"/>
          <w:sz w:val="24"/>
          <w:szCs w:val="24"/>
          <w:lang w:val="pt-BR"/>
        </w:rPr>
        <w:t>&lt;0}</w:t>
      </w:r>
    </w:p>
    <w:bookmarkEnd w:id="19"/>
    <w:p w:rsidR="002F0E65" w:rsidRPr="0038451C" w:rsidRDefault="002F0E65" w:rsidP="0038451C">
      <w:pPr>
        <w:spacing w:before="0" w:after="0"/>
        <w:rPr>
          <w:rFonts w:ascii="Times New Roman" w:hAnsi="Times New Roman"/>
          <w:sz w:val="24"/>
        </w:rPr>
      </w:pPr>
    </w:p>
    <w:p w:rsidR="00DF25E0" w:rsidRPr="0038451C" w:rsidRDefault="00DF25E0" w:rsidP="0038451C">
      <w:pPr>
        <w:pStyle w:val="Textoembloco"/>
        <w:spacing w:before="0" w:after="0" w:line="240" w:lineRule="auto"/>
        <w:ind w:left="0" w:firstLine="0"/>
        <w:jc w:val="both"/>
        <w:rPr>
          <w:rFonts w:ascii="Times New Roman" w:hAnsi="Times New Roman" w:cs="Times New Roman"/>
          <w:b/>
          <w:sz w:val="24"/>
        </w:rPr>
      </w:pPr>
    </w:p>
    <w:p w:rsidR="00A805FB" w:rsidRDefault="00A805FB"/>
    <w:sectPr w:rsidR="00A805FB" w:rsidSect="0038451C">
      <w:headerReference w:type="default" r:id="rId8"/>
      <w:footerReference w:type="even" r:id="rId9"/>
      <w:footerReference w:type="default" r:id="rId10"/>
      <w:headerReference w:type="first" r:id="rId11"/>
      <w:footerReference w:type="first" r:id="rId12"/>
      <w:pgSz w:w="11907" w:h="16840" w:code="9"/>
      <w:pgMar w:top="1134" w:right="1134" w:bottom="1134" w:left="1134" w:header="425" w:footer="77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FC8" w:rsidRDefault="00557FC8">
      <w:pPr>
        <w:spacing w:before="0" w:after="0"/>
      </w:pPr>
      <w:r>
        <w:separator/>
      </w:r>
    </w:p>
  </w:endnote>
  <w:endnote w:type="continuationSeparator" w:id="0">
    <w:p w:rsidR="00557FC8" w:rsidRDefault="00557FC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8" w:rsidRDefault="00557FC8" w:rsidP="006D2CA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57FC8" w:rsidRDefault="00557FC8" w:rsidP="006D2CA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8" w:rsidRDefault="00557FC8" w:rsidP="006D2CA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50CA">
      <w:rPr>
        <w:rStyle w:val="Nmerodepgina"/>
        <w:noProof/>
      </w:rPr>
      <w:t>6</w:t>
    </w:r>
    <w:r>
      <w:rPr>
        <w:rStyle w:val="Nmerodepgina"/>
      </w:rPr>
      <w:fldChar w:fldCharType="end"/>
    </w:r>
  </w:p>
  <w:p w:rsidR="00557FC8" w:rsidRDefault="00557FC8" w:rsidP="006D2CA5">
    <w:pPr>
      <w:pStyle w:val="Rodap"/>
      <w:spacing w:before="0" w:after="0"/>
      <w:jc w:val="right"/>
      <w:rPr>
        <w:i/>
        <w:sz w:val="16"/>
        <w:szCs w:val="16"/>
      </w:rPr>
    </w:pPr>
    <w:r>
      <w:rPr>
        <w:i/>
        <w:sz w:val="16"/>
        <w:szCs w:val="16"/>
      </w:rPr>
      <w:t>CPC_33</w:t>
    </w:r>
  </w:p>
  <w:p w:rsidR="00557FC8" w:rsidRDefault="00557FC8" w:rsidP="006D2CA5">
    <w:pPr>
      <w:pStyle w:val="Rodap"/>
      <w:spacing w:before="0" w:after="0"/>
      <w:jc w:val="right"/>
      <w:rPr>
        <w:i/>
        <w:sz w:val="16"/>
        <w:szCs w:val="16"/>
      </w:rPr>
    </w:pPr>
    <w:r>
      <w:rPr>
        <w:i/>
        <w:sz w:val="16"/>
        <w:szCs w:val="16"/>
      </w:rPr>
      <w:t>040809</w:t>
    </w:r>
  </w:p>
  <w:p w:rsidR="00557FC8" w:rsidRPr="00792D60" w:rsidRDefault="00557FC8" w:rsidP="006D2CA5">
    <w:pPr>
      <w:pStyle w:val="Rodap"/>
      <w:spacing w:before="0" w:after="0"/>
      <w:jc w:val="right"/>
      <w:rPr>
        <w: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8" w:rsidRDefault="00557FC8" w:rsidP="006D2CA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50CA">
      <w:rPr>
        <w:rStyle w:val="Nmerodepgina"/>
        <w:noProof/>
      </w:rPr>
      <w:t>1</w:t>
    </w:r>
    <w:r>
      <w:rPr>
        <w:rStyle w:val="Nmerodepgina"/>
      </w:rPr>
      <w:fldChar w:fldCharType="end"/>
    </w:r>
  </w:p>
  <w:p w:rsidR="00557FC8" w:rsidRDefault="00557FC8">
    <w:pPr>
      <w:pStyle w:val="Rodap"/>
      <w:spacing w:before="0" w:after="0"/>
      <w:jc w:val="right"/>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FC8" w:rsidRDefault="00557FC8">
      <w:pPr>
        <w:spacing w:before="0" w:after="0"/>
      </w:pPr>
      <w:r>
        <w:separator/>
      </w:r>
    </w:p>
  </w:footnote>
  <w:footnote w:type="continuationSeparator" w:id="0">
    <w:p w:rsidR="00557FC8" w:rsidRDefault="00557FC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8" w:rsidRDefault="00557FC8" w:rsidP="006D2CA5">
    <w:pPr>
      <w:pStyle w:val="Cabealho"/>
      <w:jc w:val="center"/>
    </w:pPr>
    <w:r>
      <w:rPr>
        <w:noProof/>
        <w:lang w:val="pt-BR"/>
      </w:rPr>
      <w:drawing>
        <wp:inline distT="0" distB="0" distL="0" distR="0">
          <wp:extent cx="1019175" cy="647700"/>
          <wp:effectExtent l="0" t="0" r="9525" b="0"/>
          <wp:docPr id="2" name="Picture 2" descr="logo_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p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64770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C8" w:rsidRDefault="00557FC8" w:rsidP="006D2CA5">
    <w:pPr>
      <w:pStyle w:val="Cabealho"/>
      <w:jc w:val="center"/>
    </w:pPr>
    <w:r>
      <w:rPr>
        <w:noProof/>
        <w:lang w:val="pt-BR"/>
      </w:rPr>
      <w:drawing>
        <wp:inline distT="0" distB="0" distL="0" distR="0">
          <wp:extent cx="1019175" cy="647700"/>
          <wp:effectExtent l="0" t="0" r="9525" b="0"/>
          <wp:docPr id="1" name="Picture 1" descr="logo_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p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07A"/>
    <w:multiLevelType w:val="hybridMultilevel"/>
    <w:tmpl w:val="709CA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7496C69"/>
    <w:multiLevelType w:val="hybridMultilevel"/>
    <w:tmpl w:val="7F2E90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7329FC"/>
    <w:multiLevelType w:val="hybridMultilevel"/>
    <w:tmpl w:val="3E64D48E"/>
    <w:lvl w:ilvl="0" w:tplc="C954155A">
      <w:start w:val="1"/>
      <w:numFmt w:val="lowerLetter"/>
      <w:lvlText w:val="(%1)"/>
      <w:lvlJc w:val="left"/>
      <w:pPr>
        <w:tabs>
          <w:tab w:val="num" w:pos="1134"/>
        </w:tabs>
        <w:ind w:left="1134" w:hanging="425"/>
      </w:pPr>
      <w:rPr>
        <w:rFonts w:ascii="Times New Roman" w:hAnsi="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15B46DA"/>
    <w:multiLevelType w:val="hybridMultilevel"/>
    <w:tmpl w:val="592452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634ED3"/>
    <w:multiLevelType w:val="hybridMultilevel"/>
    <w:tmpl w:val="F98C0BB8"/>
    <w:lvl w:ilvl="0" w:tplc="D6B0CF4A">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53F6A4E"/>
    <w:multiLevelType w:val="hybridMultilevel"/>
    <w:tmpl w:val="008C733A"/>
    <w:lvl w:ilvl="0" w:tplc="AC2A3538">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674B7338"/>
    <w:multiLevelType w:val="hybridMultilevel"/>
    <w:tmpl w:val="ED2C31B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682C34B6"/>
    <w:multiLevelType w:val="hybridMultilevel"/>
    <w:tmpl w:val="D1D45A40"/>
    <w:lvl w:ilvl="0" w:tplc="AC2A3538">
      <w:start w:val="4"/>
      <w:numFmt w:val="decimal"/>
      <w:lvlText w:val="%1"/>
      <w:lvlJc w:val="left"/>
      <w:pPr>
        <w:ind w:left="720" w:hanging="360"/>
      </w:pPr>
      <w:rPr>
        <w:rFonts w:hint="default"/>
      </w:rPr>
    </w:lvl>
    <w:lvl w:ilvl="1" w:tplc="AB740830">
      <w:start w:val="1"/>
      <w:numFmt w:val="lowerLetter"/>
      <w:lvlText w:val="(%2)"/>
      <w:lvlJc w:val="left"/>
      <w:pPr>
        <w:ind w:left="1440" w:hanging="360"/>
      </w:pPr>
      <w:rPr>
        <w:rFonts w:ascii="Times New Roman" w:eastAsia="Times New Roman"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C595389"/>
    <w:multiLevelType w:val="hybridMultilevel"/>
    <w:tmpl w:val="D71843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DE0962"/>
    <w:multiLevelType w:val="hybridMultilevel"/>
    <w:tmpl w:val="DA16411A"/>
    <w:lvl w:ilvl="0" w:tplc="96CEFB22">
      <w:start w:val="1"/>
      <w:numFmt w:val="lowerLetter"/>
      <w:lvlText w:val="(%1)"/>
      <w:lvlJc w:val="left"/>
      <w:pPr>
        <w:tabs>
          <w:tab w:val="num" w:pos="1134"/>
        </w:tabs>
        <w:ind w:left="1134" w:hanging="425"/>
      </w:pPr>
      <w:rPr>
        <w:rFonts w:ascii="Times New Roman" w:hAnsi="Times New Roman" w:hint="default"/>
        <w:b w:val="0"/>
        <w:i w:val="0"/>
        <w:sz w:val="20"/>
      </w:rPr>
    </w:lvl>
    <w:lvl w:ilvl="1" w:tplc="E23EE266">
      <w:start w:val="1"/>
      <w:numFmt w:val="lowerLetter"/>
      <w:lvlText w:val="(%2)"/>
      <w:lvlJc w:val="left"/>
      <w:pPr>
        <w:tabs>
          <w:tab w:val="num" w:pos="1134"/>
        </w:tabs>
        <w:ind w:left="1134" w:hanging="425"/>
      </w:pPr>
      <w:rPr>
        <w:rFonts w:ascii="Times New Roman" w:hAnsi="Times New Roman" w:hint="default"/>
        <w:b w:val="0"/>
        <w:i w:val="0"/>
        <w:sz w:val="24"/>
        <w:szCs w:val="24"/>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6946827"/>
    <w:multiLevelType w:val="hybridMultilevel"/>
    <w:tmpl w:val="1F9CEE6E"/>
    <w:lvl w:ilvl="0" w:tplc="701E8F2C">
      <w:start w:val="1"/>
      <w:numFmt w:val="decimal"/>
      <w:lvlText w:val="%1"/>
      <w:lvlJc w:val="left"/>
      <w:pPr>
        <w:tabs>
          <w:tab w:val="num" w:pos="709"/>
        </w:tabs>
        <w:ind w:left="709" w:hanging="709"/>
      </w:pPr>
      <w:rPr>
        <w:rFonts w:hint="default"/>
      </w:rPr>
    </w:lvl>
    <w:lvl w:ilvl="1" w:tplc="73F28414">
      <w:start w:val="1"/>
      <w:numFmt w:val="lowerLetter"/>
      <w:lvlText w:val="(%2)"/>
      <w:lvlJc w:val="left"/>
      <w:pPr>
        <w:tabs>
          <w:tab w:val="num" w:pos="1134"/>
        </w:tabs>
        <w:ind w:left="1134" w:hanging="425"/>
      </w:pPr>
      <w:rPr>
        <w:rFonts w:ascii="Times New Roman" w:hAnsi="Times New Roman" w:hint="default"/>
        <w:b w:val="0"/>
        <w:i w:val="0"/>
        <w:sz w:val="24"/>
        <w:szCs w:val="24"/>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2"/>
  </w:num>
  <w:num w:numId="4">
    <w:abstractNumId w:val="3"/>
  </w:num>
  <w:num w:numId="5">
    <w:abstractNumId w:val="1"/>
  </w:num>
  <w:num w:numId="6">
    <w:abstractNumId w:val="8"/>
  </w:num>
  <w:num w:numId="7">
    <w:abstractNumId w:val="7"/>
  </w:num>
  <w:num w:numId="8">
    <w:abstractNumId w:val="5"/>
  </w:num>
  <w:num w:numId="9">
    <w:abstractNumId w:val="0"/>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DF25E0"/>
    <w:rsid w:val="00012390"/>
    <w:rsid w:val="00025E2B"/>
    <w:rsid w:val="00055432"/>
    <w:rsid w:val="00064DB2"/>
    <w:rsid w:val="000B1EDD"/>
    <w:rsid w:val="000C15CE"/>
    <w:rsid w:val="000C52C4"/>
    <w:rsid w:val="001A5A36"/>
    <w:rsid w:val="001B5DA4"/>
    <w:rsid w:val="001C400C"/>
    <w:rsid w:val="001D2FF1"/>
    <w:rsid w:val="001F7B44"/>
    <w:rsid w:val="002106CA"/>
    <w:rsid w:val="00217EAB"/>
    <w:rsid w:val="00256E72"/>
    <w:rsid w:val="00294811"/>
    <w:rsid w:val="002C37D0"/>
    <w:rsid w:val="002D49B6"/>
    <w:rsid w:val="002E0FF4"/>
    <w:rsid w:val="002E1354"/>
    <w:rsid w:val="002F0E65"/>
    <w:rsid w:val="00340B87"/>
    <w:rsid w:val="0038451C"/>
    <w:rsid w:val="00385245"/>
    <w:rsid w:val="003A6171"/>
    <w:rsid w:val="003B7A87"/>
    <w:rsid w:val="00406C40"/>
    <w:rsid w:val="004143D6"/>
    <w:rsid w:val="00451846"/>
    <w:rsid w:val="0045705D"/>
    <w:rsid w:val="00463392"/>
    <w:rsid w:val="004842A8"/>
    <w:rsid w:val="004971A4"/>
    <w:rsid w:val="00497DB2"/>
    <w:rsid w:val="004B190C"/>
    <w:rsid w:val="004D3BA0"/>
    <w:rsid w:val="004E2521"/>
    <w:rsid w:val="00506D97"/>
    <w:rsid w:val="0050716C"/>
    <w:rsid w:val="00522639"/>
    <w:rsid w:val="005370F7"/>
    <w:rsid w:val="00544138"/>
    <w:rsid w:val="00546D15"/>
    <w:rsid w:val="00555DDE"/>
    <w:rsid w:val="00557FC8"/>
    <w:rsid w:val="005641B1"/>
    <w:rsid w:val="00591126"/>
    <w:rsid w:val="00592CE6"/>
    <w:rsid w:val="005A608E"/>
    <w:rsid w:val="005B47C2"/>
    <w:rsid w:val="005B6A13"/>
    <w:rsid w:val="00610E6A"/>
    <w:rsid w:val="00624525"/>
    <w:rsid w:val="0062475B"/>
    <w:rsid w:val="00650385"/>
    <w:rsid w:val="0069455A"/>
    <w:rsid w:val="006D2CA5"/>
    <w:rsid w:val="006E6488"/>
    <w:rsid w:val="007137AD"/>
    <w:rsid w:val="007154C2"/>
    <w:rsid w:val="00733572"/>
    <w:rsid w:val="00744D7E"/>
    <w:rsid w:val="007765D3"/>
    <w:rsid w:val="00791F2B"/>
    <w:rsid w:val="007A3EBA"/>
    <w:rsid w:val="007C1156"/>
    <w:rsid w:val="007D075D"/>
    <w:rsid w:val="007F0A4E"/>
    <w:rsid w:val="007F3F6A"/>
    <w:rsid w:val="00806EFA"/>
    <w:rsid w:val="00823CCB"/>
    <w:rsid w:val="008424AC"/>
    <w:rsid w:val="008663A5"/>
    <w:rsid w:val="008D3CFB"/>
    <w:rsid w:val="009266C1"/>
    <w:rsid w:val="009269C3"/>
    <w:rsid w:val="0097707B"/>
    <w:rsid w:val="009A1E07"/>
    <w:rsid w:val="009A641C"/>
    <w:rsid w:val="009D50CA"/>
    <w:rsid w:val="009F5C5A"/>
    <w:rsid w:val="00A167E4"/>
    <w:rsid w:val="00A805FB"/>
    <w:rsid w:val="00B42D09"/>
    <w:rsid w:val="00B640DB"/>
    <w:rsid w:val="00BB1E42"/>
    <w:rsid w:val="00BF0B3E"/>
    <w:rsid w:val="00C01BA9"/>
    <w:rsid w:val="00C06D16"/>
    <w:rsid w:val="00C1087A"/>
    <w:rsid w:val="00C3044B"/>
    <w:rsid w:val="00C80B22"/>
    <w:rsid w:val="00CC5D10"/>
    <w:rsid w:val="00CF36AB"/>
    <w:rsid w:val="00CF568D"/>
    <w:rsid w:val="00D073EB"/>
    <w:rsid w:val="00D41283"/>
    <w:rsid w:val="00D42FCB"/>
    <w:rsid w:val="00D47F27"/>
    <w:rsid w:val="00D53711"/>
    <w:rsid w:val="00DE3260"/>
    <w:rsid w:val="00DF25E0"/>
    <w:rsid w:val="00E61348"/>
    <w:rsid w:val="00E7274C"/>
    <w:rsid w:val="00E7725E"/>
    <w:rsid w:val="00EA76D5"/>
    <w:rsid w:val="00EB06FF"/>
    <w:rsid w:val="00EB2940"/>
    <w:rsid w:val="00EB46CB"/>
    <w:rsid w:val="00EC5A88"/>
    <w:rsid w:val="00ED63E0"/>
    <w:rsid w:val="00F22533"/>
    <w:rsid w:val="00F30F52"/>
    <w:rsid w:val="00F3449D"/>
    <w:rsid w:val="00F96EB6"/>
    <w:rsid w:val="00FB76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E0"/>
    <w:pPr>
      <w:spacing w:before="120" w:after="120"/>
      <w:jc w:val="both"/>
    </w:pPr>
    <w:rPr>
      <w:rFonts w:ascii="Arial" w:hAnsi="Arial"/>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rsid w:val="00DF25E0"/>
    <w:pPr>
      <w:widowControl w:val="0"/>
      <w:tabs>
        <w:tab w:val="left" w:pos="6804"/>
      </w:tabs>
      <w:spacing w:before="2" w:after="2" w:line="250" w:lineRule="auto"/>
      <w:ind w:left="336" w:right="57" w:hanging="279"/>
      <w:jc w:val="left"/>
    </w:pPr>
    <w:rPr>
      <w:rFonts w:cs="Arial"/>
    </w:rPr>
  </w:style>
  <w:style w:type="paragraph" w:styleId="Cabealho">
    <w:name w:val="header"/>
    <w:basedOn w:val="Normal"/>
    <w:link w:val="CabealhoChar"/>
    <w:rsid w:val="00DF25E0"/>
    <w:pPr>
      <w:tabs>
        <w:tab w:val="center" w:pos="4320"/>
        <w:tab w:val="right" w:pos="8640"/>
      </w:tabs>
    </w:pPr>
  </w:style>
  <w:style w:type="character" w:customStyle="1" w:styleId="CabealhoChar">
    <w:name w:val="Cabeçalho Char"/>
    <w:basedOn w:val="Fontepargpadro"/>
    <w:link w:val="Cabealho"/>
    <w:rsid w:val="00DF25E0"/>
    <w:rPr>
      <w:rFonts w:ascii="Arial" w:hAnsi="Arial"/>
      <w:szCs w:val="24"/>
      <w:lang w:val="pt-PT"/>
    </w:rPr>
  </w:style>
  <w:style w:type="paragraph" w:styleId="Rodap">
    <w:name w:val="footer"/>
    <w:basedOn w:val="Normal"/>
    <w:link w:val="RodapChar"/>
    <w:rsid w:val="00DF25E0"/>
    <w:pPr>
      <w:tabs>
        <w:tab w:val="center" w:pos="4320"/>
        <w:tab w:val="right" w:pos="8640"/>
      </w:tabs>
    </w:pPr>
  </w:style>
  <w:style w:type="character" w:customStyle="1" w:styleId="RodapChar">
    <w:name w:val="Rodapé Char"/>
    <w:basedOn w:val="Fontepargpadro"/>
    <w:link w:val="Rodap"/>
    <w:rsid w:val="00DF25E0"/>
    <w:rPr>
      <w:rFonts w:ascii="Arial" w:hAnsi="Arial"/>
      <w:szCs w:val="24"/>
      <w:lang w:val="pt-PT"/>
    </w:rPr>
  </w:style>
  <w:style w:type="character" w:styleId="Refdenotaderodap">
    <w:name w:val="footnote reference"/>
    <w:basedOn w:val="Fontepargpadro"/>
    <w:rsid w:val="00DF25E0"/>
    <w:rPr>
      <w:rFonts w:ascii="Times New Roman" w:hAnsi="Times New Roman" w:cs="Times New Roman" w:hint="default"/>
      <w:b/>
      <w:bCs/>
      <w:strike w:val="0"/>
      <w:dstrike w:val="0"/>
      <w:color w:val="000000"/>
      <w:u w:val="none"/>
      <w:effect w:val="none"/>
      <w:vertAlign w:val="superscript"/>
    </w:rPr>
  </w:style>
  <w:style w:type="character" w:styleId="Nmerodepgina">
    <w:name w:val="page number"/>
    <w:basedOn w:val="Fontepargpadro"/>
    <w:rsid w:val="00DF25E0"/>
  </w:style>
  <w:style w:type="paragraph" w:styleId="Ttulo">
    <w:name w:val="Title"/>
    <w:basedOn w:val="Normal"/>
    <w:link w:val="TtuloChar"/>
    <w:qFormat/>
    <w:rsid w:val="00DF25E0"/>
    <w:pPr>
      <w:spacing w:before="320" w:after="0" w:line="360" w:lineRule="auto"/>
      <w:outlineLvl w:val="0"/>
    </w:pPr>
    <w:rPr>
      <w:rFonts w:cs="Arial"/>
      <w:b/>
      <w:bCs/>
      <w:spacing w:val="20"/>
      <w:sz w:val="26"/>
      <w:szCs w:val="32"/>
      <w:lang w:val="pt-BR"/>
    </w:rPr>
  </w:style>
  <w:style w:type="character" w:customStyle="1" w:styleId="TtuloChar">
    <w:name w:val="Título Char"/>
    <w:basedOn w:val="Fontepargpadro"/>
    <w:link w:val="Ttulo"/>
    <w:rsid w:val="00DF25E0"/>
    <w:rPr>
      <w:rFonts w:ascii="Arial" w:hAnsi="Arial" w:cs="Arial"/>
      <w:b/>
      <w:bCs/>
      <w:spacing w:val="20"/>
      <w:sz w:val="26"/>
      <w:szCs w:val="32"/>
    </w:rPr>
  </w:style>
  <w:style w:type="paragraph" w:customStyle="1" w:styleId="Estilo2">
    <w:name w:val="Estilo2"/>
    <w:basedOn w:val="Normal"/>
    <w:rsid w:val="00DF25E0"/>
    <w:pPr>
      <w:spacing w:before="320" w:after="0" w:line="360" w:lineRule="auto"/>
      <w:ind w:left="567"/>
      <w:jc w:val="left"/>
    </w:pPr>
    <w:rPr>
      <w:rFonts w:cs="Arial"/>
      <w:b/>
      <w:sz w:val="22"/>
      <w:lang w:val="pt-BR"/>
    </w:rPr>
  </w:style>
  <w:style w:type="paragraph" w:customStyle="1" w:styleId="Estilo5">
    <w:name w:val="Estilo5"/>
    <w:basedOn w:val="Normal"/>
    <w:rsid w:val="00DF25E0"/>
    <w:pPr>
      <w:jc w:val="left"/>
    </w:pPr>
    <w:rPr>
      <w:rFonts w:cs="Arial"/>
      <w:b/>
      <w:bCs/>
      <w:sz w:val="26"/>
      <w:lang w:val="pt-BR"/>
    </w:rPr>
  </w:style>
  <w:style w:type="paragraph" w:customStyle="1" w:styleId="itlicosfrases">
    <w:name w:val="itálicos frases"/>
    <w:next w:val="Normal"/>
    <w:rsid w:val="00DF25E0"/>
    <w:pPr>
      <w:spacing w:before="320" w:line="280" w:lineRule="exact"/>
      <w:jc w:val="both"/>
    </w:pPr>
    <w:rPr>
      <w:rFonts w:cs="Arial"/>
      <w:i/>
    </w:rPr>
  </w:style>
  <w:style w:type="paragraph" w:customStyle="1" w:styleId="Estilo4">
    <w:name w:val="Estilo4"/>
    <w:basedOn w:val="Normal"/>
    <w:rsid w:val="00DF25E0"/>
    <w:pPr>
      <w:spacing w:before="240"/>
      <w:ind w:left="709"/>
      <w:jc w:val="left"/>
    </w:pPr>
    <w:rPr>
      <w:i/>
      <w:sz w:val="19"/>
      <w:szCs w:val="20"/>
      <w:lang w:val="pt-BR"/>
    </w:rPr>
  </w:style>
  <w:style w:type="paragraph" w:styleId="Textodebalo">
    <w:name w:val="Balloon Text"/>
    <w:basedOn w:val="Normal"/>
    <w:link w:val="TextodebaloChar"/>
    <w:uiPriority w:val="99"/>
    <w:semiHidden/>
    <w:unhideWhenUsed/>
    <w:rsid w:val="00DF25E0"/>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DF25E0"/>
    <w:rPr>
      <w:rFonts w:ascii="Tahoma" w:hAnsi="Tahoma" w:cs="Tahoma"/>
      <w:sz w:val="16"/>
      <w:szCs w:val="16"/>
      <w:lang w:val="pt-PT"/>
    </w:rPr>
  </w:style>
  <w:style w:type="paragraph" w:customStyle="1" w:styleId="IASBNormalnpara">
    <w:name w:val="IASB Normal npara"/>
    <w:basedOn w:val="Normal"/>
    <w:rsid w:val="00650385"/>
    <w:pPr>
      <w:spacing w:before="100" w:after="0"/>
      <w:ind w:left="782" w:hanging="782"/>
    </w:pPr>
    <w:rPr>
      <w:rFonts w:ascii="Times New Roman" w:hAnsi="Times New Roman"/>
      <w:sz w:val="19"/>
      <w:szCs w:val="20"/>
      <w:lang w:val="en-US" w:eastAsia="en-US"/>
    </w:rPr>
  </w:style>
  <w:style w:type="paragraph" w:customStyle="1" w:styleId="IASBTableArial">
    <w:name w:val="IASB Table Arial"/>
    <w:basedOn w:val="Normal"/>
    <w:rsid w:val="00650385"/>
    <w:pPr>
      <w:spacing w:after="0"/>
      <w:jc w:val="left"/>
    </w:pPr>
    <w:rPr>
      <w:sz w:val="18"/>
      <w:szCs w:val="20"/>
      <w:lang w:val="en-GB" w:eastAsia="en-GB"/>
    </w:rPr>
  </w:style>
  <w:style w:type="paragraph" w:customStyle="1" w:styleId="IASBTableBoldArial">
    <w:name w:val="IASB Table Bold Arial"/>
    <w:basedOn w:val="IASBTableArial"/>
    <w:qFormat/>
    <w:rsid w:val="00650385"/>
    <w:rPr>
      <w:b/>
    </w:rPr>
  </w:style>
  <w:style w:type="character" w:customStyle="1" w:styleId="tw4winMark">
    <w:name w:val="tw4winMark"/>
    <w:rsid w:val="00650385"/>
    <w:rPr>
      <w:rFonts w:ascii="Courier New" w:hAnsi="Courier New"/>
      <w:vanish/>
      <w:color w:val="800080"/>
      <w:vertAlign w:val="subscript"/>
    </w:rPr>
  </w:style>
  <w:style w:type="paragraph" w:customStyle="1" w:styleId="IASBSectionTitle1NonInd">
    <w:name w:val="IASB Section Title 1 NonInd"/>
    <w:basedOn w:val="Normal"/>
    <w:rsid w:val="00650385"/>
    <w:pPr>
      <w:keepNext/>
      <w:keepLines/>
      <w:pBdr>
        <w:bottom w:val="single" w:sz="4" w:space="0" w:color="auto"/>
      </w:pBdr>
      <w:spacing w:before="400" w:after="200"/>
      <w:jc w:val="left"/>
    </w:pPr>
    <w:rPr>
      <w:rFonts w:cs="Arial"/>
      <w:b/>
      <w:sz w:val="26"/>
      <w:szCs w:val="20"/>
      <w:lang w:val="en-US" w:eastAsia="en-US"/>
    </w:rPr>
  </w:style>
  <w:style w:type="paragraph" w:customStyle="1" w:styleId="IASBNormalL1">
    <w:name w:val="IASB Normal L1"/>
    <w:basedOn w:val="IASBNormalnpara"/>
    <w:rsid w:val="00650385"/>
  </w:style>
  <w:style w:type="paragraph" w:styleId="PargrafodaLista">
    <w:name w:val="List Paragraph"/>
    <w:basedOn w:val="Normal"/>
    <w:uiPriority w:val="34"/>
    <w:qFormat/>
    <w:rsid w:val="009269C3"/>
    <w:pPr>
      <w:ind w:left="720"/>
      <w:contextualSpacing/>
    </w:pPr>
  </w:style>
  <w:style w:type="paragraph" w:customStyle="1" w:styleId="IASBNormalnparaL1">
    <w:name w:val="IASB Normal nparaL1"/>
    <w:basedOn w:val="IASBNormalnpara"/>
    <w:rsid w:val="00C06D16"/>
    <w:pPr>
      <w:ind w:left="1564"/>
    </w:pPr>
  </w:style>
  <w:style w:type="paragraph" w:customStyle="1" w:styleId="IASBNormalnparaP">
    <w:name w:val="IASB Normal nparaP"/>
    <w:basedOn w:val="Normal"/>
    <w:rsid w:val="00217EAB"/>
    <w:pPr>
      <w:tabs>
        <w:tab w:val="left" w:pos="4253"/>
      </w:tabs>
      <w:spacing w:before="100" w:after="100"/>
      <w:ind w:left="782"/>
    </w:pPr>
    <w:rPr>
      <w:rFonts w:ascii="Times New Roman" w:hAnsi="Times New Roman"/>
      <w:sz w:val="19"/>
      <w:szCs w:val="20"/>
      <w:lang w:val="en-US" w:eastAsia="en-US"/>
    </w:rPr>
  </w:style>
  <w:style w:type="paragraph" w:customStyle="1" w:styleId="IASBSectionTitle2Ind">
    <w:name w:val="IASB Section Title 2 Ind"/>
    <w:basedOn w:val="Normal"/>
    <w:rsid w:val="002F0E65"/>
    <w:pPr>
      <w:keepNext/>
      <w:keepLines/>
      <w:spacing w:before="240" w:after="200"/>
      <w:ind w:left="782"/>
      <w:jc w:val="left"/>
    </w:pPr>
    <w:rPr>
      <w:rFonts w:cs="Arial"/>
      <w:b/>
      <w:sz w:val="26"/>
      <w:szCs w:val="20"/>
      <w:lang w:val="en-US" w:eastAsia="en-US"/>
    </w:rPr>
  </w:style>
  <w:style w:type="paragraph" w:customStyle="1" w:styleId="IASBTableHeaderArial">
    <w:name w:val="IASB Table Header Arial"/>
    <w:basedOn w:val="IASBTableArial"/>
    <w:qFormat/>
    <w:rsid w:val="002F0E65"/>
    <w:pPr>
      <w:keepNext/>
      <w:spacing w:after="200" w:line="276" w:lineRule="auto"/>
    </w:pPr>
  </w:style>
  <w:style w:type="paragraph" w:customStyle="1" w:styleId="Style6">
    <w:name w:val="Style6"/>
    <w:basedOn w:val="Normal"/>
    <w:rsid w:val="00064DB2"/>
    <w:pPr>
      <w:widowControl w:val="0"/>
      <w:autoSpaceDE w:val="0"/>
      <w:autoSpaceDN w:val="0"/>
      <w:adjustRightInd w:val="0"/>
      <w:spacing w:before="0" w:after="0"/>
      <w:jc w:val="left"/>
    </w:pPr>
    <w:rPr>
      <w:rFonts w:ascii="Book Antiqua" w:eastAsia="Batang" w:hAnsi="Book Antiqua"/>
      <w:sz w:val="24"/>
      <w:lang w:val="pt-BR" w:eastAsia="ko-KR"/>
    </w:rPr>
  </w:style>
  <w:style w:type="character" w:customStyle="1" w:styleId="FontStyle33">
    <w:name w:val="Font Style33"/>
    <w:rsid w:val="00064DB2"/>
    <w:rPr>
      <w:rFonts w:ascii="Arial Unicode MS" w:eastAsia="Arial Unicode MS" w:cs="Arial Unicode MS"/>
      <w:b/>
      <w:bCs/>
      <w:sz w:val="16"/>
      <w:szCs w:val="16"/>
    </w:rPr>
  </w:style>
  <w:style w:type="character" w:styleId="Refdecomentrio">
    <w:name w:val="annotation reference"/>
    <w:basedOn w:val="Fontepargpadro"/>
    <w:uiPriority w:val="99"/>
    <w:semiHidden/>
    <w:unhideWhenUsed/>
    <w:rsid w:val="00064DB2"/>
    <w:rPr>
      <w:sz w:val="16"/>
      <w:szCs w:val="16"/>
    </w:rPr>
  </w:style>
  <w:style w:type="paragraph" w:styleId="Textodecomentrio">
    <w:name w:val="annotation text"/>
    <w:basedOn w:val="Normal"/>
    <w:link w:val="TextodecomentrioChar"/>
    <w:uiPriority w:val="99"/>
    <w:semiHidden/>
    <w:unhideWhenUsed/>
    <w:rsid w:val="00064DB2"/>
    <w:pPr>
      <w:spacing w:before="0" w:after="0"/>
      <w:jc w:val="left"/>
    </w:pPr>
    <w:rPr>
      <w:rFonts w:ascii="Times New Roman" w:hAnsi="Times New Roman"/>
      <w:szCs w:val="20"/>
      <w:lang w:val="en-GB" w:eastAsia="en-US"/>
    </w:rPr>
  </w:style>
  <w:style w:type="character" w:customStyle="1" w:styleId="TextodecomentrioChar">
    <w:name w:val="Texto de comentário Char"/>
    <w:basedOn w:val="Fontepargpadro"/>
    <w:link w:val="Textodecomentrio"/>
    <w:uiPriority w:val="99"/>
    <w:semiHidden/>
    <w:rsid w:val="00064DB2"/>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E0"/>
    <w:pPr>
      <w:spacing w:before="120" w:after="120"/>
      <w:jc w:val="both"/>
    </w:pPr>
    <w:rPr>
      <w:rFonts w:ascii="Arial" w:hAnsi="Arial"/>
      <w:szCs w:val="24"/>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F25E0"/>
    <w:pPr>
      <w:widowControl w:val="0"/>
      <w:tabs>
        <w:tab w:val="left" w:pos="6804"/>
      </w:tabs>
      <w:spacing w:before="2" w:after="2" w:line="250" w:lineRule="auto"/>
      <w:ind w:left="336" w:right="57" w:hanging="279"/>
      <w:jc w:val="left"/>
    </w:pPr>
    <w:rPr>
      <w:rFonts w:cs="Arial"/>
    </w:rPr>
  </w:style>
  <w:style w:type="paragraph" w:styleId="Header">
    <w:name w:val="header"/>
    <w:basedOn w:val="Normal"/>
    <w:link w:val="HeaderChar"/>
    <w:rsid w:val="00DF25E0"/>
    <w:pPr>
      <w:tabs>
        <w:tab w:val="center" w:pos="4320"/>
        <w:tab w:val="right" w:pos="8640"/>
      </w:tabs>
    </w:pPr>
  </w:style>
  <w:style w:type="character" w:customStyle="1" w:styleId="HeaderChar">
    <w:name w:val="Header Char"/>
    <w:basedOn w:val="DefaultParagraphFont"/>
    <w:link w:val="Header"/>
    <w:rsid w:val="00DF25E0"/>
    <w:rPr>
      <w:rFonts w:ascii="Arial" w:hAnsi="Arial"/>
      <w:szCs w:val="24"/>
      <w:lang w:val="pt-PT"/>
    </w:rPr>
  </w:style>
  <w:style w:type="paragraph" w:styleId="Footer">
    <w:name w:val="footer"/>
    <w:basedOn w:val="Normal"/>
    <w:link w:val="FooterChar"/>
    <w:rsid w:val="00DF25E0"/>
    <w:pPr>
      <w:tabs>
        <w:tab w:val="center" w:pos="4320"/>
        <w:tab w:val="right" w:pos="8640"/>
      </w:tabs>
    </w:pPr>
  </w:style>
  <w:style w:type="character" w:customStyle="1" w:styleId="FooterChar">
    <w:name w:val="Footer Char"/>
    <w:basedOn w:val="DefaultParagraphFont"/>
    <w:link w:val="Footer"/>
    <w:rsid w:val="00DF25E0"/>
    <w:rPr>
      <w:rFonts w:ascii="Arial" w:hAnsi="Arial"/>
      <w:szCs w:val="24"/>
      <w:lang w:val="pt-PT"/>
    </w:rPr>
  </w:style>
  <w:style w:type="character" w:styleId="FootnoteReference">
    <w:name w:val="footnote reference"/>
    <w:basedOn w:val="DefaultParagraphFont"/>
    <w:rsid w:val="00DF25E0"/>
    <w:rPr>
      <w:rFonts w:ascii="Times New Roman" w:hAnsi="Times New Roman" w:cs="Times New Roman" w:hint="default"/>
      <w:b/>
      <w:bCs/>
      <w:strike w:val="0"/>
      <w:dstrike w:val="0"/>
      <w:color w:val="000000"/>
      <w:u w:val="none"/>
      <w:effect w:val="none"/>
      <w:vertAlign w:val="superscript"/>
    </w:rPr>
  </w:style>
  <w:style w:type="character" w:styleId="PageNumber">
    <w:name w:val="page number"/>
    <w:basedOn w:val="DefaultParagraphFont"/>
    <w:rsid w:val="00DF25E0"/>
  </w:style>
  <w:style w:type="paragraph" w:styleId="Title">
    <w:name w:val="Title"/>
    <w:basedOn w:val="Normal"/>
    <w:link w:val="TitleChar"/>
    <w:qFormat/>
    <w:rsid w:val="00DF25E0"/>
    <w:pPr>
      <w:spacing w:before="320" w:after="0" w:line="360" w:lineRule="auto"/>
      <w:outlineLvl w:val="0"/>
    </w:pPr>
    <w:rPr>
      <w:rFonts w:cs="Arial"/>
      <w:b/>
      <w:bCs/>
      <w:spacing w:val="20"/>
      <w:sz w:val="26"/>
      <w:szCs w:val="32"/>
      <w:lang w:val="pt-BR"/>
    </w:rPr>
  </w:style>
  <w:style w:type="character" w:customStyle="1" w:styleId="TitleChar">
    <w:name w:val="Title Char"/>
    <w:basedOn w:val="DefaultParagraphFont"/>
    <w:link w:val="Title"/>
    <w:rsid w:val="00DF25E0"/>
    <w:rPr>
      <w:rFonts w:ascii="Arial" w:hAnsi="Arial" w:cs="Arial"/>
      <w:b/>
      <w:bCs/>
      <w:spacing w:val="20"/>
      <w:sz w:val="26"/>
      <w:szCs w:val="32"/>
    </w:rPr>
  </w:style>
  <w:style w:type="paragraph" w:customStyle="1" w:styleId="Estilo2">
    <w:name w:val="Estilo2"/>
    <w:basedOn w:val="Normal"/>
    <w:rsid w:val="00DF25E0"/>
    <w:pPr>
      <w:spacing w:before="320" w:after="0" w:line="360" w:lineRule="auto"/>
      <w:ind w:left="567"/>
      <w:jc w:val="left"/>
    </w:pPr>
    <w:rPr>
      <w:rFonts w:cs="Arial"/>
      <w:b/>
      <w:sz w:val="22"/>
      <w:lang w:val="pt-BR"/>
    </w:rPr>
  </w:style>
  <w:style w:type="paragraph" w:customStyle="1" w:styleId="Estilo5">
    <w:name w:val="Estilo5"/>
    <w:basedOn w:val="Normal"/>
    <w:rsid w:val="00DF25E0"/>
    <w:pPr>
      <w:jc w:val="left"/>
    </w:pPr>
    <w:rPr>
      <w:rFonts w:cs="Arial"/>
      <w:b/>
      <w:bCs/>
      <w:sz w:val="26"/>
      <w:lang w:val="pt-BR"/>
    </w:rPr>
  </w:style>
  <w:style w:type="paragraph" w:customStyle="1" w:styleId="itlicosfrases">
    <w:name w:val="itálicos frases"/>
    <w:next w:val="Normal"/>
    <w:rsid w:val="00DF25E0"/>
    <w:pPr>
      <w:spacing w:before="320" w:line="280" w:lineRule="exact"/>
      <w:jc w:val="both"/>
    </w:pPr>
    <w:rPr>
      <w:rFonts w:cs="Arial"/>
      <w:i/>
    </w:rPr>
  </w:style>
  <w:style w:type="paragraph" w:customStyle="1" w:styleId="Estilo4">
    <w:name w:val="Estilo4"/>
    <w:basedOn w:val="Normal"/>
    <w:rsid w:val="00DF25E0"/>
    <w:pPr>
      <w:spacing w:before="240"/>
      <w:ind w:left="709"/>
      <w:jc w:val="left"/>
    </w:pPr>
    <w:rPr>
      <w:i/>
      <w:sz w:val="19"/>
      <w:szCs w:val="20"/>
      <w:lang w:val="pt-BR"/>
    </w:rPr>
  </w:style>
  <w:style w:type="paragraph" w:styleId="BalloonText">
    <w:name w:val="Balloon Text"/>
    <w:basedOn w:val="Normal"/>
    <w:link w:val="BalloonTextChar"/>
    <w:uiPriority w:val="99"/>
    <w:semiHidden/>
    <w:unhideWhenUsed/>
    <w:rsid w:val="00DF25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E0"/>
    <w:rPr>
      <w:rFonts w:ascii="Tahoma" w:hAnsi="Tahoma" w:cs="Tahoma"/>
      <w:sz w:val="16"/>
      <w:szCs w:val="16"/>
      <w:lang w:val="pt-PT"/>
    </w:rPr>
  </w:style>
  <w:style w:type="paragraph" w:customStyle="1" w:styleId="IASBNormalnpara">
    <w:name w:val="IASB Normal npara"/>
    <w:basedOn w:val="Normal"/>
    <w:rsid w:val="00650385"/>
    <w:pPr>
      <w:spacing w:before="100" w:after="0"/>
      <w:ind w:left="782" w:hanging="782"/>
    </w:pPr>
    <w:rPr>
      <w:rFonts w:ascii="Times New Roman" w:hAnsi="Times New Roman"/>
      <w:sz w:val="19"/>
      <w:szCs w:val="20"/>
      <w:lang w:val="en-US" w:eastAsia="en-US"/>
    </w:rPr>
  </w:style>
  <w:style w:type="paragraph" w:customStyle="1" w:styleId="IASBTableArial">
    <w:name w:val="IASB Table Arial"/>
    <w:basedOn w:val="Normal"/>
    <w:rsid w:val="00650385"/>
    <w:pPr>
      <w:spacing w:after="0"/>
      <w:jc w:val="left"/>
    </w:pPr>
    <w:rPr>
      <w:sz w:val="18"/>
      <w:szCs w:val="20"/>
      <w:lang w:val="en-GB" w:eastAsia="en-GB"/>
    </w:rPr>
  </w:style>
  <w:style w:type="paragraph" w:customStyle="1" w:styleId="IASBTableBoldArial">
    <w:name w:val="IASB Table Bold Arial"/>
    <w:basedOn w:val="IASBTableArial"/>
    <w:qFormat/>
    <w:rsid w:val="00650385"/>
    <w:rPr>
      <w:b/>
    </w:rPr>
  </w:style>
  <w:style w:type="character" w:customStyle="1" w:styleId="tw4winMark">
    <w:name w:val="tw4winMark"/>
    <w:rsid w:val="00650385"/>
    <w:rPr>
      <w:rFonts w:ascii="Courier New" w:hAnsi="Courier New"/>
      <w:vanish/>
      <w:color w:val="800080"/>
      <w:vertAlign w:val="subscript"/>
    </w:rPr>
  </w:style>
  <w:style w:type="paragraph" w:customStyle="1" w:styleId="IASBSectionTitle1NonInd">
    <w:name w:val="IASB Section Title 1 NonInd"/>
    <w:basedOn w:val="Normal"/>
    <w:rsid w:val="00650385"/>
    <w:pPr>
      <w:keepNext/>
      <w:keepLines/>
      <w:pBdr>
        <w:bottom w:val="single" w:sz="4" w:space="0" w:color="auto"/>
      </w:pBdr>
      <w:spacing w:before="400" w:after="200"/>
      <w:jc w:val="left"/>
    </w:pPr>
    <w:rPr>
      <w:rFonts w:cs="Arial"/>
      <w:b/>
      <w:sz w:val="26"/>
      <w:szCs w:val="20"/>
      <w:lang w:val="en-US" w:eastAsia="en-US"/>
    </w:rPr>
  </w:style>
  <w:style w:type="paragraph" w:customStyle="1" w:styleId="IASBNormalL1">
    <w:name w:val="IASB Normal L1"/>
    <w:basedOn w:val="IASBNormalnpara"/>
    <w:rsid w:val="00650385"/>
  </w:style>
  <w:style w:type="paragraph" w:styleId="ListParagraph">
    <w:name w:val="List Paragraph"/>
    <w:basedOn w:val="Normal"/>
    <w:uiPriority w:val="34"/>
    <w:qFormat/>
    <w:rsid w:val="009269C3"/>
    <w:pPr>
      <w:ind w:left="720"/>
      <w:contextualSpacing/>
    </w:pPr>
  </w:style>
  <w:style w:type="paragraph" w:customStyle="1" w:styleId="IASBNormalnparaL1">
    <w:name w:val="IASB Normal nparaL1"/>
    <w:basedOn w:val="IASBNormalnpara"/>
    <w:rsid w:val="00C06D16"/>
    <w:pPr>
      <w:ind w:left="1564"/>
    </w:pPr>
  </w:style>
  <w:style w:type="paragraph" w:customStyle="1" w:styleId="IASBNormalnparaP">
    <w:name w:val="IASB Normal nparaP"/>
    <w:basedOn w:val="Normal"/>
    <w:rsid w:val="00217EAB"/>
    <w:pPr>
      <w:tabs>
        <w:tab w:val="left" w:pos="4253"/>
      </w:tabs>
      <w:spacing w:before="100" w:after="100"/>
      <w:ind w:left="782"/>
    </w:pPr>
    <w:rPr>
      <w:rFonts w:ascii="Times New Roman" w:hAnsi="Times New Roman"/>
      <w:sz w:val="19"/>
      <w:szCs w:val="20"/>
      <w:lang w:val="en-US" w:eastAsia="en-US"/>
    </w:rPr>
  </w:style>
  <w:style w:type="paragraph" w:customStyle="1" w:styleId="IASBSectionTitle2Ind">
    <w:name w:val="IASB Section Title 2 Ind"/>
    <w:basedOn w:val="Normal"/>
    <w:rsid w:val="002F0E65"/>
    <w:pPr>
      <w:keepNext/>
      <w:keepLines/>
      <w:spacing w:before="240" w:after="200"/>
      <w:ind w:left="782"/>
      <w:jc w:val="left"/>
    </w:pPr>
    <w:rPr>
      <w:rFonts w:cs="Arial"/>
      <w:b/>
      <w:sz w:val="26"/>
      <w:szCs w:val="20"/>
      <w:lang w:val="en-US" w:eastAsia="en-US"/>
    </w:rPr>
  </w:style>
  <w:style w:type="paragraph" w:customStyle="1" w:styleId="IASBTableHeaderArial">
    <w:name w:val="IASB Table Header Arial"/>
    <w:basedOn w:val="IASBTableArial"/>
    <w:qFormat/>
    <w:rsid w:val="002F0E65"/>
    <w:pPr>
      <w:keepNext/>
      <w:spacing w:after="200" w:line="276"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3787E-A8C2-4D0D-94EB-C046CDA8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3771</Words>
  <Characters>23265</Characters>
  <Application>Microsoft Office Word</Application>
  <DocSecurity>0</DocSecurity>
  <Lines>193</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helio.corazza</cp:lastModifiedBy>
  <cp:revision>8</cp:revision>
  <dcterms:created xsi:type="dcterms:W3CDTF">2014-07-02T12:30:00Z</dcterms:created>
  <dcterms:modified xsi:type="dcterms:W3CDTF">2014-07-02T14:29:00Z</dcterms:modified>
</cp:coreProperties>
</file>