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7D" w:rsidRPr="00181A54" w:rsidRDefault="00B30A7D" w:rsidP="00B30A7D">
      <w:pPr>
        <w:pStyle w:val="Recuodecorpodetexto2"/>
        <w:ind w:hanging="5103"/>
        <w:jc w:val="left"/>
      </w:pPr>
    </w:p>
    <w:p w:rsidR="00B30A7D" w:rsidRPr="00181A54" w:rsidRDefault="00C21047" w:rsidP="00620E9B">
      <w:pPr>
        <w:tabs>
          <w:tab w:val="left" w:pos="2730"/>
        </w:tabs>
        <w:jc w:val="center"/>
        <w:outlineLvl w:val="0"/>
        <w:rPr>
          <w:b/>
        </w:rPr>
      </w:pPr>
      <w:r w:rsidRPr="00181A54">
        <w:rPr>
          <w:b/>
        </w:rPr>
        <w:t xml:space="preserve">NBC TSP </w:t>
      </w:r>
      <w:r w:rsidR="00620E9B" w:rsidRPr="00181A54">
        <w:rPr>
          <w:b/>
        </w:rPr>
        <w:t>2 – RECEITAS COM CONTRAPRESTAÇÃO</w:t>
      </w:r>
    </w:p>
    <w:p w:rsidR="00B30A7D" w:rsidRPr="00181A54" w:rsidRDefault="00B30A7D" w:rsidP="00B30A7D">
      <w:pPr>
        <w:jc w:val="center"/>
        <w:rPr>
          <w:b/>
        </w:rPr>
      </w:pPr>
    </w:p>
    <w:p w:rsidR="00C21047" w:rsidRPr="00181A54" w:rsidRDefault="00C21047" w:rsidP="00B30A7D">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134"/>
      </w:tblGrid>
      <w:tr w:rsidR="002D6A45" w:rsidRPr="00181A54" w:rsidTr="00C8093D">
        <w:trPr>
          <w:jc w:val="center"/>
        </w:trPr>
        <w:tc>
          <w:tcPr>
            <w:tcW w:w="8046" w:type="dxa"/>
            <w:shd w:val="clear" w:color="auto" w:fill="auto"/>
          </w:tcPr>
          <w:p w:rsidR="002D6A45" w:rsidRPr="00181A54" w:rsidRDefault="002D6A45" w:rsidP="007B648E">
            <w:pPr>
              <w:jc w:val="center"/>
              <w:rPr>
                <w:b/>
              </w:rPr>
            </w:pPr>
            <w:r w:rsidRPr="00181A54">
              <w:rPr>
                <w:b/>
              </w:rPr>
              <w:t>Sumário</w:t>
            </w:r>
          </w:p>
        </w:tc>
        <w:tc>
          <w:tcPr>
            <w:tcW w:w="1134" w:type="dxa"/>
            <w:shd w:val="clear" w:color="auto" w:fill="auto"/>
          </w:tcPr>
          <w:p w:rsidR="002D6A45" w:rsidRPr="00181A54" w:rsidRDefault="002D6A45" w:rsidP="007B648E">
            <w:pPr>
              <w:jc w:val="center"/>
              <w:rPr>
                <w:b/>
              </w:rPr>
            </w:pPr>
            <w:r w:rsidRPr="00181A54">
              <w:rPr>
                <w:b/>
              </w:rPr>
              <w:t>Item</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Objetivo</w:t>
            </w:r>
          </w:p>
        </w:tc>
        <w:tc>
          <w:tcPr>
            <w:tcW w:w="1134" w:type="dxa"/>
            <w:shd w:val="clear" w:color="auto" w:fill="auto"/>
          </w:tcPr>
          <w:p w:rsidR="002D6A45" w:rsidRPr="00181A54" w:rsidRDefault="002D6A45" w:rsidP="007B648E">
            <w:pPr>
              <w:jc w:val="both"/>
              <w:rPr>
                <w:b/>
              </w:rPr>
            </w:pP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Escopo</w:t>
            </w:r>
          </w:p>
        </w:tc>
        <w:tc>
          <w:tcPr>
            <w:tcW w:w="1134" w:type="dxa"/>
            <w:shd w:val="clear" w:color="auto" w:fill="auto"/>
          </w:tcPr>
          <w:p w:rsidR="002D6A45" w:rsidRPr="00181A54" w:rsidRDefault="002D6A45" w:rsidP="00CB6244">
            <w:pPr>
              <w:jc w:val="right"/>
              <w:rPr>
                <w:b/>
              </w:rPr>
            </w:pPr>
            <w:r w:rsidRPr="00181A54">
              <w:rPr>
                <w:b/>
              </w:rPr>
              <w:t>1-10</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Definições</w:t>
            </w:r>
          </w:p>
        </w:tc>
        <w:tc>
          <w:tcPr>
            <w:tcW w:w="1134" w:type="dxa"/>
            <w:shd w:val="clear" w:color="auto" w:fill="auto"/>
          </w:tcPr>
          <w:p w:rsidR="002D6A45" w:rsidRPr="00181A54" w:rsidRDefault="002D6A45" w:rsidP="00CB6244">
            <w:pPr>
              <w:jc w:val="right"/>
              <w:rPr>
                <w:b/>
              </w:rPr>
            </w:pPr>
            <w:r w:rsidRPr="00181A54">
              <w:rPr>
                <w:b/>
              </w:rPr>
              <w:t>11-13</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Receita</w:t>
            </w:r>
          </w:p>
        </w:tc>
        <w:tc>
          <w:tcPr>
            <w:tcW w:w="1134" w:type="dxa"/>
            <w:shd w:val="clear" w:color="auto" w:fill="auto"/>
          </w:tcPr>
          <w:p w:rsidR="002D6A45" w:rsidRPr="00181A54" w:rsidRDefault="002D6A45" w:rsidP="00CB6244">
            <w:pPr>
              <w:jc w:val="right"/>
              <w:rPr>
                <w:b/>
              </w:rPr>
            </w:pPr>
            <w:r w:rsidRPr="00181A54">
              <w:rPr>
                <w:b/>
              </w:rPr>
              <w:t>12-13</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Mensuração da receita</w:t>
            </w:r>
          </w:p>
        </w:tc>
        <w:tc>
          <w:tcPr>
            <w:tcW w:w="1134" w:type="dxa"/>
            <w:shd w:val="clear" w:color="auto" w:fill="auto"/>
          </w:tcPr>
          <w:p w:rsidR="002D6A45" w:rsidRPr="00181A54" w:rsidRDefault="002D6A45" w:rsidP="00CB6244">
            <w:pPr>
              <w:jc w:val="right"/>
              <w:rPr>
                <w:b/>
              </w:rPr>
            </w:pPr>
            <w:r w:rsidRPr="00181A54">
              <w:rPr>
                <w:b/>
              </w:rPr>
              <w:t>14-17</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Identificação da Transação</w:t>
            </w:r>
          </w:p>
        </w:tc>
        <w:tc>
          <w:tcPr>
            <w:tcW w:w="1134" w:type="dxa"/>
            <w:shd w:val="clear" w:color="auto" w:fill="auto"/>
          </w:tcPr>
          <w:p w:rsidR="002D6A45" w:rsidRPr="00181A54" w:rsidRDefault="002D6A45" w:rsidP="00CB6244">
            <w:pPr>
              <w:jc w:val="right"/>
              <w:rPr>
                <w:b/>
              </w:rPr>
            </w:pPr>
            <w:r w:rsidRPr="00181A54">
              <w:rPr>
                <w:b/>
              </w:rPr>
              <w:t>18</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Prestação de Serviços</w:t>
            </w:r>
          </w:p>
        </w:tc>
        <w:tc>
          <w:tcPr>
            <w:tcW w:w="1134" w:type="dxa"/>
            <w:shd w:val="clear" w:color="auto" w:fill="auto"/>
          </w:tcPr>
          <w:p w:rsidR="002D6A45" w:rsidRPr="00181A54" w:rsidRDefault="002D6A45" w:rsidP="00CB6244">
            <w:pPr>
              <w:jc w:val="right"/>
              <w:rPr>
                <w:b/>
              </w:rPr>
            </w:pPr>
            <w:r w:rsidRPr="00181A54">
              <w:rPr>
                <w:b/>
              </w:rPr>
              <w:t>19-27</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Venda de Mercadorias</w:t>
            </w:r>
          </w:p>
        </w:tc>
        <w:tc>
          <w:tcPr>
            <w:tcW w:w="1134" w:type="dxa"/>
            <w:shd w:val="clear" w:color="auto" w:fill="auto"/>
          </w:tcPr>
          <w:p w:rsidR="002D6A45" w:rsidRPr="00181A54" w:rsidRDefault="002D6A45" w:rsidP="00CB6244">
            <w:pPr>
              <w:jc w:val="right"/>
              <w:rPr>
                <w:b/>
              </w:rPr>
            </w:pPr>
            <w:r w:rsidRPr="00181A54">
              <w:rPr>
                <w:b/>
              </w:rPr>
              <w:t>28-32</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 xml:space="preserve">Juros, </w:t>
            </w:r>
            <w:r w:rsidRPr="00181A54">
              <w:rPr>
                <w:b/>
                <w:i/>
              </w:rPr>
              <w:t>Royalties</w:t>
            </w:r>
            <w:r w:rsidRPr="00181A54">
              <w:rPr>
                <w:b/>
              </w:rPr>
              <w:t xml:space="preserve"> e Dividendos ou Distribuições </w:t>
            </w:r>
            <w:proofErr w:type="gramStart"/>
            <w:r w:rsidRPr="00181A54">
              <w:rPr>
                <w:b/>
              </w:rPr>
              <w:t>Similares</w:t>
            </w:r>
            <w:proofErr w:type="gramEnd"/>
          </w:p>
        </w:tc>
        <w:tc>
          <w:tcPr>
            <w:tcW w:w="1134" w:type="dxa"/>
            <w:shd w:val="clear" w:color="auto" w:fill="auto"/>
          </w:tcPr>
          <w:p w:rsidR="002D6A45" w:rsidRPr="00181A54" w:rsidRDefault="002D6A45" w:rsidP="00CB6244">
            <w:pPr>
              <w:jc w:val="right"/>
              <w:rPr>
                <w:b/>
              </w:rPr>
            </w:pPr>
            <w:r w:rsidRPr="00181A54">
              <w:rPr>
                <w:b/>
              </w:rPr>
              <w:t>33-38</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Evidenciação</w:t>
            </w:r>
          </w:p>
        </w:tc>
        <w:tc>
          <w:tcPr>
            <w:tcW w:w="1134" w:type="dxa"/>
            <w:shd w:val="clear" w:color="auto" w:fill="auto"/>
          </w:tcPr>
          <w:p w:rsidR="002D6A45" w:rsidRPr="00181A54" w:rsidRDefault="002D6A45" w:rsidP="00CB6244">
            <w:pPr>
              <w:jc w:val="right"/>
              <w:rPr>
                <w:b/>
              </w:rPr>
            </w:pPr>
            <w:r w:rsidRPr="00181A54">
              <w:rPr>
                <w:b/>
              </w:rPr>
              <w:t>39-40</w:t>
            </w:r>
          </w:p>
        </w:tc>
      </w:tr>
      <w:tr w:rsidR="002D6A45" w:rsidRPr="00181A54" w:rsidTr="00C8093D">
        <w:trPr>
          <w:jc w:val="center"/>
        </w:trPr>
        <w:tc>
          <w:tcPr>
            <w:tcW w:w="8046" w:type="dxa"/>
            <w:shd w:val="clear" w:color="auto" w:fill="auto"/>
          </w:tcPr>
          <w:p w:rsidR="002D6A45" w:rsidRPr="00181A54" w:rsidRDefault="002D6A45" w:rsidP="007B648E">
            <w:pPr>
              <w:jc w:val="both"/>
              <w:rPr>
                <w:b/>
              </w:rPr>
            </w:pPr>
            <w:r w:rsidRPr="00181A54">
              <w:rPr>
                <w:b/>
              </w:rPr>
              <w:t>Data Efetiva</w:t>
            </w:r>
          </w:p>
        </w:tc>
        <w:tc>
          <w:tcPr>
            <w:tcW w:w="1134" w:type="dxa"/>
            <w:shd w:val="clear" w:color="auto" w:fill="auto"/>
          </w:tcPr>
          <w:p w:rsidR="002D6A45" w:rsidRPr="00181A54" w:rsidRDefault="002D6A45" w:rsidP="00CB6244">
            <w:pPr>
              <w:jc w:val="right"/>
              <w:rPr>
                <w:b/>
              </w:rPr>
            </w:pPr>
            <w:r w:rsidRPr="00181A54">
              <w:rPr>
                <w:b/>
              </w:rPr>
              <w:t>41-42</w:t>
            </w:r>
          </w:p>
        </w:tc>
      </w:tr>
    </w:tbl>
    <w:p w:rsidR="002D6A45" w:rsidRPr="00181A54" w:rsidRDefault="002D6A45" w:rsidP="00B30A7D">
      <w:pPr>
        <w:jc w:val="center"/>
        <w:rPr>
          <w:b/>
        </w:rPr>
      </w:pPr>
    </w:p>
    <w:p w:rsidR="002D6A45" w:rsidRPr="00181A54" w:rsidRDefault="002D6A45" w:rsidP="00B30A7D">
      <w:pPr>
        <w:jc w:val="center"/>
        <w:rPr>
          <w:b/>
        </w:rPr>
      </w:pPr>
    </w:p>
    <w:p w:rsidR="002E3C01" w:rsidRPr="00181A54" w:rsidRDefault="002E3C01" w:rsidP="00A3757B">
      <w:pPr>
        <w:jc w:val="both"/>
        <w:rPr>
          <w:b/>
        </w:rPr>
      </w:pPr>
    </w:p>
    <w:p w:rsidR="00A3757B" w:rsidRPr="00181A54" w:rsidRDefault="002E3C01" w:rsidP="00B30A7D">
      <w:pPr>
        <w:rPr>
          <w:b/>
        </w:rPr>
      </w:pPr>
      <w:r w:rsidRPr="00181A54">
        <w:br w:type="page"/>
      </w:r>
      <w:r w:rsidR="00620E9B" w:rsidRPr="00181A54">
        <w:rPr>
          <w:b/>
        </w:rPr>
        <w:lastRenderedPageBreak/>
        <w:t>Objetivo</w:t>
      </w:r>
    </w:p>
    <w:p w:rsidR="00D8276C" w:rsidRPr="00181A54" w:rsidRDefault="00D8276C" w:rsidP="00B30A7D">
      <w:pPr>
        <w:rPr>
          <w:b/>
        </w:rPr>
      </w:pPr>
    </w:p>
    <w:p w:rsidR="00620E9B" w:rsidRPr="00181A54" w:rsidRDefault="00620E9B" w:rsidP="00390848">
      <w:pPr>
        <w:ind w:left="502"/>
        <w:jc w:val="both"/>
      </w:pPr>
      <w:r w:rsidRPr="00181A54">
        <w:t xml:space="preserve">A Estrutura Conceitual de Preparação e Apresentação de Demonstrações Financeiras do IASB define uma receita como </w:t>
      </w:r>
      <w:r w:rsidRPr="00181A54">
        <w:rPr>
          <w:i/>
        </w:rPr>
        <w:t>"aumentos de benefícios econômicos durante o período contábil na forma de entradas de recursos, aumento de ativos ou redução de passivos que resultem em aumentos no patrimônio líquido da entidade e que não decorram de aporte de recursos por parte dos proprietários"</w:t>
      </w:r>
      <w:r w:rsidRPr="00181A54">
        <w:t xml:space="preserve">. A definição do IASB engloba tanto as receitas pelo enfoque patrimonial quanto os ganhos. Esta Norma usa o termo </w:t>
      </w:r>
      <w:r w:rsidRPr="00181A54">
        <w:rPr>
          <w:i/>
        </w:rPr>
        <w:t>“receita”</w:t>
      </w:r>
      <w:r w:rsidRPr="00181A54">
        <w:t xml:space="preserve">, para englobar tanto as receitas pelo enfoque patrimonial quanto os ganhos, no lugar do termo </w:t>
      </w:r>
      <w:r w:rsidRPr="00181A54">
        <w:rPr>
          <w:i/>
        </w:rPr>
        <w:t>"renda"</w:t>
      </w:r>
      <w:r w:rsidRPr="00181A54">
        <w:t>. Alguns itens específicos que podem ser reconhecidos como receitas são tratados em outras normas e excluídos do escopo desta. Por exemplo, ganhos decorrentes da alienação de ativos imobilizados são especificamente tratados na NBC TSP de ativos imobilizados, e não nesta Norma.</w:t>
      </w:r>
    </w:p>
    <w:p w:rsidR="00620E9B" w:rsidRPr="00181A54" w:rsidRDefault="00620E9B" w:rsidP="00620E9B">
      <w:pPr>
        <w:ind w:left="502"/>
        <w:jc w:val="both"/>
      </w:pPr>
    </w:p>
    <w:p w:rsidR="00620E9B" w:rsidRPr="00181A54" w:rsidRDefault="00620E9B" w:rsidP="00620E9B">
      <w:pPr>
        <w:ind w:left="502"/>
        <w:jc w:val="both"/>
      </w:pPr>
      <w:r w:rsidRPr="00181A54">
        <w:t>O objetivo desta Norma é descrever o tratamento contábil das receitas provenientes de transações e eventos com contraprestação.</w:t>
      </w:r>
    </w:p>
    <w:p w:rsidR="00620E9B" w:rsidRPr="00181A54" w:rsidRDefault="00620E9B" w:rsidP="00620E9B">
      <w:pPr>
        <w:ind w:left="502"/>
        <w:jc w:val="both"/>
      </w:pPr>
    </w:p>
    <w:p w:rsidR="00F049CA" w:rsidRPr="00181A54" w:rsidRDefault="00620E9B" w:rsidP="00620E9B">
      <w:pPr>
        <w:ind w:left="502"/>
        <w:jc w:val="both"/>
      </w:pPr>
      <w:r w:rsidRPr="00181A54">
        <w:t xml:space="preserve">A questão primordial na contabilização das receitas é determinar quando reconhecê-las. A receita é reconhecida quando for provável que (a) benefícios </w:t>
      </w:r>
      <w:proofErr w:type="gramStart"/>
      <w:r w:rsidRPr="00181A54">
        <w:t>econômicos ou potencial de serviços</w:t>
      </w:r>
      <w:proofErr w:type="gramEnd"/>
      <w:r w:rsidRPr="00181A54">
        <w:t xml:space="preserve"> fluirão para a entidade, e (b) que esses benefícios possam ser mensurados confiavelmente. Esta norma identifica as circunstâncias em que esses critérios são satisfeitos, e, portanto, quando as receitas deverão ser reconhecidas. Ela também fornece orientação prática acerca da aplicação destes critérios.</w:t>
      </w:r>
    </w:p>
    <w:p w:rsidR="00620E9B" w:rsidRPr="00181A54" w:rsidRDefault="00620E9B" w:rsidP="00620E9B">
      <w:pPr>
        <w:ind w:left="502"/>
        <w:jc w:val="both"/>
      </w:pPr>
    </w:p>
    <w:p w:rsidR="00620E9B" w:rsidRPr="00181A54" w:rsidRDefault="00620E9B" w:rsidP="00620E9B">
      <w:pPr>
        <w:rPr>
          <w:b/>
        </w:rPr>
      </w:pPr>
    </w:p>
    <w:p w:rsidR="00620E9B" w:rsidRPr="00181A54" w:rsidRDefault="00620E9B" w:rsidP="00620E9B">
      <w:pPr>
        <w:rPr>
          <w:b/>
        </w:rPr>
      </w:pPr>
      <w:r w:rsidRPr="00181A54">
        <w:rPr>
          <w:b/>
        </w:rPr>
        <w:t>Escopo</w:t>
      </w:r>
    </w:p>
    <w:p w:rsidR="007E0454" w:rsidRPr="00181A54" w:rsidRDefault="007E0454" w:rsidP="003B6086">
      <w:pPr>
        <w:ind w:left="567"/>
        <w:jc w:val="both"/>
      </w:pPr>
    </w:p>
    <w:p w:rsidR="00390848" w:rsidRPr="00181A54" w:rsidRDefault="00390848" w:rsidP="002D6A45">
      <w:pPr>
        <w:numPr>
          <w:ilvl w:val="0"/>
          <w:numId w:val="2"/>
        </w:numPr>
        <w:jc w:val="both"/>
        <w:rPr>
          <w:b/>
        </w:rPr>
      </w:pPr>
      <w:r w:rsidRPr="00181A54">
        <w:rPr>
          <w:b/>
        </w:rPr>
        <w:t xml:space="preserve">Uma entidade que prepare e apresente suas demonstrações contábeis conforme o regime de competência deve aplicar esta Norma na contabilização de receitas decorrentes das seguintes transações e eventos com contraprestação: </w:t>
      </w:r>
    </w:p>
    <w:p w:rsidR="00E75CFC" w:rsidRPr="00181A54" w:rsidRDefault="00E75CFC" w:rsidP="00163A1D">
      <w:pPr>
        <w:pStyle w:val="PargrafodaLista"/>
        <w:ind w:left="993" w:hanging="426"/>
      </w:pPr>
    </w:p>
    <w:p w:rsidR="00E75CFC" w:rsidRPr="00181A54" w:rsidRDefault="00390848" w:rsidP="00390848">
      <w:pPr>
        <w:numPr>
          <w:ilvl w:val="0"/>
          <w:numId w:val="1"/>
        </w:numPr>
        <w:jc w:val="both"/>
        <w:rPr>
          <w:b/>
        </w:rPr>
      </w:pPr>
      <w:r w:rsidRPr="00181A54">
        <w:rPr>
          <w:b/>
        </w:rPr>
        <w:t>Prestação de serviços;</w:t>
      </w:r>
    </w:p>
    <w:p w:rsidR="004E1FCA" w:rsidRPr="00181A54" w:rsidRDefault="004E1FCA" w:rsidP="003B6086">
      <w:pPr>
        <w:ind w:left="851"/>
        <w:jc w:val="both"/>
      </w:pPr>
    </w:p>
    <w:p w:rsidR="004E1FCA" w:rsidRPr="00181A54" w:rsidRDefault="00390848" w:rsidP="00390848">
      <w:pPr>
        <w:numPr>
          <w:ilvl w:val="0"/>
          <w:numId w:val="1"/>
        </w:numPr>
        <w:jc w:val="both"/>
        <w:rPr>
          <w:b/>
        </w:rPr>
      </w:pPr>
      <w:r w:rsidRPr="00181A54">
        <w:rPr>
          <w:b/>
        </w:rPr>
        <w:t xml:space="preserve">Venda de mercadorias; </w:t>
      </w:r>
      <w:proofErr w:type="gramStart"/>
      <w:r w:rsidRPr="00181A54">
        <w:rPr>
          <w:b/>
        </w:rPr>
        <w:t>e</w:t>
      </w:r>
      <w:proofErr w:type="gramEnd"/>
    </w:p>
    <w:p w:rsidR="004E1FCA" w:rsidRPr="00181A54" w:rsidRDefault="004E1FCA" w:rsidP="003B6086">
      <w:pPr>
        <w:ind w:left="1211"/>
        <w:jc w:val="both"/>
      </w:pPr>
    </w:p>
    <w:p w:rsidR="004E1FCA" w:rsidRPr="00181A54" w:rsidRDefault="00390848" w:rsidP="00390848">
      <w:pPr>
        <w:numPr>
          <w:ilvl w:val="0"/>
          <w:numId w:val="1"/>
        </w:numPr>
        <w:jc w:val="both"/>
        <w:rPr>
          <w:b/>
        </w:rPr>
      </w:pPr>
      <w:r w:rsidRPr="00181A54">
        <w:rPr>
          <w:b/>
        </w:rPr>
        <w:t xml:space="preserve">Uso, por parte de terceiros, de outros ativos que gerem juros, </w:t>
      </w:r>
      <w:r w:rsidRPr="00181A54">
        <w:rPr>
          <w:b/>
          <w:i/>
        </w:rPr>
        <w:t>royalties</w:t>
      </w:r>
      <w:r w:rsidRPr="00181A54">
        <w:rPr>
          <w:b/>
        </w:rPr>
        <w:t xml:space="preserve"> e dividendos ou distribuições assemelhadas.</w:t>
      </w:r>
    </w:p>
    <w:p w:rsidR="004D4064" w:rsidRPr="00181A54" w:rsidRDefault="004D4064" w:rsidP="00620E9B">
      <w:pPr>
        <w:pStyle w:val="PargrafodaLista"/>
      </w:pPr>
    </w:p>
    <w:p w:rsidR="00390848" w:rsidRPr="00181A54" w:rsidRDefault="00390848" w:rsidP="002D6A45">
      <w:pPr>
        <w:numPr>
          <w:ilvl w:val="0"/>
          <w:numId w:val="2"/>
        </w:numPr>
        <w:jc w:val="both"/>
      </w:pPr>
      <w:r w:rsidRPr="00181A54">
        <w:rPr>
          <w:b/>
        </w:rPr>
        <w:t>Esta Norma se aplica a todas as entidades do setor público, com exceção das empresas estatais não dependentes.</w:t>
      </w:r>
    </w:p>
    <w:p w:rsidR="00390848" w:rsidRPr="00181A54" w:rsidRDefault="00390848" w:rsidP="00390848">
      <w:pPr>
        <w:ind w:left="502"/>
        <w:jc w:val="both"/>
      </w:pPr>
    </w:p>
    <w:p w:rsidR="009A4B1A" w:rsidRPr="00181A54" w:rsidRDefault="00390848" w:rsidP="002D6A45">
      <w:pPr>
        <w:numPr>
          <w:ilvl w:val="0"/>
          <w:numId w:val="2"/>
        </w:numPr>
        <w:jc w:val="both"/>
      </w:pPr>
      <w:r w:rsidRPr="00181A54">
        <w:t>(</w:t>
      </w:r>
      <w:r w:rsidRPr="00181A54">
        <w:rPr>
          <w:i/>
        </w:rPr>
        <w:t>não convergido</w:t>
      </w:r>
      <w:r w:rsidRPr="00181A54">
        <w:t>).</w:t>
      </w:r>
    </w:p>
    <w:p w:rsidR="00390848" w:rsidRPr="00181A54" w:rsidRDefault="00390848" w:rsidP="00390848">
      <w:pPr>
        <w:ind w:left="502"/>
        <w:jc w:val="both"/>
      </w:pPr>
    </w:p>
    <w:p w:rsidR="00390848" w:rsidRPr="00181A54" w:rsidRDefault="00390848" w:rsidP="002D6A45">
      <w:pPr>
        <w:numPr>
          <w:ilvl w:val="0"/>
          <w:numId w:val="2"/>
        </w:numPr>
        <w:jc w:val="both"/>
      </w:pPr>
      <w:r w:rsidRPr="00181A54">
        <w:t>Esta Norma não trata de receitas decorrentes de transações sem contraprestação.</w:t>
      </w:r>
    </w:p>
    <w:p w:rsidR="00390848" w:rsidRPr="00181A54" w:rsidRDefault="00390848" w:rsidP="00390848">
      <w:pPr>
        <w:ind w:left="502"/>
        <w:jc w:val="both"/>
      </w:pPr>
    </w:p>
    <w:p w:rsidR="00390848" w:rsidRPr="00181A54" w:rsidRDefault="00390848" w:rsidP="002D6A45">
      <w:pPr>
        <w:numPr>
          <w:ilvl w:val="0"/>
          <w:numId w:val="2"/>
        </w:numPr>
        <w:jc w:val="both"/>
      </w:pPr>
      <w:r w:rsidRPr="00181A54">
        <w:t xml:space="preserve">As entidades do setor público podem auferir receitas de transações com ou sem contraprestação. </w:t>
      </w:r>
      <w:r w:rsidRPr="00181A54">
        <w:rPr>
          <w:b/>
        </w:rPr>
        <w:t xml:space="preserve">Uma transação com contraprestação é aquela segundo a qual a entidade recebe </w:t>
      </w:r>
      <w:proofErr w:type="gramStart"/>
      <w:r w:rsidRPr="00181A54">
        <w:rPr>
          <w:b/>
        </w:rPr>
        <w:t>ativos</w:t>
      </w:r>
      <w:proofErr w:type="gramEnd"/>
      <w:r w:rsidRPr="00181A54">
        <w:rPr>
          <w:b/>
        </w:rPr>
        <w:t xml:space="preserve"> ou serviços, ou tem passivos extintos, e diretamente entrega em troca um valor aproximadamente equivalente (prioritariamente sob a forma de mercadorias, serviços ou uso de ativos) à outra parte.</w:t>
      </w:r>
      <w:r w:rsidRPr="00181A54">
        <w:t xml:space="preserve"> Exemplos de transações com contraprestação são:</w:t>
      </w:r>
    </w:p>
    <w:p w:rsidR="00390848" w:rsidRPr="00181A54" w:rsidRDefault="00390848" w:rsidP="00390848">
      <w:pPr>
        <w:ind w:left="502"/>
        <w:jc w:val="both"/>
      </w:pPr>
    </w:p>
    <w:p w:rsidR="00390848" w:rsidRPr="00181A54" w:rsidRDefault="00390848" w:rsidP="007B648E">
      <w:pPr>
        <w:numPr>
          <w:ilvl w:val="0"/>
          <w:numId w:val="3"/>
        </w:numPr>
        <w:jc w:val="both"/>
      </w:pPr>
      <w:r w:rsidRPr="00181A54">
        <w:t xml:space="preserve">A compra ou venda de mercadorias ou serviços; </w:t>
      </w:r>
      <w:proofErr w:type="gramStart"/>
      <w:r w:rsidRPr="00181A54">
        <w:t>ou</w:t>
      </w:r>
      <w:proofErr w:type="gramEnd"/>
    </w:p>
    <w:p w:rsidR="00390848" w:rsidRPr="00181A54" w:rsidRDefault="00390848" w:rsidP="00390848">
      <w:pPr>
        <w:ind w:left="851"/>
        <w:jc w:val="both"/>
      </w:pPr>
    </w:p>
    <w:p w:rsidR="00390848" w:rsidRPr="00181A54" w:rsidRDefault="00390848" w:rsidP="007B648E">
      <w:pPr>
        <w:numPr>
          <w:ilvl w:val="0"/>
          <w:numId w:val="3"/>
        </w:numPr>
        <w:jc w:val="both"/>
      </w:pPr>
      <w:r w:rsidRPr="00181A54">
        <w:t xml:space="preserve">O aluguel ou arrendamento de itens do ativo imobilizado a valor de mercado. </w:t>
      </w:r>
    </w:p>
    <w:p w:rsidR="00390848" w:rsidRPr="00181A54" w:rsidRDefault="00390848" w:rsidP="00390848">
      <w:pPr>
        <w:ind w:left="502"/>
        <w:jc w:val="both"/>
      </w:pPr>
    </w:p>
    <w:p w:rsidR="00390848" w:rsidRPr="00181A54" w:rsidRDefault="00390848" w:rsidP="00390848">
      <w:pPr>
        <w:numPr>
          <w:ilvl w:val="0"/>
          <w:numId w:val="2"/>
        </w:numPr>
        <w:jc w:val="both"/>
      </w:pPr>
      <w:r w:rsidRPr="00181A54">
        <w:t xml:space="preserve">Na distinção entre transações com e sem contraprestação, a essência deve prevalecer sob a forma. Exemplos de transações sem contraprestação incluem as receitas decorrentes do exercício do poder </w:t>
      </w:r>
      <w:proofErr w:type="gramStart"/>
      <w:r w:rsidRPr="00181A54">
        <w:t>soberano (por exemplo, tributos diretos e indiretos, multas e tributos alfandegários), subsídios</w:t>
      </w:r>
      <w:proofErr w:type="gramEnd"/>
      <w:r w:rsidRPr="00181A54">
        <w:t xml:space="preserve"> e doações.</w:t>
      </w:r>
    </w:p>
    <w:p w:rsidR="00390848" w:rsidRPr="00181A54" w:rsidRDefault="00390848" w:rsidP="00390848">
      <w:pPr>
        <w:ind w:left="502"/>
        <w:jc w:val="both"/>
      </w:pPr>
    </w:p>
    <w:p w:rsidR="00390848" w:rsidRPr="00181A54" w:rsidRDefault="00390848" w:rsidP="00390848">
      <w:pPr>
        <w:numPr>
          <w:ilvl w:val="0"/>
          <w:numId w:val="2"/>
        </w:numPr>
        <w:jc w:val="both"/>
      </w:pPr>
      <w:r w:rsidRPr="00181A54">
        <w:t>A prestação de serviços envolve usualmente a execução de uma tarefa estabelecida para um período de tempo. Os serviços podem ser prestados ao longo de um ou mais períodos. Exemplos de serviços prestados por entidades do setor público para os quais receita é recebida em troca podem incluir o fornecimento de água e a gestão de pedágio de rodovias, dentre outros.</w:t>
      </w:r>
    </w:p>
    <w:p w:rsidR="00390848" w:rsidRPr="00181A54" w:rsidRDefault="00390848" w:rsidP="00390848">
      <w:pPr>
        <w:ind w:left="502"/>
        <w:jc w:val="both"/>
      </w:pPr>
    </w:p>
    <w:p w:rsidR="00390848" w:rsidRPr="00181A54" w:rsidRDefault="00390848" w:rsidP="00390848">
      <w:pPr>
        <w:numPr>
          <w:ilvl w:val="0"/>
          <w:numId w:val="2"/>
        </w:numPr>
        <w:jc w:val="both"/>
      </w:pPr>
      <w:r w:rsidRPr="00181A54">
        <w:t>O termo "mercadorias" inclui (a) mercadorias e/ou bens produzidos pela entidade com o propósito de venda, como publicações, e (b) mercadorias compradas para revenda, como terrenos ou outras propriedades mantidas para revenda.</w:t>
      </w:r>
    </w:p>
    <w:p w:rsidR="00390848" w:rsidRPr="00181A54" w:rsidRDefault="00390848" w:rsidP="00390848">
      <w:pPr>
        <w:ind w:left="502"/>
        <w:jc w:val="both"/>
      </w:pPr>
    </w:p>
    <w:p w:rsidR="00390848" w:rsidRPr="00181A54" w:rsidRDefault="00390848" w:rsidP="00390848">
      <w:pPr>
        <w:numPr>
          <w:ilvl w:val="0"/>
          <w:numId w:val="2"/>
        </w:numPr>
        <w:jc w:val="both"/>
      </w:pPr>
      <w:r w:rsidRPr="00181A54">
        <w:t>O uso por terceiros de ativos da entidade dá origem a receitas na forma de:</w:t>
      </w:r>
    </w:p>
    <w:p w:rsidR="00390848" w:rsidRPr="00181A54" w:rsidRDefault="00390848" w:rsidP="00390848">
      <w:pPr>
        <w:ind w:left="502"/>
        <w:jc w:val="both"/>
      </w:pPr>
    </w:p>
    <w:p w:rsidR="00390848" w:rsidRPr="00181A54" w:rsidRDefault="00390848" w:rsidP="007B648E">
      <w:pPr>
        <w:numPr>
          <w:ilvl w:val="0"/>
          <w:numId w:val="4"/>
        </w:numPr>
        <w:jc w:val="both"/>
      </w:pPr>
      <w:r w:rsidRPr="00181A54">
        <w:t>Juros – encargos decorrentes do uso de caixa ou equivalentes de caixa ou de valores devidos à entidade;</w:t>
      </w:r>
    </w:p>
    <w:p w:rsidR="00390848" w:rsidRPr="00181A54" w:rsidRDefault="00390848" w:rsidP="00390848">
      <w:pPr>
        <w:ind w:left="851"/>
        <w:jc w:val="both"/>
      </w:pPr>
    </w:p>
    <w:p w:rsidR="00390848" w:rsidRPr="00181A54" w:rsidRDefault="00390848" w:rsidP="007B648E">
      <w:pPr>
        <w:numPr>
          <w:ilvl w:val="0"/>
          <w:numId w:val="4"/>
        </w:numPr>
        <w:jc w:val="both"/>
      </w:pPr>
      <w:r w:rsidRPr="00181A54">
        <w:rPr>
          <w:i/>
        </w:rPr>
        <w:t>Royalties</w:t>
      </w:r>
      <w:r w:rsidRPr="00181A54">
        <w:t xml:space="preserve"> – cobranças pelo uso de ativos de longo prazo da entidade, como, por exemplo, de patentes, marcas, direitos autorais e software; </w:t>
      </w:r>
      <w:proofErr w:type="gramStart"/>
      <w:r w:rsidRPr="00181A54">
        <w:t>e</w:t>
      </w:r>
      <w:proofErr w:type="gramEnd"/>
    </w:p>
    <w:p w:rsidR="00390848" w:rsidRPr="00181A54" w:rsidRDefault="00390848" w:rsidP="00390848">
      <w:pPr>
        <w:ind w:left="1211"/>
        <w:jc w:val="both"/>
      </w:pPr>
    </w:p>
    <w:p w:rsidR="00390848" w:rsidRPr="00181A54" w:rsidRDefault="00390848" w:rsidP="007B648E">
      <w:pPr>
        <w:numPr>
          <w:ilvl w:val="0"/>
          <w:numId w:val="4"/>
        </w:numPr>
        <w:jc w:val="both"/>
      </w:pPr>
      <w:r w:rsidRPr="00181A54">
        <w:t>Dividendos ou distribuições similares – distribuições de lucros a detentores de instrumentos patrimoniais na proporção de suas participações em uma classe particular do capital.</w:t>
      </w:r>
    </w:p>
    <w:p w:rsidR="00390848" w:rsidRPr="00181A54" w:rsidRDefault="00390848" w:rsidP="00390848">
      <w:pPr>
        <w:ind w:left="502"/>
        <w:jc w:val="both"/>
      </w:pPr>
    </w:p>
    <w:p w:rsidR="00390848" w:rsidRPr="00181A54" w:rsidRDefault="00390848" w:rsidP="00390848">
      <w:pPr>
        <w:numPr>
          <w:ilvl w:val="0"/>
          <w:numId w:val="2"/>
        </w:numPr>
        <w:jc w:val="both"/>
      </w:pPr>
      <w:r w:rsidRPr="00181A54">
        <w:t xml:space="preserve">Esta norma não trata de receitas decorrentes </w:t>
      </w:r>
      <w:proofErr w:type="gramStart"/>
      <w:r w:rsidRPr="00181A54">
        <w:t>de(</w:t>
      </w:r>
      <w:proofErr w:type="gramEnd"/>
      <w:r w:rsidRPr="00181A54">
        <w:t>o):</w:t>
      </w:r>
    </w:p>
    <w:p w:rsidR="00390848" w:rsidRPr="00181A54" w:rsidRDefault="00390848" w:rsidP="00390848">
      <w:pPr>
        <w:ind w:left="502"/>
        <w:jc w:val="both"/>
      </w:pPr>
    </w:p>
    <w:p w:rsidR="00390848" w:rsidRPr="00181A54" w:rsidRDefault="00390848" w:rsidP="007B648E">
      <w:pPr>
        <w:numPr>
          <w:ilvl w:val="0"/>
          <w:numId w:val="5"/>
        </w:numPr>
        <w:jc w:val="both"/>
      </w:pPr>
      <w:r w:rsidRPr="00181A54">
        <w:t>Contratos de arrendamento mercantil;</w:t>
      </w:r>
    </w:p>
    <w:p w:rsidR="00390848" w:rsidRPr="00181A54" w:rsidRDefault="00390848" w:rsidP="00390848">
      <w:pPr>
        <w:ind w:left="851"/>
        <w:jc w:val="both"/>
      </w:pPr>
    </w:p>
    <w:p w:rsidR="00390848" w:rsidRPr="00181A54" w:rsidRDefault="00390848" w:rsidP="007B648E">
      <w:pPr>
        <w:numPr>
          <w:ilvl w:val="0"/>
          <w:numId w:val="5"/>
        </w:numPr>
        <w:jc w:val="both"/>
      </w:pPr>
      <w:r w:rsidRPr="00181A54">
        <w:t>Dividendos ou distribuições similares provenientes de investimentos contabilizados pelo método da equivalência patrimonial;</w:t>
      </w:r>
    </w:p>
    <w:p w:rsidR="00390848" w:rsidRPr="00181A54" w:rsidRDefault="00390848" w:rsidP="00390848">
      <w:pPr>
        <w:ind w:left="1211"/>
        <w:jc w:val="both"/>
      </w:pPr>
    </w:p>
    <w:p w:rsidR="00390848" w:rsidRPr="00181A54" w:rsidRDefault="00390848" w:rsidP="007B648E">
      <w:pPr>
        <w:numPr>
          <w:ilvl w:val="0"/>
          <w:numId w:val="5"/>
        </w:numPr>
        <w:jc w:val="both"/>
      </w:pPr>
      <w:r w:rsidRPr="00181A54">
        <w:t>Ganhos decorrentes da venda de itens do ativo imobilizado;</w:t>
      </w:r>
    </w:p>
    <w:p w:rsidR="00390848" w:rsidRPr="00181A54" w:rsidRDefault="00390848" w:rsidP="00390848">
      <w:pPr>
        <w:ind w:left="1211"/>
        <w:jc w:val="both"/>
      </w:pPr>
    </w:p>
    <w:p w:rsidR="00390848" w:rsidRPr="00181A54" w:rsidRDefault="00390848" w:rsidP="007B648E">
      <w:pPr>
        <w:numPr>
          <w:ilvl w:val="0"/>
          <w:numId w:val="5"/>
        </w:numPr>
        <w:jc w:val="both"/>
      </w:pPr>
      <w:r w:rsidRPr="00181A54">
        <w:t>Contratos de seguro dentro do escopo de normas contábeis nacionais ou internacionais;</w:t>
      </w:r>
    </w:p>
    <w:p w:rsidR="00390848" w:rsidRPr="00181A54" w:rsidRDefault="00390848" w:rsidP="00390848">
      <w:pPr>
        <w:ind w:left="1211"/>
        <w:jc w:val="both"/>
      </w:pPr>
    </w:p>
    <w:p w:rsidR="00390848" w:rsidRPr="00181A54" w:rsidRDefault="00390848" w:rsidP="007B648E">
      <w:pPr>
        <w:numPr>
          <w:ilvl w:val="0"/>
          <w:numId w:val="5"/>
        </w:numPr>
        <w:jc w:val="both"/>
      </w:pPr>
      <w:r w:rsidRPr="00181A54">
        <w:t>Mudanças no valor justo de ativos e passivos financeiros ou de sua alienação;</w:t>
      </w:r>
    </w:p>
    <w:p w:rsidR="00390848" w:rsidRPr="00181A54" w:rsidRDefault="00390848" w:rsidP="00390848">
      <w:pPr>
        <w:ind w:left="1211"/>
        <w:jc w:val="both"/>
      </w:pPr>
    </w:p>
    <w:p w:rsidR="00390848" w:rsidRPr="00181A54" w:rsidRDefault="00390848" w:rsidP="007B648E">
      <w:pPr>
        <w:numPr>
          <w:ilvl w:val="0"/>
          <w:numId w:val="5"/>
        </w:numPr>
        <w:jc w:val="both"/>
      </w:pPr>
      <w:r w:rsidRPr="00181A54">
        <w:t>Mudanças no valor de outros ativos circulantes;</w:t>
      </w:r>
    </w:p>
    <w:p w:rsidR="00390848" w:rsidRPr="00181A54" w:rsidRDefault="00390848" w:rsidP="00390848">
      <w:pPr>
        <w:ind w:left="1211"/>
        <w:jc w:val="both"/>
      </w:pPr>
    </w:p>
    <w:p w:rsidR="00390848" w:rsidRPr="00181A54" w:rsidRDefault="00390848" w:rsidP="007B648E">
      <w:pPr>
        <w:numPr>
          <w:ilvl w:val="0"/>
          <w:numId w:val="5"/>
        </w:numPr>
        <w:jc w:val="both"/>
      </w:pPr>
      <w:r w:rsidRPr="00181A54">
        <w:t>Reconhecimento inicial, e decorrente de mudanças no valor justo de ativos biológicos relacionados à atividade agrícola;</w:t>
      </w:r>
    </w:p>
    <w:p w:rsidR="00390848" w:rsidRPr="00181A54" w:rsidRDefault="00390848" w:rsidP="00390848">
      <w:pPr>
        <w:ind w:left="1211"/>
        <w:jc w:val="both"/>
      </w:pPr>
    </w:p>
    <w:p w:rsidR="00390848" w:rsidRPr="00181A54" w:rsidRDefault="00390848" w:rsidP="007B648E">
      <w:pPr>
        <w:numPr>
          <w:ilvl w:val="0"/>
          <w:numId w:val="5"/>
        </w:numPr>
        <w:jc w:val="both"/>
      </w:pPr>
      <w:r w:rsidRPr="00181A54">
        <w:t xml:space="preserve">Reconhecimento inicial de produtos agrícolas; </w:t>
      </w:r>
      <w:proofErr w:type="gramStart"/>
      <w:r w:rsidRPr="00181A54">
        <w:t>e</w:t>
      </w:r>
      <w:proofErr w:type="gramEnd"/>
    </w:p>
    <w:p w:rsidR="00390848" w:rsidRPr="00181A54" w:rsidRDefault="00390848" w:rsidP="00390848">
      <w:pPr>
        <w:ind w:left="1211"/>
        <w:jc w:val="both"/>
      </w:pPr>
    </w:p>
    <w:p w:rsidR="00390848" w:rsidRPr="00181A54" w:rsidRDefault="00390848" w:rsidP="007B648E">
      <w:pPr>
        <w:numPr>
          <w:ilvl w:val="0"/>
          <w:numId w:val="5"/>
        </w:numPr>
        <w:jc w:val="both"/>
      </w:pPr>
      <w:r w:rsidRPr="00181A54">
        <w:t>Extração de recursos minerais.</w:t>
      </w:r>
    </w:p>
    <w:p w:rsidR="00390848" w:rsidRPr="00181A54" w:rsidRDefault="00390848" w:rsidP="00390848">
      <w:pPr>
        <w:ind w:left="502"/>
        <w:jc w:val="both"/>
      </w:pPr>
    </w:p>
    <w:p w:rsidR="00390848" w:rsidRPr="00181A54" w:rsidRDefault="00390848" w:rsidP="00390848">
      <w:pPr>
        <w:ind w:left="502"/>
        <w:jc w:val="both"/>
      </w:pPr>
    </w:p>
    <w:p w:rsidR="000A7D72" w:rsidRPr="00181A54" w:rsidRDefault="000A7D72" w:rsidP="000A7D72">
      <w:pPr>
        <w:jc w:val="both"/>
        <w:rPr>
          <w:b/>
        </w:rPr>
      </w:pPr>
      <w:r w:rsidRPr="00181A54">
        <w:rPr>
          <w:b/>
        </w:rPr>
        <w:t>Definições</w:t>
      </w:r>
    </w:p>
    <w:p w:rsidR="000A7D72" w:rsidRPr="00181A54" w:rsidRDefault="000A7D72" w:rsidP="00390848">
      <w:pPr>
        <w:ind w:left="502"/>
        <w:jc w:val="both"/>
      </w:pPr>
    </w:p>
    <w:p w:rsidR="00390848" w:rsidRPr="00181A54" w:rsidRDefault="000A7D72" w:rsidP="000A7D72">
      <w:pPr>
        <w:numPr>
          <w:ilvl w:val="0"/>
          <w:numId w:val="2"/>
        </w:numPr>
        <w:jc w:val="both"/>
        <w:rPr>
          <w:b/>
        </w:rPr>
      </w:pPr>
      <w:r w:rsidRPr="00181A54">
        <w:rPr>
          <w:b/>
        </w:rPr>
        <w:t>Os seguintes termos são usados nesta Norma com os significados abaixo:</w:t>
      </w:r>
    </w:p>
    <w:p w:rsidR="000A7D72" w:rsidRPr="00181A54" w:rsidRDefault="000A7D72" w:rsidP="000A7D72">
      <w:pPr>
        <w:ind w:left="502"/>
        <w:jc w:val="both"/>
      </w:pPr>
    </w:p>
    <w:p w:rsidR="000A7D72" w:rsidRPr="00181A54" w:rsidRDefault="000A7D72" w:rsidP="000A7D72">
      <w:pPr>
        <w:ind w:left="502"/>
        <w:jc w:val="both"/>
        <w:rPr>
          <w:b/>
        </w:rPr>
      </w:pPr>
      <w:r w:rsidRPr="00181A54">
        <w:rPr>
          <w:b/>
          <w:u w:val="single"/>
        </w:rPr>
        <w:t>Transações com contraprestação</w:t>
      </w:r>
      <w:r w:rsidRPr="00181A54">
        <w:rPr>
          <w:b/>
        </w:rPr>
        <w:t xml:space="preserve"> são aquelas em que a entidade recebe </w:t>
      </w:r>
      <w:proofErr w:type="gramStart"/>
      <w:r w:rsidRPr="00181A54">
        <w:rPr>
          <w:b/>
        </w:rPr>
        <w:t>ativos</w:t>
      </w:r>
      <w:proofErr w:type="gramEnd"/>
      <w:r w:rsidRPr="00181A54">
        <w:rPr>
          <w:b/>
        </w:rPr>
        <w:t xml:space="preserve"> ou serviços, ou tem passivos extintos, e diretamente entrega em troca um valor aproximadamente equivalente (prioritariamente sob a forma de mercadorias, serviços ou uso de ativos) à outra parte.</w:t>
      </w:r>
    </w:p>
    <w:p w:rsidR="000A7D72" w:rsidRPr="00181A54" w:rsidRDefault="000A7D72" w:rsidP="000A7D72">
      <w:pPr>
        <w:ind w:left="502"/>
        <w:jc w:val="both"/>
        <w:rPr>
          <w:b/>
        </w:rPr>
      </w:pPr>
    </w:p>
    <w:p w:rsidR="000A7D72" w:rsidRPr="00181A54" w:rsidRDefault="000A7D72" w:rsidP="000A7D72">
      <w:pPr>
        <w:ind w:left="502"/>
        <w:jc w:val="both"/>
        <w:rPr>
          <w:b/>
        </w:rPr>
      </w:pPr>
      <w:r w:rsidRPr="00181A54">
        <w:rPr>
          <w:b/>
          <w:u w:val="single"/>
        </w:rPr>
        <w:t>Valor justo</w:t>
      </w:r>
      <w:r w:rsidRPr="00181A54">
        <w:rPr>
          <w:b/>
        </w:rPr>
        <w:t xml:space="preserve"> é o valor pelo qual um ativo pode ser negociado, ou um passivo liquidado, entre partes conhecedoras e interessadas na transação.</w:t>
      </w:r>
    </w:p>
    <w:p w:rsidR="000A7D72" w:rsidRPr="00181A54" w:rsidRDefault="000A7D72" w:rsidP="000A7D72">
      <w:pPr>
        <w:ind w:left="502"/>
        <w:jc w:val="both"/>
        <w:rPr>
          <w:b/>
        </w:rPr>
      </w:pPr>
    </w:p>
    <w:p w:rsidR="000A7D72" w:rsidRPr="00181A54" w:rsidRDefault="000A7D72" w:rsidP="000A7D72">
      <w:pPr>
        <w:ind w:left="502"/>
        <w:jc w:val="both"/>
        <w:rPr>
          <w:b/>
        </w:rPr>
      </w:pPr>
      <w:r w:rsidRPr="00181A54">
        <w:rPr>
          <w:b/>
          <w:u w:val="single"/>
        </w:rPr>
        <w:t>Transações sem contraprestação</w:t>
      </w:r>
      <w:r w:rsidRPr="00181A54">
        <w:rPr>
          <w:b/>
        </w:rPr>
        <w:t xml:space="preserve"> são aquelas não oriundas de trocas. Em uma transação sem contraprestação, uma entidade recebe um valor de um terceiro sem diretamente entregar em troca valor aproximadamente igual, ou entrega um valor </w:t>
      </w:r>
      <w:proofErr w:type="gramStart"/>
      <w:r w:rsidRPr="00181A54">
        <w:rPr>
          <w:b/>
        </w:rPr>
        <w:t>a</w:t>
      </w:r>
      <w:proofErr w:type="gramEnd"/>
      <w:r w:rsidRPr="00181A54">
        <w:rPr>
          <w:b/>
        </w:rPr>
        <w:t xml:space="preserve"> outra entidade sem diretamente receber valor aproximadamente igual em troca.</w:t>
      </w:r>
    </w:p>
    <w:p w:rsidR="000A7D72" w:rsidRPr="00181A54" w:rsidRDefault="000A7D72" w:rsidP="000A7D72">
      <w:pPr>
        <w:jc w:val="both"/>
      </w:pPr>
    </w:p>
    <w:p w:rsidR="000A7D72" w:rsidRPr="00181A54" w:rsidRDefault="000A7D72" w:rsidP="000A7D72">
      <w:pPr>
        <w:jc w:val="both"/>
      </w:pPr>
    </w:p>
    <w:p w:rsidR="000A7D72" w:rsidRPr="00181A54" w:rsidRDefault="000A7D72" w:rsidP="000A7D72">
      <w:pPr>
        <w:jc w:val="both"/>
        <w:rPr>
          <w:b/>
        </w:rPr>
      </w:pPr>
      <w:r w:rsidRPr="00181A54">
        <w:rPr>
          <w:b/>
        </w:rPr>
        <w:t>Receita</w:t>
      </w:r>
    </w:p>
    <w:p w:rsidR="000A7D72" w:rsidRPr="00181A54" w:rsidRDefault="000A7D72" w:rsidP="000A7D72">
      <w:pPr>
        <w:jc w:val="both"/>
      </w:pPr>
    </w:p>
    <w:p w:rsidR="000A7D72" w:rsidRPr="00181A54" w:rsidRDefault="000A7D72" w:rsidP="000A7D72">
      <w:pPr>
        <w:numPr>
          <w:ilvl w:val="0"/>
          <w:numId w:val="2"/>
        </w:numPr>
        <w:jc w:val="both"/>
      </w:pPr>
      <w:r w:rsidRPr="00181A54">
        <w:t xml:space="preserve">Receitas compreendem apenas os valores brutos de benefícios </w:t>
      </w:r>
      <w:proofErr w:type="gramStart"/>
      <w:r w:rsidRPr="00181A54">
        <w:t>econômicos ou potencial de serviços recebidos</w:t>
      </w:r>
      <w:proofErr w:type="gramEnd"/>
      <w:r w:rsidRPr="00181A54">
        <w:t xml:space="preserve"> ou a receber pela entidade em decorrência de suas próprias atividades. Valores cobrados na condição de agentes de governo, outra entidade governamental ou ainda em nome de terceiros - por exemplo, o recebimento de tarifas de telefone e eletricidade pelos correios em nome de outras entidades que prestem estes serviços - não são benefícios </w:t>
      </w:r>
      <w:proofErr w:type="gramStart"/>
      <w:r w:rsidRPr="00181A54">
        <w:t>econômicos ou potencial de serviços que fluam para a entidade</w:t>
      </w:r>
      <w:proofErr w:type="gramEnd"/>
      <w:r w:rsidRPr="00181A54">
        <w:t>, e não resultam em aumentos de ativos ou redução de passivos. Assim, são excluídos das receitas.</w:t>
      </w:r>
    </w:p>
    <w:p w:rsidR="000A7D72" w:rsidRPr="00181A54" w:rsidRDefault="000A7D72" w:rsidP="000A7D72">
      <w:pPr>
        <w:ind w:left="502"/>
        <w:jc w:val="both"/>
      </w:pPr>
    </w:p>
    <w:p w:rsidR="000A7D72" w:rsidRPr="00181A54" w:rsidRDefault="000A7D72" w:rsidP="000A7D72">
      <w:pPr>
        <w:numPr>
          <w:ilvl w:val="0"/>
          <w:numId w:val="2"/>
        </w:numPr>
        <w:jc w:val="both"/>
      </w:pPr>
      <w:r w:rsidRPr="00181A54">
        <w:t>Fluxos de financiamentos, notadamente empréstimos, não atendem a definição de receita porque eles a) resultam de igual variação tanto em ativos quanto passivos, e b) não têm impacto no patrimônio líquido. Fluxos de financiamento são levados diretamente ao balanço patrimonial e adicionados aos saldos de ativos e passivos. Assim, não transitam pela demonstração do resultado do exercício.</w:t>
      </w:r>
    </w:p>
    <w:p w:rsidR="000A7D72" w:rsidRPr="00181A54" w:rsidRDefault="000A7D72" w:rsidP="000A7D72">
      <w:pPr>
        <w:ind w:left="142"/>
        <w:jc w:val="both"/>
      </w:pPr>
    </w:p>
    <w:p w:rsidR="000A7D72" w:rsidRPr="00181A54" w:rsidRDefault="000A7D72" w:rsidP="000A7D72">
      <w:pPr>
        <w:ind w:left="142"/>
        <w:jc w:val="both"/>
      </w:pPr>
    </w:p>
    <w:p w:rsidR="000A7D72" w:rsidRPr="00181A54" w:rsidRDefault="000A7D72" w:rsidP="000A7D72">
      <w:pPr>
        <w:ind w:left="142"/>
        <w:jc w:val="both"/>
        <w:rPr>
          <w:b/>
        </w:rPr>
      </w:pPr>
      <w:r w:rsidRPr="00181A54">
        <w:rPr>
          <w:b/>
        </w:rPr>
        <w:t>Mensuração d</w:t>
      </w:r>
      <w:r w:rsidR="002D6A45" w:rsidRPr="00181A54">
        <w:rPr>
          <w:b/>
        </w:rPr>
        <w:t>a receita</w:t>
      </w:r>
    </w:p>
    <w:p w:rsidR="000A7D72" w:rsidRPr="00181A54" w:rsidRDefault="000A7D72" w:rsidP="000A7D72">
      <w:pPr>
        <w:ind w:left="142"/>
        <w:jc w:val="both"/>
      </w:pPr>
    </w:p>
    <w:p w:rsidR="000A7D72" w:rsidRPr="00181A54" w:rsidRDefault="000A7D72" w:rsidP="000A7D72">
      <w:pPr>
        <w:numPr>
          <w:ilvl w:val="0"/>
          <w:numId w:val="2"/>
        </w:numPr>
        <w:jc w:val="both"/>
        <w:rPr>
          <w:b/>
        </w:rPr>
      </w:pPr>
      <w:r w:rsidRPr="00181A54">
        <w:rPr>
          <w:b/>
        </w:rPr>
        <w:t>As receitas devem ser mensuradas pelo valor justo da contraprestação recebida ou a receber.</w:t>
      </w:r>
    </w:p>
    <w:p w:rsidR="000A7D72" w:rsidRPr="00181A54" w:rsidRDefault="000A7D72" w:rsidP="000A7D72">
      <w:pPr>
        <w:ind w:left="502"/>
        <w:jc w:val="both"/>
      </w:pPr>
    </w:p>
    <w:p w:rsidR="000A7D72" w:rsidRPr="00181A54" w:rsidRDefault="000A7D72" w:rsidP="000A7D72">
      <w:pPr>
        <w:numPr>
          <w:ilvl w:val="0"/>
          <w:numId w:val="2"/>
        </w:numPr>
        <w:jc w:val="both"/>
      </w:pPr>
      <w:r w:rsidRPr="00181A54">
        <w:t xml:space="preserve">O valor da receita proveniente de uma transação é usualmente determinado por um acordo junto ao comprador ou usuário do ativo ou serviço. É mensurado pelo valor justo da contraprestação recebida ou a receber, levando em consideração quaisquer descontos comerciais e/ou </w:t>
      </w:r>
      <w:proofErr w:type="gramStart"/>
      <w:r w:rsidRPr="00181A54">
        <w:t>bonificações concedidos pela entidade</w:t>
      </w:r>
      <w:proofErr w:type="gramEnd"/>
      <w:r w:rsidRPr="00181A54">
        <w:t>.</w:t>
      </w:r>
    </w:p>
    <w:p w:rsidR="000A7D72" w:rsidRPr="00181A54" w:rsidRDefault="000A7D72" w:rsidP="000A7D72">
      <w:pPr>
        <w:ind w:left="502"/>
        <w:jc w:val="both"/>
      </w:pPr>
    </w:p>
    <w:p w:rsidR="000A7D72" w:rsidRPr="00181A54" w:rsidRDefault="000A7D72" w:rsidP="000A7D72">
      <w:pPr>
        <w:numPr>
          <w:ilvl w:val="0"/>
          <w:numId w:val="2"/>
        </w:numPr>
        <w:jc w:val="both"/>
      </w:pPr>
      <w:r w:rsidRPr="00181A54">
        <w:t xml:space="preserve">Na maior parte dos casos, a contraprestação é feita na forma de caixa ou equivalentes de caixa, e o montante da receita corresponde ao montante de caixa ou equivalentes de caixa recebidos ou a receber. Entretanto, quando a entrada de caixa ou equivalentes de caixa for diferida, a valor justo da contraprestação pode ser menor que o valor nominal de caixa recebido ou a receber. Por exemplo, uma entidade pode conceder ao cliente um crédito isento de juros ou mesmo com taxas de juros inferiores às de mercado. Quando o acordo constituir uma </w:t>
      </w:r>
      <w:r w:rsidRPr="00181A54">
        <w:lastRenderedPageBreak/>
        <w:t>transação financeira, o valor justo da contraprestação é determinado a valor presente, descontando todos os futuros recebimentos tendo como base uma taxa de juros de desconto. A taxa de desconto é mais claramente determinável entre:</w:t>
      </w:r>
    </w:p>
    <w:p w:rsidR="000A7D72" w:rsidRPr="00181A54" w:rsidRDefault="000A7D72" w:rsidP="000A7D72">
      <w:pPr>
        <w:ind w:left="502"/>
        <w:jc w:val="both"/>
      </w:pPr>
    </w:p>
    <w:p w:rsidR="000A7D72" w:rsidRPr="00181A54" w:rsidRDefault="000A7D72" w:rsidP="007B648E">
      <w:pPr>
        <w:numPr>
          <w:ilvl w:val="0"/>
          <w:numId w:val="6"/>
        </w:numPr>
        <w:jc w:val="both"/>
      </w:pPr>
      <w:r w:rsidRPr="00181A54">
        <w:t>A taxa existente para um caso similar, de um emissor com uma classificação (rating) semelhante;</w:t>
      </w:r>
    </w:p>
    <w:p w:rsidR="000A7D72" w:rsidRPr="00181A54" w:rsidRDefault="000A7D72" w:rsidP="000A7D72">
      <w:pPr>
        <w:ind w:left="1211"/>
        <w:jc w:val="both"/>
      </w:pPr>
    </w:p>
    <w:p w:rsidR="000A7D72" w:rsidRPr="00181A54" w:rsidRDefault="000A7D72" w:rsidP="007B648E">
      <w:pPr>
        <w:numPr>
          <w:ilvl w:val="0"/>
          <w:numId w:val="6"/>
        </w:numPr>
        <w:jc w:val="both"/>
      </w:pPr>
      <w:r w:rsidRPr="00181A54">
        <w:t>A taxa de juros que desconte o valor nominal para o preço de venda à vista da mercadoria e/ou serviço.</w:t>
      </w:r>
    </w:p>
    <w:p w:rsidR="000A7D72" w:rsidRPr="00181A54" w:rsidRDefault="000A7D72" w:rsidP="000A7D72">
      <w:pPr>
        <w:ind w:left="502"/>
        <w:jc w:val="both"/>
      </w:pPr>
    </w:p>
    <w:p w:rsidR="000A7D72" w:rsidRPr="00181A54" w:rsidRDefault="000A7D72" w:rsidP="000A7D72">
      <w:pPr>
        <w:ind w:left="502"/>
        <w:jc w:val="both"/>
      </w:pPr>
      <w:r w:rsidRPr="00181A54">
        <w:t>A diferença entre o valor justo e o valor nominal é reconhecida como receita de juros de acordo com os parágrafos 33 e 34.</w:t>
      </w:r>
    </w:p>
    <w:p w:rsidR="000A7D72" w:rsidRPr="00181A54" w:rsidRDefault="000A7D72" w:rsidP="000A7D72">
      <w:pPr>
        <w:jc w:val="both"/>
      </w:pPr>
    </w:p>
    <w:p w:rsidR="000A7D72" w:rsidRPr="00181A54" w:rsidRDefault="000A7D72" w:rsidP="000A7D72">
      <w:pPr>
        <w:numPr>
          <w:ilvl w:val="0"/>
          <w:numId w:val="2"/>
        </w:numPr>
        <w:jc w:val="both"/>
      </w:pPr>
      <w:r w:rsidRPr="00181A54">
        <w:t xml:space="preserve">Quando mercadorias ou serviços forem permutados por outras mercadorias ou serviços que tenham valor e natureza similar, a troca não é considerada como uma transação que gera receita. Exemplo corresponde ao caso de </w:t>
      </w:r>
      <w:r w:rsidRPr="00181A54">
        <w:rPr>
          <w:i/>
        </w:rPr>
        <w:t>commodities</w:t>
      </w:r>
      <w:r w:rsidRPr="00181A54">
        <w:t xml:space="preserve"> como petróleo ou leite, em que os fornecedores trocam estoques em vários locais para atender tempestivamente demanda em um determinado lugar.  Quando as mercadorias ou serviços forem </w:t>
      </w:r>
      <w:proofErr w:type="gramStart"/>
      <w:r w:rsidRPr="00181A54">
        <w:t>vendidas ou trocados por mercadorias ou serviços não similares</w:t>
      </w:r>
      <w:proofErr w:type="gramEnd"/>
      <w:r w:rsidRPr="00181A54">
        <w:t>, a troca é reconhecida como uma transação que gera receita. Nestes casos, a receita é mensurada pelo valor justo das mercadorias ou serviços recebidos, ajustada pela quantia transferida em caixa ou equivalente de caixa. Quando o valor justo das mercadorias ou serviços recebidos não puder ser mensurado confiavelmente, a receita é mensurada pelo valor justo das mercadorias ou serviços entregues, ajustados pelo montante transferido em caixa ou equivalente de caixa.</w:t>
      </w:r>
    </w:p>
    <w:p w:rsidR="000A7D72" w:rsidRPr="00181A54" w:rsidRDefault="000A7D72" w:rsidP="000A7D72">
      <w:pPr>
        <w:ind w:left="502"/>
        <w:jc w:val="both"/>
      </w:pPr>
    </w:p>
    <w:p w:rsidR="000A7D72" w:rsidRPr="00181A54" w:rsidRDefault="000A7D72" w:rsidP="000A7D72">
      <w:pPr>
        <w:jc w:val="both"/>
      </w:pPr>
    </w:p>
    <w:p w:rsidR="000A7D72" w:rsidRPr="00181A54" w:rsidRDefault="000A7D72" w:rsidP="000A7D72">
      <w:pPr>
        <w:jc w:val="both"/>
        <w:rPr>
          <w:b/>
        </w:rPr>
      </w:pPr>
      <w:r w:rsidRPr="00181A54">
        <w:rPr>
          <w:b/>
        </w:rPr>
        <w:t>Identificação da Transação</w:t>
      </w:r>
    </w:p>
    <w:p w:rsidR="000A7D72" w:rsidRPr="00181A54" w:rsidRDefault="000A7D72" w:rsidP="000A7D72">
      <w:pPr>
        <w:ind w:left="502"/>
        <w:jc w:val="both"/>
      </w:pPr>
    </w:p>
    <w:p w:rsidR="000A7D72" w:rsidRPr="00181A54" w:rsidRDefault="000A7D72" w:rsidP="000A7D72">
      <w:pPr>
        <w:numPr>
          <w:ilvl w:val="0"/>
          <w:numId w:val="2"/>
        </w:numPr>
        <w:jc w:val="both"/>
      </w:pPr>
      <w:r w:rsidRPr="00181A54">
        <w:t>Os critérios de reconhecimento nesta Norma são em geral aplicados separadamente em cada transação. Entretanto, em certas circunstâncias é necessário aplicar o critério de reconhecimento aos componentes separadamente identificáveis de uma única transação de modo a refletir a essência da transação. Por exemplo, quando o preço de um produto incluir um valor identificável para serviços subsequentes, este valor é diferido e reconhecido como receita no exercício em que o serviço for executado. Por outro lado, os critérios de reconhecimento são aplicados em conjunto a duas ou mais transações quando elas forem ligadas de um modo tal que seu efeito não possa ser compreendido sem estar relacionado às transações como um todo. Por exemplo, uma entidade pode vender mercadorias e, ao mesmo tempo, realizar um acordo em separado para recomprar as mercadorias posteriormente, invalidando assim a essência da transação. Nestes casos, as duas transações são tratadas conjuntamente.</w:t>
      </w:r>
    </w:p>
    <w:p w:rsidR="000A7D72" w:rsidRPr="00181A54" w:rsidRDefault="000A7D72" w:rsidP="000A7D72">
      <w:pPr>
        <w:ind w:left="142"/>
        <w:jc w:val="both"/>
      </w:pPr>
    </w:p>
    <w:p w:rsidR="000A7D72" w:rsidRPr="00181A54" w:rsidRDefault="000A7D72" w:rsidP="000A7D72">
      <w:pPr>
        <w:ind w:left="142"/>
        <w:jc w:val="both"/>
      </w:pPr>
    </w:p>
    <w:p w:rsidR="000A7D72" w:rsidRPr="00181A54" w:rsidRDefault="000A7D72" w:rsidP="000A7D72">
      <w:pPr>
        <w:ind w:left="142"/>
        <w:jc w:val="both"/>
        <w:rPr>
          <w:b/>
        </w:rPr>
      </w:pPr>
      <w:r w:rsidRPr="00181A54">
        <w:rPr>
          <w:b/>
        </w:rPr>
        <w:t>Prestação de Serviços</w:t>
      </w:r>
    </w:p>
    <w:p w:rsidR="000A7D72" w:rsidRPr="00181A54" w:rsidRDefault="000A7D72" w:rsidP="000A7D72">
      <w:pPr>
        <w:ind w:left="142"/>
        <w:jc w:val="both"/>
      </w:pPr>
    </w:p>
    <w:p w:rsidR="000A7D72" w:rsidRPr="00181A54" w:rsidRDefault="000A7D72" w:rsidP="000A7D72">
      <w:pPr>
        <w:numPr>
          <w:ilvl w:val="0"/>
          <w:numId w:val="2"/>
        </w:numPr>
        <w:jc w:val="both"/>
        <w:rPr>
          <w:b/>
        </w:rPr>
      </w:pPr>
      <w:r w:rsidRPr="00181A54">
        <w:rPr>
          <w:b/>
        </w:rPr>
        <w:t>Quando os resultados de uma transação envolvendo a prestação de serviços puderem ser mensurados confiavelmente, a receita associada à transação deve ser reconhecida tomando por base a proporção dos serviços prestados até a data de apresentação das Demonstrações Contábeis. O resultado de uma transação pode ser estimado confiavelmente quando todas as seguintes condições forem satisfeitas:</w:t>
      </w:r>
    </w:p>
    <w:p w:rsidR="000A7D72" w:rsidRPr="00181A54" w:rsidRDefault="000A7D72" w:rsidP="000A7D72">
      <w:pPr>
        <w:ind w:left="502"/>
        <w:jc w:val="both"/>
        <w:rPr>
          <w:b/>
        </w:rPr>
      </w:pPr>
    </w:p>
    <w:p w:rsidR="000A7D72" w:rsidRPr="00181A54" w:rsidRDefault="000A7D72" w:rsidP="007B648E">
      <w:pPr>
        <w:numPr>
          <w:ilvl w:val="0"/>
          <w:numId w:val="7"/>
        </w:numPr>
        <w:jc w:val="both"/>
        <w:rPr>
          <w:b/>
        </w:rPr>
      </w:pPr>
      <w:r w:rsidRPr="00181A54">
        <w:rPr>
          <w:b/>
        </w:rPr>
        <w:t>O montante da receita puder ser mensurado confiavelmente;</w:t>
      </w:r>
    </w:p>
    <w:p w:rsidR="000A7D72" w:rsidRPr="00181A54" w:rsidRDefault="000A7D72" w:rsidP="000A7D72">
      <w:pPr>
        <w:ind w:left="1211"/>
        <w:jc w:val="both"/>
        <w:rPr>
          <w:b/>
        </w:rPr>
      </w:pPr>
    </w:p>
    <w:p w:rsidR="000A7D72" w:rsidRPr="00181A54" w:rsidRDefault="000A7D72" w:rsidP="007B648E">
      <w:pPr>
        <w:numPr>
          <w:ilvl w:val="0"/>
          <w:numId w:val="7"/>
        </w:numPr>
        <w:jc w:val="both"/>
        <w:rPr>
          <w:b/>
        </w:rPr>
      </w:pPr>
      <w:r w:rsidRPr="00181A54">
        <w:rPr>
          <w:b/>
        </w:rPr>
        <w:lastRenderedPageBreak/>
        <w:t xml:space="preserve">For provável que os benefícios </w:t>
      </w:r>
      <w:proofErr w:type="gramStart"/>
      <w:r w:rsidRPr="00181A54">
        <w:rPr>
          <w:b/>
        </w:rPr>
        <w:t>econômicos ou potencial de serviços associados</w:t>
      </w:r>
      <w:proofErr w:type="gramEnd"/>
      <w:r w:rsidRPr="00181A54">
        <w:rPr>
          <w:b/>
        </w:rPr>
        <w:t xml:space="preserve"> à transação fluirão para a entidade;</w:t>
      </w:r>
    </w:p>
    <w:p w:rsidR="000A7D72" w:rsidRPr="00181A54" w:rsidRDefault="000A7D72" w:rsidP="000A7D72">
      <w:pPr>
        <w:ind w:left="1211"/>
        <w:jc w:val="both"/>
        <w:rPr>
          <w:b/>
        </w:rPr>
      </w:pPr>
    </w:p>
    <w:p w:rsidR="000A7D72" w:rsidRPr="00181A54" w:rsidRDefault="000A7D72" w:rsidP="007B648E">
      <w:pPr>
        <w:numPr>
          <w:ilvl w:val="0"/>
          <w:numId w:val="7"/>
        </w:numPr>
        <w:jc w:val="both"/>
        <w:rPr>
          <w:b/>
        </w:rPr>
      </w:pPr>
      <w:r w:rsidRPr="00181A54">
        <w:rPr>
          <w:b/>
        </w:rPr>
        <w:t xml:space="preserve">A proporção dos serviços já executados à data de apresentação das Demonstrações Contábeis pode ser mensurada confiavelmente; </w:t>
      </w:r>
      <w:proofErr w:type="gramStart"/>
      <w:r w:rsidRPr="00181A54">
        <w:rPr>
          <w:b/>
        </w:rPr>
        <w:t>e</w:t>
      </w:r>
      <w:proofErr w:type="gramEnd"/>
    </w:p>
    <w:p w:rsidR="000A7D72" w:rsidRPr="00181A54" w:rsidRDefault="000A7D72" w:rsidP="000A7D72">
      <w:pPr>
        <w:ind w:left="1211"/>
        <w:jc w:val="both"/>
        <w:rPr>
          <w:b/>
        </w:rPr>
      </w:pPr>
    </w:p>
    <w:p w:rsidR="000A7D72" w:rsidRPr="00181A54" w:rsidRDefault="000A7D72" w:rsidP="007B648E">
      <w:pPr>
        <w:numPr>
          <w:ilvl w:val="0"/>
          <w:numId w:val="7"/>
        </w:numPr>
        <w:jc w:val="both"/>
        <w:rPr>
          <w:b/>
        </w:rPr>
      </w:pPr>
      <w:r w:rsidRPr="00181A54">
        <w:rPr>
          <w:b/>
        </w:rPr>
        <w:t>Os custos incorridos na transação e os custos para concluir a transação puderem ser mensurados confiavelmente.</w:t>
      </w:r>
    </w:p>
    <w:p w:rsidR="000A7D72" w:rsidRPr="00181A54" w:rsidRDefault="000A7D72" w:rsidP="000A7D72">
      <w:pPr>
        <w:ind w:left="502"/>
        <w:jc w:val="both"/>
      </w:pPr>
    </w:p>
    <w:p w:rsidR="000A7D72" w:rsidRPr="00181A54" w:rsidRDefault="000A7D72" w:rsidP="000A7D72">
      <w:pPr>
        <w:numPr>
          <w:ilvl w:val="0"/>
          <w:numId w:val="2"/>
        </w:numPr>
        <w:jc w:val="both"/>
      </w:pPr>
      <w:r w:rsidRPr="00181A54">
        <w:t xml:space="preserve">O reconhecimento de receita referente à proporção da conclusão de uma transação é usualmente denominado de método da percentagem de execução. Conforme este método, a receita é reconhecida nos exercícios contábeis nas quais os serviços forem prestados. Por exemplo, uma entidade que presta serviços de avaliação patrimonial deve reconhecer as receitas </w:t>
      </w:r>
      <w:proofErr w:type="gramStart"/>
      <w:r w:rsidRPr="00181A54">
        <w:t>à medida em que</w:t>
      </w:r>
      <w:proofErr w:type="gramEnd"/>
      <w:r w:rsidRPr="00181A54">
        <w:t xml:space="preserve"> as avaliações individuais forem sendo realizadas. O reconhecimento de receita nesta base fornece informação útil acerca da extensão e desempenho da atividade durante um exercício.</w:t>
      </w:r>
    </w:p>
    <w:p w:rsidR="000A7D72" w:rsidRPr="00181A54" w:rsidRDefault="000A7D72" w:rsidP="000A7D72">
      <w:pPr>
        <w:ind w:left="502"/>
        <w:jc w:val="both"/>
      </w:pPr>
    </w:p>
    <w:p w:rsidR="000A7D72" w:rsidRPr="00181A54" w:rsidRDefault="000A7D72" w:rsidP="000A7D72">
      <w:pPr>
        <w:numPr>
          <w:ilvl w:val="0"/>
          <w:numId w:val="2"/>
        </w:numPr>
        <w:jc w:val="both"/>
      </w:pPr>
      <w:r w:rsidRPr="00181A54">
        <w:t xml:space="preserve">A receita é reconhecida apenas quando for provável que os benefícios </w:t>
      </w:r>
      <w:proofErr w:type="gramStart"/>
      <w:r w:rsidRPr="00181A54">
        <w:t>econômicos ou potencial de serviços associados</w:t>
      </w:r>
      <w:proofErr w:type="gramEnd"/>
      <w:r w:rsidRPr="00181A54">
        <w:t xml:space="preserve"> à transação fluirão para a entidade. Entretanto, quando surgir alguma incerteza acerca do valor considerado como receita, a parcela não recebida, ou a parcela para a qual o recebimento tenha deixado de ser provável, é reconhecida como uma despesa ao invés de um ajuste no valor da receita originalmente reconhecida.</w:t>
      </w:r>
    </w:p>
    <w:p w:rsidR="000A7D72" w:rsidRPr="00181A54" w:rsidRDefault="000A7D72" w:rsidP="000A7D72">
      <w:pPr>
        <w:ind w:left="502"/>
        <w:jc w:val="both"/>
      </w:pPr>
    </w:p>
    <w:p w:rsidR="000A7D72" w:rsidRPr="00181A54" w:rsidRDefault="000A7D72" w:rsidP="000A7D72">
      <w:pPr>
        <w:numPr>
          <w:ilvl w:val="0"/>
          <w:numId w:val="2"/>
        </w:numPr>
        <w:jc w:val="both"/>
      </w:pPr>
      <w:r w:rsidRPr="00181A54">
        <w:t>Uma entidade é geralmente capaz de realizar estimativas confiáveis após ter feito acordo com as demais partes da transação observando os seguintes pontos:</w:t>
      </w:r>
    </w:p>
    <w:p w:rsidR="000A7D72" w:rsidRPr="00181A54" w:rsidRDefault="000A7D72" w:rsidP="000A7D72">
      <w:pPr>
        <w:ind w:left="502"/>
        <w:jc w:val="both"/>
      </w:pPr>
    </w:p>
    <w:p w:rsidR="000A7D72" w:rsidRPr="00181A54" w:rsidRDefault="000A7D72" w:rsidP="007B648E">
      <w:pPr>
        <w:numPr>
          <w:ilvl w:val="0"/>
          <w:numId w:val="8"/>
        </w:numPr>
        <w:jc w:val="both"/>
      </w:pPr>
      <w:r w:rsidRPr="00181A54">
        <w:t>Os direitos que cada parte da transação está apta a receber, relacionados aos serviços a serem prestados e recebidos por cada um;</w:t>
      </w:r>
    </w:p>
    <w:p w:rsidR="000A7D72" w:rsidRPr="00181A54" w:rsidRDefault="000A7D72" w:rsidP="000A7D72">
      <w:pPr>
        <w:ind w:left="1211"/>
        <w:jc w:val="both"/>
      </w:pPr>
    </w:p>
    <w:p w:rsidR="000A7D72" w:rsidRPr="00181A54" w:rsidRDefault="000A7D72" w:rsidP="007B648E">
      <w:pPr>
        <w:numPr>
          <w:ilvl w:val="0"/>
          <w:numId w:val="8"/>
        </w:numPr>
        <w:jc w:val="both"/>
      </w:pPr>
      <w:r w:rsidRPr="00181A54">
        <w:t xml:space="preserve">A contraprestação a ser trocada; </w:t>
      </w:r>
      <w:proofErr w:type="gramStart"/>
      <w:r w:rsidRPr="00181A54">
        <w:t>e</w:t>
      </w:r>
      <w:proofErr w:type="gramEnd"/>
    </w:p>
    <w:p w:rsidR="000A7D72" w:rsidRPr="00181A54" w:rsidRDefault="000A7D72" w:rsidP="000A7D72">
      <w:pPr>
        <w:ind w:left="1211"/>
        <w:jc w:val="both"/>
      </w:pPr>
    </w:p>
    <w:p w:rsidR="000A7D72" w:rsidRPr="00181A54" w:rsidRDefault="000A7D72" w:rsidP="007B648E">
      <w:pPr>
        <w:numPr>
          <w:ilvl w:val="0"/>
          <w:numId w:val="8"/>
        </w:numPr>
        <w:jc w:val="both"/>
      </w:pPr>
      <w:r w:rsidRPr="00181A54">
        <w:t>O modo e termos da liquidação da operação.</w:t>
      </w:r>
    </w:p>
    <w:p w:rsidR="000A7D72" w:rsidRPr="00181A54" w:rsidRDefault="000A7D72" w:rsidP="000A7D72">
      <w:pPr>
        <w:ind w:left="502"/>
        <w:jc w:val="both"/>
      </w:pPr>
    </w:p>
    <w:p w:rsidR="000A7D72" w:rsidRPr="00181A54" w:rsidRDefault="000A7D72" w:rsidP="000A7D72">
      <w:pPr>
        <w:ind w:left="502"/>
        <w:jc w:val="both"/>
      </w:pPr>
      <w:r w:rsidRPr="00181A54">
        <w:t>É também importante que a entidade tenha um sistema interno eficaz de orçamento e de relatórios financeiros. Tomando ambos por base, a entidade poderá revisar e, quando necessário, alterar as estimativas de receita à medida que os serviços estão sendo executados. A necessidade de tais revisões não é indício de que o desfecho da transação não possa ser estimado confiavelmente.</w:t>
      </w:r>
    </w:p>
    <w:p w:rsidR="000A7D72" w:rsidRPr="00181A54" w:rsidRDefault="000A7D72" w:rsidP="000A7D72">
      <w:pPr>
        <w:ind w:left="502"/>
        <w:jc w:val="both"/>
      </w:pPr>
    </w:p>
    <w:p w:rsidR="000A7D72" w:rsidRPr="00181A54" w:rsidRDefault="000A7D72" w:rsidP="000A7D72">
      <w:pPr>
        <w:numPr>
          <w:ilvl w:val="0"/>
          <w:numId w:val="2"/>
        </w:numPr>
        <w:jc w:val="both"/>
      </w:pPr>
      <w:r w:rsidRPr="00181A54">
        <w:t>O percentual de conclusão de uma transação pode ser determinado de diversas formas. A entidade deve usar o método que mensure confiavelmente os serviços prestados. Dependendo da natureza da transação, estes métodos podem incluir:</w:t>
      </w:r>
    </w:p>
    <w:p w:rsidR="000A7D72" w:rsidRPr="00181A54" w:rsidRDefault="000A7D72" w:rsidP="000A7D72">
      <w:pPr>
        <w:ind w:left="502"/>
        <w:jc w:val="both"/>
      </w:pPr>
    </w:p>
    <w:p w:rsidR="000A7D72" w:rsidRPr="00181A54" w:rsidRDefault="000A7D72" w:rsidP="007B648E">
      <w:pPr>
        <w:numPr>
          <w:ilvl w:val="0"/>
          <w:numId w:val="9"/>
        </w:numPr>
        <w:jc w:val="both"/>
      </w:pPr>
      <w:r w:rsidRPr="00181A54">
        <w:t>Levantamentos ou medições do trabalho executado;</w:t>
      </w:r>
    </w:p>
    <w:p w:rsidR="000A7D72" w:rsidRPr="00181A54" w:rsidRDefault="000A7D72" w:rsidP="000A7D72">
      <w:pPr>
        <w:ind w:left="1211"/>
        <w:jc w:val="both"/>
      </w:pPr>
    </w:p>
    <w:p w:rsidR="000A7D72" w:rsidRPr="00181A54" w:rsidRDefault="000A7D72" w:rsidP="007B648E">
      <w:pPr>
        <w:numPr>
          <w:ilvl w:val="0"/>
          <w:numId w:val="9"/>
        </w:numPr>
        <w:jc w:val="both"/>
      </w:pPr>
      <w:r w:rsidRPr="00181A54">
        <w:t xml:space="preserve">Serviços executados até a data, apresentados como um percentual dos serviços a serem executados; </w:t>
      </w:r>
      <w:proofErr w:type="gramStart"/>
      <w:r w:rsidRPr="00181A54">
        <w:t>ou</w:t>
      </w:r>
      <w:proofErr w:type="gramEnd"/>
    </w:p>
    <w:p w:rsidR="000A7D72" w:rsidRPr="00181A54" w:rsidRDefault="000A7D72" w:rsidP="000A7D72">
      <w:pPr>
        <w:ind w:left="1211"/>
        <w:jc w:val="both"/>
      </w:pPr>
    </w:p>
    <w:p w:rsidR="000A7D72" w:rsidRPr="00181A54" w:rsidRDefault="000A7D72" w:rsidP="007B648E">
      <w:pPr>
        <w:numPr>
          <w:ilvl w:val="0"/>
          <w:numId w:val="9"/>
        </w:numPr>
        <w:jc w:val="both"/>
      </w:pPr>
      <w:r w:rsidRPr="00181A54">
        <w:t xml:space="preserve">A proporção dos custos incorridos até a data comparativamente aos custos totais estimados da transação. Somente custos que reflitam os serviços executados até a data são incluídos nos custos incorridos. Da mesma forma, somente os custos que reflitam </w:t>
      </w:r>
      <w:r w:rsidRPr="00181A54">
        <w:lastRenderedPageBreak/>
        <w:t>os serviços executados ou a serem executados devem ser incluídos nos custos totais estimados da transação.</w:t>
      </w:r>
    </w:p>
    <w:p w:rsidR="000A7D72" w:rsidRPr="00181A54" w:rsidRDefault="000A7D72" w:rsidP="000A7D72">
      <w:pPr>
        <w:ind w:left="502"/>
        <w:jc w:val="both"/>
      </w:pPr>
    </w:p>
    <w:p w:rsidR="000A7D72" w:rsidRPr="00181A54" w:rsidRDefault="000A7D72" w:rsidP="000A7D72">
      <w:pPr>
        <w:numPr>
          <w:ilvl w:val="0"/>
          <w:numId w:val="2"/>
        </w:numPr>
        <w:jc w:val="both"/>
      </w:pPr>
      <w:r w:rsidRPr="00181A54">
        <w:t>Para fins práticos, quando os serviços prestados corresponderem a um número indeterminado de etapas em um período determinado de tempo, a receita é reconhecida linearmente durante tal período, a menos que exista evidência de que algum outro método melhor represente a fase de execução do serviço. Quando uma determinada etapa for muito mais relevante que outras, o reconhecimento da receita é adiado até que esta etapa seja executada.</w:t>
      </w:r>
    </w:p>
    <w:p w:rsidR="000A7D72" w:rsidRPr="00181A54" w:rsidRDefault="000A7D72" w:rsidP="000A7D72">
      <w:pPr>
        <w:ind w:left="502"/>
        <w:jc w:val="both"/>
      </w:pPr>
    </w:p>
    <w:p w:rsidR="000A7D72" w:rsidRPr="00181A54" w:rsidRDefault="000A7D72" w:rsidP="000A7D72">
      <w:pPr>
        <w:numPr>
          <w:ilvl w:val="0"/>
          <w:numId w:val="2"/>
        </w:numPr>
        <w:jc w:val="both"/>
        <w:rPr>
          <w:b/>
        </w:rPr>
      </w:pPr>
      <w:r w:rsidRPr="00181A54">
        <w:rPr>
          <w:b/>
        </w:rPr>
        <w:t>Quando o resultado de uma transação envolvendo a prestação de serviços não puder ser estimado confiavelmente, a receita deve ser reconhecida apenas até o limite dos gastos recuperáveis.</w:t>
      </w:r>
    </w:p>
    <w:p w:rsidR="000A7D72" w:rsidRPr="00181A54" w:rsidRDefault="000A7D72" w:rsidP="000A7D72">
      <w:pPr>
        <w:ind w:left="502"/>
        <w:jc w:val="both"/>
      </w:pPr>
    </w:p>
    <w:p w:rsidR="000A7D72" w:rsidRPr="00181A54" w:rsidRDefault="000A7D72" w:rsidP="000A7D72">
      <w:pPr>
        <w:numPr>
          <w:ilvl w:val="0"/>
          <w:numId w:val="2"/>
        </w:numPr>
        <w:jc w:val="both"/>
      </w:pPr>
      <w:r w:rsidRPr="00181A54">
        <w:t>Durante as primeiras fases de uma transação, é usual que não se consiga estimar confiavelmente seu resultado. Mesmo assim, pode ser provável que a entidade irá recuperar os custos incorridos. Portanto, a receita é reconhecida apenas na extensão dos custos incorridos que se espera recuperar. Como o resultado da transação não pode ser estimado confiavelmente, nenhum lucro é reconhecido.</w:t>
      </w:r>
    </w:p>
    <w:p w:rsidR="000A7D72" w:rsidRPr="00181A54" w:rsidRDefault="000A7D72" w:rsidP="000A7D72">
      <w:pPr>
        <w:ind w:left="502"/>
        <w:jc w:val="both"/>
      </w:pPr>
    </w:p>
    <w:p w:rsidR="000A7D72" w:rsidRPr="00181A54" w:rsidRDefault="00B055C4" w:rsidP="00B055C4">
      <w:pPr>
        <w:numPr>
          <w:ilvl w:val="0"/>
          <w:numId w:val="2"/>
        </w:numPr>
        <w:jc w:val="both"/>
      </w:pPr>
      <w:r w:rsidRPr="00181A54">
        <w:t xml:space="preserve">Quando a) o resultado de uma transação não puder ser mensurado confiavelmente, e b) for improvável que os custos incorridos serão recuperados, a receita não é reconhecida e os custos incorridos são reconhecidos como despesas. </w:t>
      </w:r>
    </w:p>
    <w:p w:rsidR="00B055C4" w:rsidRPr="00181A54" w:rsidRDefault="00B055C4" w:rsidP="00B055C4">
      <w:pPr>
        <w:ind w:left="502"/>
        <w:jc w:val="both"/>
      </w:pPr>
    </w:p>
    <w:p w:rsidR="00B055C4" w:rsidRPr="00181A54" w:rsidRDefault="00B055C4" w:rsidP="00B055C4">
      <w:pPr>
        <w:ind w:left="502"/>
        <w:jc w:val="both"/>
      </w:pPr>
    </w:p>
    <w:p w:rsidR="00B055C4" w:rsidRPr="00181A54" w:rsidRDefault="00B055C4" w:rsidP="00B055C4">
      <w:pPr>
        <w:jc w:val="both"/>
        <w:rPr>
          <w:b/>
        </w:rPr>
      </w:pPr>
      <w:r w:rsidRPr="00181A54">
        <w:rPr>
          <w:b/>
        </w:rPr>
        <w:t>Venda de Mercadorias</w:t>
      </w:r>
    </w:p>
    <w:p w:rsidR="00B055C4" w:rsidRPr="00181A54" w:rsidRDefault="00B055C4" w:rsidP="00B055C4">
      <w:pPr>
        <w:jc w:val="both"/>
      </w:pPr>
    </w:p>
    <w:p w:rsidR="00B055C4" w:rsidRPr="00181A54" w:rsidRDefault="00B055C4" w:rsidP="00B055C4">
      <w:pPr>
        <w:numPr>
          <w:ilvl w:val="0"/>
          <w:numId w:val="2"/>
        </w:numPr>
        <w:jc w:val="both"/>
        <w:rPr>
          <w:b/>
        </w:rPr>
      </w:pPr>
      <w:r w:rsidRPr="00181A54">
        <w:rPr>
          <w:b/>
        </w:rPr>
        <w:t>A receita decorrente da venda de mercadorias deve ser reconhecida quando as seguintes condições tiverem sido satisfeitas:</w:t>
      </w:r>
    </w:p>
    <w:p w:rsidR="00B055C4" w:rsidRPr="00181A54" w:rsidRDefault="00B055C4" w:rsidP="00B055C4">
      <w:pPr>
        <w:ind w:left="502"/>
        <w:jc w:val="both"/>
        <w:rPr>
          <w:b/>
        </w:rPr>
      </w:pPr>
    </w:p>
    <w:p w:rsidR="00B055C4" w:rsidRPr="00181A54" w:rsidRDefault="00B055C4" w:rsidP="007B648E">
      <w:pPr>
        <w:numPr>
          <w:ilvl w:val="0"/>
          <w:numId w:val="10"/>
        </w:numPr>
        <w:jc w:val="both"/>
        <w:rPr>
          <w:b/>
        </w:rPr>
      </w:pPr>
      <w:r w:rsidRPr="00181A54">
        <w:rPr>
          <w:b/>
        </w:rPr>
        <w:t>A entidade tiver transferido ao comprador todos os riscos e recompensas significativos inerentes à propriedade das mercadorias;</w:t>
      </w:r>
    </w:p>
    <w:p w:rsidR="00B055C4" w:rsidRPr="00181A54" w:rsidRDefault="00B055C4" w:rsidP="00B055C4">
      <w:pPr>
        <w:ind w:left="1211"/>
        <w:jc w:val="both"/>
        <w:rPr>
          <w:b/>
        </w:rPr>
      </w:pPr>
    </w:p>
    <w:p w:rsidR="00B055C4" w:rsidRPr="00181A54" w:rsidRDefault="00B055C4" w:rsidP="007B648E">
      <w:pPr>
        <w:numPr>
          <w:ilvl w:val="0"/>
          <w:numId w:val="10"/>
        </w:numPr>
        <w:jc w:val="both"/>
        <w:rPr>
          <w:b/>
        </w:rPr>
      </w:pPr>
      <w:r w:rsidRPr="00181A54">
        <w:rPr>
          <w:b/>
        </w:rPr>
        <w:t>A entidade não mantiver envolvimento continuado na gestão das mercadorias vendidas, nem em grau normalmente associado à sua propriedade nem relacionado ao efetivo controle de tais bens;</w:t>
      </w:r>
    </w:p>
    <w:p w:rsidR="00B055C4" w:rsidRPr="00181A54" w:rsidRDefault="00B055C4" w:rsidP="00B055C4">
      <w:pPr>
        <w:ind w:left="1211"/>
        <w:jc w:val="both"/>
        <w:rPr>
          <w:b/>
        </w:rPr>
      </w:pPr>
    </w:p>
    <w:p w:rsidR="00B055C4" w:rsidRPr="00181A54" w:rsidRDefault="00B055C4" w:rsidP="007B648E">
      <w:pPr>
        <w:numPr>
          <w:ilvl w:val="0"/>
          <w:numId w:val="10"/>
        </w:numPr>
        <w:jc w:val="both"/>
        <w:rPr>
          <w:b/>
        </w:rPr>
      </w:pPr>
      <w:r w:rsidRPr="00181A54">
        <w:rPr>
          <w:b/>
        </w:rPr>
        <w:t>O valor da receita puder ser mensurado confiavelmente;</w:t>
      </w:r>
    </w:p>
    <w:p w:rsidR="00B055C4" w:rsidRPr="00181A54" w:rsidRDefault="00B055C4" w:rsidP="00B055C4">
      <w:pPr>
        <w:ind w:left="1211"/>
        <w:jc w:val="both"/>
        <w:rPr>
          <w:b/>
        </w:rPr>
      </w:pPr>
    </w:p>
    <w:p w:rsidR="00B055C4" w:rsidRPr="00181A54" w:rsidRDefault="00B055C4" w:rsidP="007B648E">
      <w:pPr>
        <w:numPr>
          <w:ilvl w:val="0"/>
          <w:numId w:val="10"/>
        </w:numPr>
        <w:jc w:val="both"/>
        <w:rPr>
          <w:b/>
        </w:rPr>
      </w:pPr>
      <w:r w:rsidRPr="00181A54">
        <w:rPr>
          <w:b/>
        </w:rPr>
        <w:t xml:space="preserve">For provável que os benefícios </w:t>
      </w:r>
      <w:proofErr w:type="gramStart"/>
      <w:r w:rsidRPr="00181A54">
        <w:rPr>
          <w:b/>
        </w:rPr>
        <w:t>econômicos ou potencial de serviços associados</w:t>
      </w:r>
      <w:proofErr w:type="gramEnd"/>
      <w:r w:rsidRPr="00181A54">
        <w:rPr>
          <w:b/>
        </w:rPr>
        <w:t xml:space="preserve"> à transação fluirão para a entidade; e</w:t>
      </w:r>
    </w:p>
    <w:p w:rsidR="00B055C4" w:rsidRPr="00181A54" w:rsidRDefault="00B055C4" w:rsidP="00B055C4">
      <w:pPr>
        <w:ind w:left="1211"/>
        <w:jc w:val="both"/>
        <w:rPr>
          <w:b/>
        </w:rPr>
      </w:pPr>
    </w:p>
    <w:p w:rsidR="00B055C4" w:rsidRPr="00181A54" w:rsidRDefault="00B055C4" w:rsidP="007B648E">
      <w:pPr>
        <w:numPr>
          <w:ilvl w:val="0"/>
          <w:numId w:val="10"/>
        </w:numPr>
        <w:jc w:val="both"/>
        <w:rPr>
          <w:b/>
        </w:rPr>
      </w:pPr>
      <w:proofErr w:type="gramStart"/>
      <w:r w:rsidRPr="00181A54">
        <w:rPr>
          <w:b/>
        </w:rPr>
        <w:t>os</w:t>
      </w:r>
      <w:proofErr w:type="gramEnd"/>
      <w:r w:rsidRPr="00181A54">
        <w:rPr>
          <w:b/>
        </w:rPr>
        <w:t xml:space="preserve"> custos incorridos na transação e os custos para concluir a transação puderem ser mensurados confiavelmente.</w:t>
      </w:r>
    </w:p>
    <w:p w:rsidR="00B055C4" w:rsidRPr="00181A54" w:rsidRDefault="00B055C4" w:rsidP="00B055C4">
      <w:pPr>
        <w:ind w:left="1211"/>
        <w:jc w:val="both"/>
      </w:pPr>
    </w:p>
    <w:p w:rsidR="00B055C4" w:rsidRPr="00181A54" w:rsidRDefault="008578A2" w:rsidP="008578A2">
      <w:pPr>
        <w:numPr>
          <w:ilvl w:val="0"/>
          <w:numId w:val="2"/>
        </w:numPr>
        <w:jc w:val="both"/>
      </w:pPr>
      <w:r w:rsidRPr="00181A54">
        <w:t xml:space="preserve">A avaliação do momento em que a entidade transfere os riscos e benefícios relevantes relacionados à propriedade para o comprador requer um exame das circunstâncias da transação. Na maior parte dos casos, a transferência dos riscos e benefícios da propriedade coincide com a transferência da titularidade legal ou da transferência da posse do ativo para o comprador. Este é o caso relacionado </w:t>
      </w:r>
      <w:proofErr w:type="gramStart"/>
      <w:r w:rsidRPr="00181A54">
        <w:t>a</w:t>
      </w:r>
      <w:proofErr w:type="gramEnd"/>
      <w:r w:rsidRPr="00181A54">
        <w:t xml:space="preserve"> maior parte das vendas. Entretanto, em alguns casos específicos, a transferência dos riscos e benefícios ocorre em um momento distinto da transferência da titularidade legal ou do controle.</w:t>
      </w:r>
    </w:p>
    <w:p w:rsidR="008578A2" w:rsidRPr="00181A54" w:rsidRDefault="008578A2" w:rsidP="008578A2">
      <w:pPr>
        <w:ind w:left="502"/>
        <w:jc w:val="both"/>
      </w:pPr>
    </w:p>
    <w:p w:rsidR="008578A2" w:rsidRPr="00181A54" w:rsidRDefault="008578A2" w:rsidP="008578A2">
      <w:pPr>
        <w:numPr>
          <w:ilvl w:val="0"/>
          <w:numId w:val="2"/>
        </w:numPr>
        <w:jc w:val="both"/>
      </w:pPr>
      <w:r w:rsidRPr="00181A54">
        <w:lastRenderedPageBreak/>
        <w:t>Se a entidade mantiver riscos significativos de propriedade, a transação não é uma venda, e receita não é reconhecida. Uma entidade pode reter um risco significativo de propriedade de uma série de modos. Exemplos de situações em que a entidade pode reter riscos e benefícios significativos são:</w:t>
      </w:r>
    </w:p>
    <w:p w:rsidR="008578A2" w:rsidRPr="00181A54" w:rsidRDefault="008578A2" w:rsidP="008578A2">
      <w:pPr>
        <w:ind w:left="502"/>
        <w:jc w:val="both"/>
      </w:pPr>
    </w:p>
    <w:p w:rsidR="008578A2" w:rsidRPr="00181A54" w:rsidRDefault="008578A2" w:rsidP="007B648E">
      <w:pPr>
        <w:numPr>
          <w:ilvl w:val="0"/>
          <w:numId w:val="11"/>
        </w:numPr>
        <w:jc w:val="both"/>
      </w:pPr>
      <w:r w:rsidRPr="00181A54">
        <w:t>Quando a entidade retém uma obrigação decorrente de desempenho insatisfatório não coberto por provisões normais de garantias;</w:t>
      </w:r>
    </w:p>
    <w:p w:rsidR="008578A2" w:rsidRPr="00181A54" w:rsidRDefault="008578A2" w:rsidP="008578A2">
      <w:pPr>
        <w:ind w:left="1211"/>
        <w:jc w:val="both"/>
      </w:pPr>
    </w:p>
    <w:p w:rsidR="008578A2" w:rsidRPr="00181A54" w:rsidRDefault="008578A2" w:rsidP="007B648E">
      <w:pPr>
        <w:numPr>
          <w:ilvl w:val="0"/>
          <w:numId w:val="11"/>
        </w:numPr>
        <w:jc w:val="both"/>
      </w:pPr>
      <w:r w:rsidRPr="00181A54">
        <w:t>Quando o recebimento da receita de uma venda específica for dependente da venda dos bens pelo comprador (consignação);</w:t>
      </w:r>
    </w:p>
    <w:p w:rsidR="008578A2" w:rsidRPr="00181A54" w:rsidRDefault="008578A2" w:rsidP="008578A2">
      <w:pPr>
        <w:ind w:left="1211"/>
        <w:jc w:val="both"/>
      </w:pPr>
    </w:p>
    <w:p w:rsidR="008578A2" w:rsidRPr="00181A54" w:rsidRDefault="008578A2" w:rsidP="007B648E">
      <w:pPr>
        <w:numPr>
          <w:ilvl w:val="0"/>
          <w:numId w:val="11"/>
        </w:numPr>
        <w:jc w:val="both"/>
      </w:pPr>
      <w:r w:rsidRPr="00181A54">
        <w:t xml:space="preserve">Quando as mercadorias expedidas estiverem sujeitas à instalação, sendo esta uma parte significativa do contrato que ainda não tenha sido concluída pelo vendedor; </w:t>
      </w:r>
      <w:proofErr w:type="gramStart"/>
      <w:r w:rsidRPr="00181A54">
        <w:t>e</w:t>
      </w:r>
      <w:proofErr w:type="gramEnd"/>
    </w:p>
    <w:p w:rsidR="008578A2" w:rsidRPr="00181A54" w:rsidRDefault="008578A2" w:rsidP="008578A2">
      <w:pPr>
        <w:ind w:left="1211"/>
        <w:jc w:val="both"/>
      </w:pPr>
    </w:p>
    <w:p w:rsidR="008578A2" w:rsidRPr="00181A54" w:rsidRDefault="008578A2" w:rsidP="007B648E">
      <w:pPr>
        <w:numPr>
          <w:ilvl w:val="0"/>
          <w:numId w:val="11"/>
        </w:numPr>
        <w:jc w:val="both"/>
      </w:pPr>
      <w:r w:rsidRPr="00181A54">
        <w:t>Quando o comprador tem o direito de rescindir a compra por uma razão específica em contrato, e o vendedor estiver incerto acerca da possibilidade de retorno.</w:t>
      </w:r>
    </w:p>
    <w:p w:rsidR="008578A2" w:rsidRPr="00181A54" w:rsidRDefault="008578A2" w:rsidP="008578A2">
      <w:pPr>
        <w:ind w:left="502"/>
        <w:jc w:val="both"/>
      </w:pPr>
    </w:p>
    <w:p w:rsidR="008578A2" w:rsidRPr="00181A54" w:rsidRDefault="008578A2" w:rsidP="008578A2">
      <w:pPr>
        <w:numPr>
          <w:ilvl w:val="0"/>
          <w:numId w:val="2"/>
        </w:numPr>
        <w:jc w:val="both"/>
      </w:pPr>
      <w:r w:rsidRPr="00181A54">
        <w:t xml:space="preserve">Se a entidade retiver apenas um risco insignificante de propriedade, a transação é uma venda e uma receita é reconhecida. Por exemplo, um vendedor pode reter a titularidade legal das mercadorias apenas para garantir o recebimento dos valores devidos. Em tal caso, se a entidade tiver transferido os riscos e benefícios significativos de propriedade, a transação é uma venda e uma receita é reconhecida. Outro exemplo de uma entidade retendo apenas um risco insignificante de propriedade pode ser uma venda quando um reembolso é oferecido se o comprador não ficar satisfeito e quiser devolver a mercadoria. Nestes casos, a receita é reconhecida no momento da venda desde que o vendedor possa confiavelmente estimar os retornos futuros. O passivo correspondente a tais devoluções deve ser </w:t>
      </w:r>
      <w:proofErr w:type="gramStart"/>
      <w:r w:rsidRPr="00181A54">
        <w:t>calculado tomando por base experiências anteriores</w:t>
      </w:r>
      <w:proofErr w:type="gramEnd"/>
      <w:r w:rsidRPr="00181A54">
        <w:t xml:space="preserve"> e outros fatores relevantes.</w:t>
      </w:r>
    </w:p>
    <w:p w:rsidR="008578A2" w:rsidRPr="00181A54" w:rsidRDefault="008578A2" w:rsidP="008578A2">
      <w:pPr>
        <w:ind w:left="502"/>
        <w:jc w:val="both"/>
      </w:pPr>
    </w:p>
    <w:p w:rsidR="008578A2" w:rsidRPr="00181A54" w:rsidRDefault="008578A2" w:rsidP="008578A2">
      <w:pPr>
        <w:numPr>
          <w:ilvl w:val="0"/>
          <w:numId w:val="2"/>
        </w:numPr>
        <w:jc w:val="both"/>
      </w:pPr>
      <w:r w:rsidRPr="00181A54">
        <w:t xml:space="preserve">A receita é reconhecida apenas quando for provável que os benefícios </w:t>
      </w:r>
      <w:proofErr w:type="gramStart"/>
      <w:r w:rsidRPr="00181A54">
        <w:t>econômicos ou potencial de serviços associados</w:t>
      </w:r>
      <w:proofErr w:type="gramEnd"/>
      <w:r w:rsidRPr="00181A54">
        <w:t xml:space="preserve"> à transação fluirão para a entidade. Em alguns casos, isso pode não ser provável até que a contraprestação seja recebida ou até que a incerteza acabe. Por exemplo, a receita pode depender da capacidade de outra entidade em fornecer mercadorias como parte do contrato, e se existir alguma dúvida de que isso pode ocorrer, o reconhecimento pode ser postergado até que isso ocorra. Quando as mercadorias forem entregues, a incerteza é removida e a receita é reconhecida. Contudo, quando surgir uma incerteza acerca de valor já reconhecido como receita, o valor incobrável ou a parcela do valor cuja recuperação é improvável é reconhecido como despesa ao invés de um ajuste no valor da receita originalmente reconhecida.</w:t>
      </w:r>
    </w:p>
    <w:p w:rsidR="008578A2" w:rsidRPr="00181A54" w:rsidRDefault="008578A2" w:rsidP="008578A2">
      <w:pPr>
        <w:ind w:left="502"/>
        <w:jc w:val="both"/>
      </w:pPr>
    </w:p>
    <w:p w:rsidR="008578A2" w:rsidRPr="00181A54" w:rsidRDefault="008578A2" w:rsidP="008578A2">
      <w:pPr>
        <w:ind w:left="502"/>
        <w:jc w:val="both"/>
      </w:pPr>
    </w:p>
    <w:p w:rsidR="008578A2" w:rsidRPr="00181A54" w:rsidRDefault="008578A2" w:rsidP="008578A2">
      <w:pPr>
        <w:jc w:val="both"/>
        <w:rPr>
          <w:b/>
        </w:rPr>
      </w:pPr>
      <w:r w:rsidRPr="00181A54">
        <w:rPr>
          <w:b/>
        </w:rPr>
        <w:t xml:space="preserve">Juros, </w:t>
      </w:r>
      <w:r w:rsidRPr="00181A54">
        <w:rPr>
          <w:b/>
          <w:i/>
        </w:rPr>
        <w:t>Royalties</w:t>
      </w:r>
      <w:r w:rsidRPr="00181A54">
        <w:rPr>
          <w:b/>
        </w:rPr>
        <w:t xml:space="preserve"> e Dividendos ou Distribuições </w:t>
      </w:r>
      <w:proofErr w:type="gramStart"/>
      <w:r w:rsidRPr="00181A54">
        <w:rPr>
          <w:b/>
        </w:rPr>
        <w:t>Similares</w:t>
      </w:r>
      <w:proofErr w:type="gramEnd"/>
    </w:p>
    <w:p w:rsidR="008578A2" w:rsidRPr="00181A54" w:rsidRDefault="008578A2" w:rsidP="008578A2">
      <w:pPr>
        <w:ind w:left="502"/>
        <w:jc w:val="both"/>
      </w:pPr>
    </w:p>
    <w:p w:rsidR="008578A2" w:rsidRPr="00181A54" w:rsidRDefault="008578A2" w:rsidP="008578A2">
      <w:pPr>
        <w:numPr>
          <w:ilvl w:val="0"/>
          <w:numId w:val="2"/>
        </w:numPr>
        <w:jc w:val="both"/>
        <w:rPr>
          <w:b/>
        </w:rPr>
      </w:pPr>
      <w:r w:rsidRPr="00181A54">
        <w:rPr>
          <w:b/>
        </w:rPr>
        <w:t xml:space="preserve">Receitas provenientes do uso por terceiros de ativos da entidade que produzam juros, </w:t>
      </w:r>
      <w:r w:rsidRPr="00181A54">
        <w:rPr>
          <w:b/>
          <w:i/>
        </w:rPr>
        <w:t>royalties</w:t>
      </w:r>
      <w:r w:rsidRPr="00181A54">
        <w:rPr>
          <w:b/>
        </w:rPr>
        <w:t xml:space="preserve"> e dividendos ou distribuições similares devem ser reconhecidos usando os tratamentos contábeis estabelecidos no parágrafo seguinte quando: </w:t>
      </w:r>
    </w:p>
    <w:p w:rsidR="008578A2" w:rsidRPr="00181A54" w:rsidRDefault="008578A2" w:rsidP="008578A2">
      <w:pPr>
        <w:ind w:left="502"/>
        <w:jc w:val="both"/>
      </w:pPr>
    </w:p>
    <w:p w:rsidR="008578A2" w:rsidRPr="00181A54" w:rsidRDefault="008578A2" w:rsidP="007B648E">
      <w:pPr>
        <w:numPr>
          <w:ilvl w:val="0"/>
          <w:numId w:val="12"/>
        </w:numPr>
        <w:jc w:val="both"/>
        <w:rPr>
          <w:b/>
        </w:rPr>
      </w:pPr>
      <w:r w:rsidRPr="00181A54">
        <w:rPr>
          <w:b/>
        </w:rPr>
        <w:t xml:space="preserve">For provável que os benefícios </w:t>
      </w:r>
      <w:proofErr w:type="gramStart"/>
      <w:r w:rsidRPr="00181A54">
        <w:rPr>
          <w:b/>
        </w:rPr>
        <w:t>econômicos ou potencial de serviços associados</w:t>
      </w:r>
      <w:proofErr w:type="gramEnd"/>
      <w:r w:rsidRPr="00181A54">
        <w:rPr>
          <w:b/>
        </w:rPr>
        <w:t xml:space="preserve"> à transação fluam para a entidade; e</w:t>
      </w:r>
    </w:p>
    <w:p w:rsidR="008578A2" w:rsidRPr="00181A54" w:rsidRDefault="008578A2" w:rsidP="008578A2">
      <w:pPr>
        <w:ind w:left="1211"/>
        <w:jc w:val="both"/>
        <w:rPr>
          <w:b/>
        </w:rPr>
      </w:pPr>
    </w:p>
    <w:p w:rsidR="008578A2" w:rsidRPr="00181A54" w:rsidRDefault="008578A2" w:rsidP="007B648E">
      <w:pPr>
        <w:numPr>
          <w:ilvl w:val="0"/>
          <w:numId w:val="12"/>
        </w:numPr>
        <w:jc w:val="both"/>
        <w:rPr>
          <w:b/>
        </w:rPr>
      </w:pPr>
      <w:r w:rsidRPr="00181A54">
        <w:rPr>
          <w:b/>
        </w:rPr>
        <w:t>O montante da receita puder ser mensurado confiavelmente.</w:t>
      </w:r>
    </w:p>
    <w:p w:rsidR="008578A2" w:rsidRPr="00181A54" w:rsidRDefault="008578A2" w:rsidP="008578A2">
      <w:pPr>
        <w:ind w:left="502"/>
        <w:jc w:val="both"/>
      </w:pPr>
    </w:p>
    <w:p w:rsidR="008578A2" w:rsidRPr="00181A54" w:rsidRDefault="008578A2" w:rsidP="008578A2">
      <w:pPr>
        <w:numPr>
          <w:ilvl w:val="0"/>
          <w:numId w:val="2"/>
        </w:numPr>
        <w:jc w:val="both"/>
        <w:rPr>
          <w:b/>
        </w:rPr>
      </w:pPr>
      <w:r w:rsidRPr="00181A54">
        <w:rPr>
          <w:b/>
        </w:rPr>
        <w:t>A receita deve ser reconhecida usando os seguintes tratamentos contábeis:</w:t>
      </w:r>
    </w:p>
    <w:p w:rsidR="008578A2" w:rsidRPr="00181A54" w:rsidRDefault="008578A2" w:rsidP="008578A2">
      <w:pPr>
        <w:ind w:left="502"/>
        <w:jc w:val="both"/>
        <w:rPr>
          <w:b/>
        </w:rPr>
      </w:pPr>
    </w:p>
    <w:p w:rsidR="008578A2" w:rsidRPr="00181A54" w:rsidRDefault="008578A2" w:rsidP="007B648E">
      <w:pPr>
        <w:numPr>
          <w:ilvl w:val="0"/>
          <w:numId w:val="13"/>
        </w:numPr>
        <w:jc w:val="both"/>
        <w:rPr>
          <w:b/>
        </w:rPr>
      </w:pPr>
      <w:r w:rsidRPr="00181A54">
        <w:rPr>
          <w:b/>
        </w:rPr>
        <w:t xml:space="preserve">Os juros devem ser reconhecidos </w:t>
      </w:r>
      <w:proofErr w:type="gramStart"/>
      <w:r w:rsidRPr="00181A54">
        <w:rPr>
          <w:b/>
        </w:rPr>
        <w:t>pro rata</w:t>
      </w:r>
      <w:proofErr w:type="gramEnd"/>
      <w:r w:rsidRPr="00181A54">
        <w:rPr>
          <w:b/>
        </w:rPr>
        <w:t xml:space="preserve"> tempore, referente à taxa efetiva;</w:t>
      </w:r>
    </w:p>
    <w:p w:rsidR="008578A2" w:rsidRPr="00181A54" w:rsidRDefault="008578A2" w:rsidP="008578A2">
      <w:pPr>
        <w:ind w:left="1211"/>
        <w:jc w:val="both"/>
        <w:rPr>
          <w:b/>
        </w:rPr>
      </w:pPr>
    </w:p>
    <w:p w:rsidR="008578A2" w:rsidRPr="00181A54" w:rsidRDefault="008578A2" w:rsidP="007B648E">
      <w:pPr>
        <w:numPr>
          <w:ilvl w:val="0"/>
          <w:numId w:val="13"/>
        </w:numPr>
        <w:jc w:val="both"/>
        <w:rPr>
          <w:b/>
        </w:rPr>
      </w:pPr>
      <w:r w:rsidRPr="00181A54">
        <w:rPr>
          <w:b/>
        </w:rPr>
        <w:t xml:space="preserve">Os </w:t>
      </w:r>
      <w:r w:rsidRPr="00181A54">
        <w:rPr>
          <w:b/>
          <w:i/>
        </w:rPr>
        <w:t>royalties</w:t>
      </w:r>
      <w:r w:rsidRPr="00181A54">
        <w:rPr>
          <w:b/>
        </w:rPr>
        <w:t xml:space="preserve"> devem ser reconhecidos </w:t>
      </w:r>
      <w:proofErr w:type="gramStart"/>
      <w:r w:rsidRPr="00181A54">
        <w:rPr>
          <w:b/>
        </w:rPr>
        <w:t>à medida em que</w:t>
      </w:r>
      <w:proofErr w:type="gramEnd"/>
      <w:r w:rsidRPr="00181A54">
        <w:rPr>
          <w:b/>
        </w:rPr>
        <w:t xml:space="preserve"> são gerados, conforme a essência do acordo; e</w:t>
      </w:r>
    </w:p>
    <w:p w:rsidR="008578A2" w:rsidRPr="00181A54" w:rsidRDefault="008578A2" w:rsidP="008578A2">
      <w:pPr>
        <w:ind w:left="1211"/>
        <w:jc w:val="both"/>
        <w:rPr>
          <w:b/>
        </w:rPr>
      </w:pPr>
    </w:p>
    <w:p w:rsidR="008578A2" w:rsidRPr="00181A54" w:rsidRDefault="008578A2" w:rsidP="007B648E">
      <w:pPr>
        <w:numPr>
          <w:ilvl w:val="0"/>
          <w:numId w:val="13"/>
        </w:numPr>
        <w:jc w:val="both"/>
        <w:rPr>
          <w:b/>
        </w:rPr>
      </w:pPr>
      <w:r w:rsidRPr="00181A54">
        <w:rPr>
          <w:b/>
        </w:rPr>
        <w:t>Dividendos ou distribuições similares devem ser reconhecidos quando for estabelecido o direito de recebimento por parte do acionista ou da entidade.</w:t>
      </w:r>
    </w:p>
    <w:p w:rsidR="008578A2" w:rsidRPr="00181A54" w:rsidRDefault="008578A2" w:rsidP="008578A2">
      <w:pPr>
        <w:ind w:left="502"/>
        <w:jc w:val="both"/>
      </w:pPr>
    </w:p>
    <w:p w:rsidR="008578A2" w:rsidRPr="00181A54" w:rsidRDefault="008578A2" w:rsidP="008578A2">
      <w:pPr>
        <w:numPr>
          <w:ilvl w:val="0"/>
          <w:numId w:val="2"/>
        </w:numPr>
        <w:jc w:val="both"/>
      </w:pPr>
      <w:r w:rsidRPr="00181A54">
        <w:t>A taxa de juros efetiva de um ativo corresponde à taxa de juros necessária para se descontar os fluxos de recebimentos futuros esperados ao longo da vida do ativo de modo a igualá-lo ao seu valor contábil inicial. A receita financeira inclui o montante da amortização de qualquer desconto, prêmio ou outra diferença entre o valor contábil inicial de um instrumento de dívida e seu valor no vencimento.</w:t>
      </w:r>
    </w:p>
    <w:p w:rsidR="008578A2" w:rsidRPr="00181A54" w:rsidRDefault="008578A2" w:rsidP="008578A2">
      <w:pPr>
        <w:ind w:left="502"/>
        <w:jc w:val="both"/>
      </w:pPr>
    </w:p>
    <w:p w:rsidR="008578A2" w:rsidRPr="00181A54" w:rsidRDefault="008578A2" w:rsidP="008578A2">
      <w:pPr>
        <w:numPr>
          <w:ilvl w:val="0"/>
          <w:numId w:val="2"/>
        </w:numPr>
        <w:jc w:val="both"/>
      </w:pPr>
      <w:r w:rsidRPr="00181A54">
        <w:t>(</w:t>
      </w:r>
      <w:r w:rsidRPr="00181A54">
        <w:rPr>
          <w:i/>
        </w:rPr>
        <w:t>não convergido</w:t>
      </w:r>
      <w:r w:rsidRPr="00181A54">
        <w:t>).</w:t>
      </w:r>
    </w:p>
    <w:p w:rsidR="008578A2" w:rsidRPr="00181A54" w:rsidRDefault="008578A2" w:rsidP="008578A2">
      <w:pPr>
        <w:ind w:left="502"/>
        <w:jc w:val="both"/>
      </w:pPr>
    </w:p>
    <w:p w:rsidR="008578A2" w:rsidRPr="00181A54" w:rsidRDefault="008578A2" w:rsidP="008578A2">
      <w:pPr>
        <w:numPr>
          <w:ilvl w:val="0"/>
          <w:numId w:val="2"/>
        </w:numPr>
        <w:jc w:val="both"/>
      </w:pPr>
      <w:r w:rsidRPr="00181A54">
        <w:rPr>
          <w:i/>
        </w:rPr>
        <w:t>Royalties</w:t>
      </w:r>
      <w:r w:rsidRPr="00181A54">
        <w:t>, como os do petróleo, são registrados de acordo com os termos do contrato, e são geralmente reconhecidos nessa base a menos que, em conformidade com a essência do acordo, seja mais apropriado o reconhecimento da receita em outra base sistemática e racional.</w:t>
      </w:r>
    </w:p>
    <w:p w:rsidR="008578A2" w:rsidRPr="00181A54" w:rsidRDefault="008578A2" w:rsidP="008578A2">
      <w:pPr>
        <w:ind w:left="502"/>
        <w:jc w:val="both"/>
      </w:pPr>
    </w:p>
    <w:p w:rsidR="008578A2" w:rsidRPr="00181A54" w:rsidRDefault="008578A2" w:rsidP="008578A2">
      <w:pPr>
        <w:numPr>
          <w:ilvl w:val="0"/>
          <w:numId w:val="2"/>
        </w:numPr>
        <w:jc w:val="both"/>
      </w:pPr>
      <w:r w:rsidRPr="00181A54">
        <w:t xml:space="preserve">Uma receita é reconhecida apenas quando for provável que os benefícios </w:t>
      </w:r>
      <w:proofErr w:type="gramStart"/>
      <w:r w:rsidRPr="00181A54">
        <w:t>econômicos ou potencial de serviços associados</w:t>
      </w:r>
      <w:proofErr w:type="gramEnd"/>
      <w:r w:rsidRPr="00181A54">
        <w:t xml:space="preserve"> à transação irão fluir para a entidade. Entretanto, quando surgir uma incerteza acerca de um valor já reconhecido como receita, tal valor, incobrável ou cujo recebimento deixou de ser provável, é reconhecido como uma despesa, ao invés de um ajuste no montante da receita anteriormente recebida.</w:t>
      </w:r>
    </w:p>
    <w:p w:rsidR="008578A2" w:rsidRPr="00181A54" w:rsidRDefault="008578A2" w:rsidP="008578A2">
      <w:pPr>
        <w:ind w:left="142"/>
        <w:jc w:val="both"/>
      </w:pPr>
    </w:p>
    <w:p w:rsidR="008578A2" w:rsidRPr="00181A54" w:rsidRDefault="008578A2" w:rsidP="008578A2">
      <w:pPr>
        <w:ind w:left="142"/>
        <w:jc w:val="both"/>
      </w:pPr>
    </w:p>
    <w:p w:rsidR="008578A2" w:rsidRPr="00181A54" w:rsidRDefault="008578A2" w:rsidP="008578A2">
      <w:pPr>
        <w:ind w:left="142"/>
        <w:jc w:val="both"/>
        <w:rPr>
          <w:b/>
        </w:rPr>
      </w:pPr>
      <w:r w:rsidRPr="00181A54">
        <w:rPr>
          <w:b/>
        </w:rPr>
        <w:t>Evidenciação</w:t>
      </w:r>
    </w:p>
    <w:p w:rsidR="008578A2" w:rsidRPr="00181A54" w:rsidRDefault="008578A2" w:rsidP="008578A2">
      <w:pPr>
        <w:ind w:left="142"/>
        <w:jc w:val="both"/>
      </w:pPr>
    </w:p>
    <w:p w:rsidR="008578A2" w:rsidRPr="00181A54" w:rsidRDefault="008578A2" w:rsidP="007B648E">
      <w:pPr>
        <w:numPr>
          <w:ilvl w:val="0"/>
          <w:numId w:val="2"/>
        </w:numPr>
        <w:jc w:val="both"/>
        <w:rPr>
          <w:b/>
        </w:rPr>
      </w:pPr>
      <w:r w:rsidRPr="00181A54">
        <w:rPr>
          <w:b/>
        </w:rPr>
        <w:t>Uma entidade deve evidenciar:</w:t>
      </w:r>
    </w:p>
    <w:p w:rsidR="008578A2" w:rsidRPr="00181A54" w:rsidRDefault="008578A2" w:rsidP="008578A2">
      <w:pPr>
        <w:ind w:left="502"/>
        <w:jc w:val="both"/>
      </w:pPr>
    </w:p>
    <w:p w:rsidR="008578A2" w:rsidRPr="00181A54" w:rsidRDefault="008578A2" w:rsidP="007B648E">
      <w:pPr>
        <w:numPr>
          <w:ilvl w:val="0"/>
          <w:numId w:val="14"/>
        </w:numPr>
        <w:jc w:val="both"/>
        <w:rPr>
          <w:b/>
        </w:rPr>
      </w:pPr>
      <w:r w:rsidRPr="00181A54">
        <w:rPr>
          <w:b/>
        </w:rPr>
        <w:t>As políticas contábeis adotadas para o reconhecimento de receita, incluindo os métodos adotados para determinar a percentagem de execução de transações envolvendo a prestação de serviços;</w:t>
      </w:r>
    </w:p>
    <w:p w:rsidR="008578A2" w:rsidRPr="00181A54" w:rsidRDefault="008578A2" w:rsidP="008578A2">
      <w:pPr>
        <w:ind w:left="1211"/>
        <w:jc w:val="both"/>
        <w:rPr>
          <w:b/>
        </w:rPr>
      </w:pPr>
    </w:p>
    <w:p w:rsidR="008578A2" w:rsidRPr="00181A54" w:rsidRDefault="008578A2" w:rsidP="007B648E">
      <w:pPr>
        <w:numPr>
          <w:ilvl w:val="0"/>
          <w:numId w:val="14"/>
        </w:numPr>
        <w:jc w:val="both"/>
        <w:rPr>
          <w:b/>
        </w:rPr>
      </w:pPr>
      <w:r w:rsidRPr="00181A54">
        <w:rPr>
          <w:b/>
        </w:rPr>
        <w:t>O valor de cada categoria significativa de receita reconhecida no período, incluindo receitas decorrentes de:</w:t>
      </w:r>
    </w:p>
    <w:p w:rsidR="008578A2" w:rsidRPr="00181A54" w:rsidRDefault="008578A2" w:rsidP="008578A2">
      <w:pPr>
        <w:ind w:left="1211"/>
        <w:jc w:val="both"/>
        <w:rPr>
          <w:b/>
        </w:rPr>
      </w:pPr>
    </w:p>
    <w:p w:rsidR="008578A2" w:rsidRPr="00181A54" w:rsidRDefault="008578A2" w:rsidP="007B648E">
      <w:pPr>
        <w:numPr>
          <w:ilvl w:val="1"/>
          <w:numId w:val="14"/>
        </w:numPr>
        <w:jc w:val="both"/>
        <w:rPr>
          <w:b/>
        </w:rPr>
      </w:pPr>
      <w:r w:rsidRPr="00181A54">
        <w:rPr>
          <w:b/>
        </w:rPr>
        <w:t>Prestação de Serviços;</w:t>
      </w:r>
    </w:p>
    <w:p w:rsidR="008578A2" w:rsidRPr="00181A54" w:rsidRDefault="008578A2" w:rsidP="008578A2">
      <w:pPr>
        <w:ind w:left="1931"/>
        <w:jc w:val="both"/>
        <w:rPr>
          <w:b/>
        </w:rPr>
      </w:pPr>
    </w:p>
    <w:p w:rsidR="008578A2" w:rsidRPr="00181A54" w:rsidRDefault="008578A2" w:rsidP="007B648E">
      <w:pPr>
        <w:numPr>
          <w:ilvl w:val="1"/>
          <w:numId w:val="14"/>
        </w:numPr>
        <w:jc w:val="both"/>
        <w:rPr>
          <w:b/>
        </w:rPr>
      </w:pPr>
      <w:r w:rsidRPr="00181A54">
        <w:rPr>
          <w:b/>
        </w:rPr>
        <w:t>Venda de Mercadorias;</w:t>
      </w:r>
    </w:p>
    <w:p w:rsidR="008578A2" w:rsidRPr="00181A54" w:rsidRDefault="008578A2" w:rsidP="008578A2">
      <w:pPr>
        <w:ind w:left="1931"/>
        <w:jc w:val="both"/>
        <w:rPr>
          <w:b/>
        </w:rPr>
      </w:pPr>
    </w:p>
    <w:p w:rsidR="008578A2" w:rsidRPr="00181A54" w:rsidRDefault="008578A2" w:rsidP="007B648E">
      <w:pPr>
        <w:numPr>
          <w:ilvl w:val="1"/>
          <w:numId w:val="14"/>
        </w:numPr>
        <w:jc w:val="both"/>
        <w:rPr>
          <w:b/>
        </w:rPr>
      </w:pPr>
      <w:r w:rsidRPr="00181A54">
        <w:rPr>
          <w:b/>
        </w:rPr>
        <w:t>Juros;</w:t>
      </w:r>
    </w:p>
    <w:p w:rsidR="008578A2" w:rsidRPr="00181A54" w:rsidRDefault="008578A2" w:rsidP="008578A2">
      <w:pPr>
        <w:ind w:left="1931"/>
        <w:jc w:val="both"/>
        <w:rPr>
          <w:b/>
        </w:rPr>
      </w:pPr>
    </w:p>
    <w:p w:rsidR="008578A2" w:rsidRPr="00181A54" w:rsidRDefault="008578A2" w:rsidP="007B648E">
      <w:pPr>
        <w:numPr>
          <w:ilvl w:val="1"/>
          <w:numId w:val="14"/>
        </w:numPr>
        <w:jc w:val="both"/>
        <w:rPr>
          <w:b/>
        </w:rPr>
      </w:pPr>
      <w:r w:rsidRPr="00181A54">
        <w:rPr>
          <w:b/>
          <w:i/>
        </w:rPr>
        <w:t>Royalties; e</w:t>
      </w:r>
    </w:p>
    <w:p w:rsidR="008578A2" w:rsidRPr="00181A54" w:rsidRDefault="008578A2" w:rsidP="008578A2">
      <w:pPr>
        <w:ind w:left="1931"/>
        <w:jc w:val="both"/>
        <w:rPr>
          <w:b/>
        </w:rPr>
      </w:pPr>
    </w:p>
    <w:p w:rsidR="008578A2" w:rsidRPr="00181A54" w:rsidRDefault="008578A2" w:rsidP="007B648E">
      <w:pPr>
        <w:numPr>
          <w:ilvl w:val="1"/>
          <w:numId w:val="14"/>
        </w:numPr>
        <w:jc w:val="both"/>
        <w:rPr>
          <w:b/>
        </w:rPr>
      </w:pPr>
      <w:r w:rsidRPr="00181A54">
        <w:rPr>
          <w:b/>
        </w:rPr>
        <w:t>Dividendos ou distribuições similares.</w:t>
      </w:r>
    </w:p>
    <w:p w:rsidR="008578A2" w:rsidRPr="00181A54" w:rsidRDefault="008578A2" w:rsidP="008578A2">
      <w:pPr>
        <w:ind w:left="1211"/>
        <w:jc w:val="both"/>
        <w:rPr>
          <w:b/>
        </w:rPr>
      </w:pPr>
    </w:p>
    <w:p w:rsidR="008578A2" w:rsidRPr="00181A54" w:rsidRDefault="008578A2" w:rsidP="007B648E">
      <w:pPr>
        <w:numPr>
          <w:ilvl w:val="0"/>
          <w:numId w:val="14"/>
        </w:numPr>
        <w:jc w:val="both"/>
        <w:rPr>
          <w:b/>
        </w:rPr>
      </w:pPr>
      <w:r w:rsidRPr="00181A54">
        <w:rPr>
          <w:b/>
        </w:rPr>
        <w:t>O valor das receitas provenientes de trocas de mercadorias ou serviços incluídos em cada categoria significativa de receita.</w:t>
      </w:r>
    </w:p>
    <w:p w:rsidR="008578A2" w:rsidRPr="00181A54" w:rsidRDefault="008578A2" w:rsidP="008578A2">
      <w:pPr>
        <w:ind w:left="502"/>
        <w:jc w:val="both"/>
      </w:pPr>
    </w:p>
    <w:p w:rsidR="008578A2" w:rsidRPr="00181A54" w:rsidRDefault="008578A2" w:rsidP="008578A2">
      <w:pPr>
        <w:ind w:left="502"/>
        <w:jc w:val="both"/>
      </w:pPr>
    </w:p>
    <w:p w:rsidR="008578A2" w:rsidRPr="00181A54" w:rsidRDefault="008578A2" w:rsidP="008578A2">
      <w:pPr>
        <w:numPr>
          <w:ilvl w:val="0"/>
          <w:numId w:val="2"/>
        </w:numPr>
        <w:jc w:val="both"/>
      </w:pPr>
      <w:r w:rsidRPr="00181A54">
        <w:t>Orientação acerca da evidenciação de qualquer ativo ou passivo contingente pode ser encontrada na NBC TSP 3 - Provisões, Passivos Contingentes e Ativos Contingentes. Ativos e passivos contingentes podem surgir de itens como custos de garantias, indenizações, multas ou perdas possíveis.</w:t>
      </w:r>
    </w:p>
    <w:p w:rsidR="008578A2" w:rsidRPr="00181A54" w:rsidRDefault="008578A2" w:rsidP="008578A2">
      <w:pPr>
        <w:ind w:left="502"/>
        <w:jc w:val="both"/>
      </w:pPr>
    </w:p>
    <w:p w:rsidR="008578A2" w:rsidRPr="00181A54" w:rsidRDefault="008578A2" w:rsidP="008578A2">
      <w:pPr>
        <w:jc w:val="both"/>
      </w:pPr>
    </w:p>
    <w:p w:rsidR="008578A2" w:rsidRPr="00181A54" w:rsidRDefault="008578A2" w:rsidP="008578A2">
      <w:pPr>
        <w:jc w:val="both"/>
        <w:rPr>
          <w:b/>
        </w:rPr>
      </w:pPr>
      <w:r w:rsidRPr="00181A54">
        <w:rPr>
          <w:b/>
        </w:rPr>
        <w:t>Data Efetiva</w:t>
      </w:r>
    </w:p>
    <w:p w:rsidR="008578A2" w:rsidRPr="00181A54" w:rsidRDefault="008578A2" w:rsidP="008578A2">
      <w:pPr>
        <w:ind w:left="502"/>
        <w:jc w:val="both"/>
      </w:pPr>
    </w:p>
    <w:p w:rsidR="008578A2" w:rsidRPr="00181A54" w:rsidRDefault="002D6A45" w:rsidP="008578A2">
      <w:pPr>
        <w:numPr>
          <w:ilvl w:val="0"/>
          <w:numId w:val="2"/>
        </w:numPr>
        <w:jc w:val="both"/>
      </w:pPr>
      <w:r w:rsidRPr="00181A54">
        <w:t xml:space="preserve">Esta Norma deve ser aplicada pelas Entidades do Setor Público a partir de 1º de Janeiro de 2017, salvo na existência de algum normativo em âmbito Nacional que estabeleça prazos específicos – casos em que estes prevalecem. A aplicação antecipada é encorajada. </w:t>
      </w:r>
    </w:p>
    <w:p w:rsidR="002D6A45" w:rsidRPr="00181A54" w:rsidRDefault="002D6A45" w:rsidP="002D6A45">
      <w:pPr>
        <w:ind w:left="502"/>
        <w:jc w:val="both"/>
      </w:pPr>
    </w:p>
    <w:p w:rsidR="002D6A45" w:rsidRPr="00181A54" w:rsidRDefault="002D6A45" w:rsidP="002D6A45">
      <w:pPr>
        <w:numPr>
          <w:ilvl w:val="0"/>
          <w:numId w:val="2"/>
        </w:numPr>
        <w:jc w:val="both"/>
      </w:pPr>
      <w:r w:rsidRPr="00181A54">
        <w:t>(</w:t>
      </w:r>
      <w:r w:rsidRPr="00181A54">
        <w:rPr>
          <w:i/>
        </w:rPr>
        <w:t>não convergido</w:t>
      </w:r>
      <w:r w:rsidRPr="00181A54">
        <w:t>).</w:t>
      </w:r>
    </w:p>
    <w:p w:rsidR="002240B2" w:rsidRDefault="002240B2" w:rsidP="002240B2">
      <w:pPr>
        <w:ind w:left="720"/>
        <w:jc w:val="both"/>
      </w:pPr>
    </w:p>
    <w:p w:rsidR="00801AD6" w:rsidRDefault="00801AD6" w:rsidP="002240B2">
      <w:pPr>
        <w:ind w:left="720"/>
        <w:jc w:val="both"/>
      </w:pPr>
    </w:p>
    <w:p w:rsidR="00801AD6" w:rsidRPr="00E749F8" w:rsidRDefault="00801AD6" w:rsidP="00801AD6">
      <w:pPr>
        <w:jc w:val="both"/>
      </w:pPr>
    </w:p>
    <w:p w:rsidR="00801AD6" w:rsidRPr="00E749F8" w:rsidRDefault="00801AD6" w:rsidP="00801AD6">
      <w:pPr>
        <w:pStyle w:val="Recuodecorpodetexto2"/>
        <w:jc w:val="right"/>
      </w:pPr>
    </w:p>
    <w:p w:rsidR="00801AD6" w:rsidRPr="00E749F8" w:rsidRDefault="00801AD6" w:rsidP="00801AD6">
      <w:pPr>
        <w:pStyle w:val="Recuodecorpodetexto2"/>
        <w:jc w:val="right"/>
      </w:pPr>
      <w:r w:rsidRPr="00E749F8">
        <w:t>Brasília, XX de XXXX de 2016.</w:t>
      </w:r>
    </w:p>
    <w:p w:rsidR="00801AD6" w:rsidRPr="00E749F8" w:rsidRDefault="00801AD6" w:rsidP="00801AD6">
      <w:pPr>
        <w:pStyle w:val="Pr-formataoHTML"/>
        <w:tabs>
          <w:tab w:val="clear" w:pos="916"/>
          <w:tab w:val="left" w:pos="142"/>
          <w:tab w:val="left" w:pos="1418"/>
        </w:tabs>
        <w:autoSpaceDE w:val="0"/>
        <w:autoSpaceDN w:val="0"/>
        <w:jc w:val="both"/>
        <w:rPr>
          <w:rFonts w:ascii="Times New Roman" w:hAnsi="Times New Roman"/>
          <w:sz w:val="24"/>
          <w:szCs w:val="24"/>
        </w:rPr>
      </w:pPr>
    </w:p>
    <w:p w:rsidR="00801AD6" w:rsidRPr="00E749F8" w:rsidRDefault="00801AD6" w:rsidP="00801AD6">
      <w:pPr>
        <w:pStyle w:val="Pr-formataoHTML"/>
        <w:tabs>
          <w:tab w:val="clear" w:pos="916"/>
          <w:tab w:val="left" w:pos="142"/>
          <w:tab w:val="left" w:pos="1418"/>
        </w:tabs>
        <w:autoSpaceDE w:val="0"/>
        <w:autoSpaceDN w:val="0"/>
        <w:jc w:val="center"/>
        <w:rPr>
          <w:rFonts w:ascii="Times New Roman" w:hAnsi="Times New Roman"/>
          <w:sz w:val="24"/>
          <w:szCs w:val="24"/>
        </w:rPr>
      </w:pPr>
    </w:p>
    <w:p w:rsidR="00801AD6" w:rsidRPr="00E749F8" w:rsidRDefault="00801AD6" w:rsidP="00801AD6">
      <w:pPr>
        <w:pStyle w:val="Pr-formataoHTML"/>
        <w:tabs>
          <w:tab w:val="clear" w:pos="916"/>
          <w:tab w:val="left" w:pos="142"/>
          <w:tab w:val="left" w:pos="1418"/>
        </w:tabs>
        <w:autoSpaceDE w:val="0"/>
        <w:autoSpaceDN w:val="0"/>
        <w:jc w:val="center"/>
        <w:rPr>
          <w:rFonts w:ascii="Times New Roman" w:hAnsi="Times New Roman"/>
          <w:sz w:val="24"/>
          <w:szCs w:val="24"/>
        </w:rPr>
      </w:pPr>
    </w:p>
    <w:p w:rsidR="00801AD6" w:rsidRPr="00E749F8" w:rsidRDefault="00801AD6" w:rsidP="00801AD6">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 xml:space="preserve">Contador </w:t>
      </w:r>
      <w:r w:rsidRPr="00E749F8">
        <w:rPr>
          <w:rFonts w:ascii="Times New Roman" w:hAnsi="Times New Roman"/>
          <w:b/>
          <w:sz w:val="24"/>
          <w:szCs w:val="24"/>
        </w:rPr>
        <w:t xml:space="preserve">José </w:t>
      </w:r>
      <w:proofErr w:type="spellStart"/>
      <w:r w:rsidRPr="00E749F8">
        <w:rPr>
          <w:rFonts w:ascii="Times New Roman" w:hAnsi="Times New Roman"/>
          <w:b/>
          <w:sz w:val="24"/>
          <w:szCs w:val="24"/>
        </w:rPr>
        <w:t>Martonio</w:t>
      </w:r>
      <w:proofErr w:type="spellEnd"/>
      <w:r w:rsidRPr="00E749F8">
        <w:rPr>
          <w:rFonts w:ascii="Times New Roman" w:hAnsi="Times New Roman"/>
          <w:b/>
          <w:sz w:val="24"/>
          <w:szCs w:val="24"/>
        </w:rPr>
        <w:t xml:space="preserve"> Alves Coelho</w:t>
      </w:r>
    </w:p>
    <w:p w:rsidR="00801AD6" w:rsidRPr="00E749F8" w:rsidRDefault="00801AD6" w:rsidP="00801AD6">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Presidente</w:t>
      </w:r>
    </w:p>
    <w:p w:rsidR="00801AD6" w:rsidRPr="00801AD6" w:rsidRDefault="00801AD6" w:rsidP="002240B2">
      <w:pPr>
        <w:ind w:left="720"/>
        <w:jc w:val="both"/>
        <w:rPr>
          <w:lang/>
        </w:rPr>
      </w:pPr>
    </w:p>
    <w:p w:rsidR="00801AD6" w:rsidRDefault="00801AD6" w:rsidP="002240B2">
      <w:pPr>
        <w:ind w:left="720"/>
        <w:jc w:val="both"/>
      </w:pPr>
    </w:p>
    <w:p w:rsidR="00801AD6" w:rsidRPr="00181A54" w:rsidRDefault="00801AD6" w:rsidP="002240B2">
      <w:pPr>
        <w:ind w:left="720"/>
        <w:jc w:val="both"/>
      </w:pPr>
    </w:p>
    <w:sectPr w:rsidR="00801AD6" w:rsidRPr="00181A54" w:rsidSect="00E67045">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954" w:rsidRDefault="00D42954" w:rsidP="00A84E28">
      <w:r>
        <w:separator/>
      </w:r>
    </w:p>
  </w:endnote>
  <w:endnote w:type="continuationSeparator" w:id="0">
    <w:p w:rsidR="00D42954" w:rsidRDefault="00D42954" w:rsidP="00A84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954" w:rsidRDefault="00D42954" w:rsidP="00A84E28">
      <w:r>
        <w:separator/>
      </w:r>
    </w:p>
  </w:footnote>
  <w:footnote w:type="continuationSeparator" w:id="0">
    <w:p w:rsidR="00D42954" w:rsidRDefault="00D42954" w:rsidP="00A84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EF9"/>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CC933E1"/>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16A57C6F"/>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20A63D3B"/>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27C56873"/>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367B3F4B"/>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3CDF0218"/>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40775427"/>
    <w:multiLevelType w:val="hybridMultilevel"/>
    <w:tmpl w:val="64E8AF7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42186284"/>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56C86FE8"/>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57E70C07"/>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622F6B7F"/>
    <w:multiLevelType w:val="hybridMultilevel"/>
    <w:tmpl w:val="0FF23482"/>
    <w:lvl w:ilvl="0" w:tplc="D4D81362">
      <w:start w:val="1"/>
      <w:numFmt w:val="decimal"/>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3FA0314"/>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75337692"/>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2"/>
  </w:num>
  <w:num w:numId="2">
    <w:abstractNumId w:val="11"/>
  </w:num>
  <w:num w:numId="3">
    <w:abstractNumId w:val="8"/>
  </w:num>
  <w:num w:numId="4">
    <w:abstractNumId w:val="10"/>
  </w:num>
  <w:num w:numId="5">
    <w:abstractNumId w:val="1"/>
  </w:num>
  <w:num w:numId="6">
    <w:abstractNumId w:val="0"/>
  </w:num>
  <w:num w:numId="7">
    <w:abstractNumId w:val="13"/>
  </w:num>
  <w:num w:numId="8">
    <w:abstractNumId w:val="4"/>
  </w:num>
  <w:num w:numId="9">
    <w:abstractNumId w:val="2"/>
  </w:num>
  <w:num w:numId="10">
    <w:abstractNumId w:val="9"/>
  </w:num>
  <w:num w:numId="11">
    <w:abstractNumId w:val="3"/>
  </w:num>
  <w:num w:numId="12">
    <w:abstractNumId w:val="6"/>
  </w:num>
  <w:num w:numId="13">
    <w:abstractNumId w:val="5"/>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30A7D"/>
    <w:rsid w:val="00001AB9"/>
    <w:rsid w:val="00002108"/>
    <w:rsid w:val="000028B7"/>
    <w:rsid w:val="00003D95"/>
    <w:rsid w:val="00004DE0"/>
    <w:rsid w:val="000071F7"/>
    <w:rsid w:val="000075C5"/>
    <w:rsid w:val="0000775F"/>
    <w:rsid w:val="000078BD"/>
    <w:rsid w:val="000107F7"/>
    <w:rsid w:val="0001291A"/>
    <w:rsid w:val="00012B2B"/>
    <w:rsid w:val="000135E1"/>
    <w:rsid w:val="000139E2"/>
    <w:rsid w:val="00013FE3"/>
    <w:rsid w:val="000140D9"/>
    <w:rsid w:val="0001482A"/>
    <w:rsid w:val="00014CF8"/>
    <w:rsid w:val="00015ACB"/>
    <w:rsid w:val="00015E2F"/>
    <w:rsid w:val="000169F4"/>
    <w:rsid w:val="00017649"/>
    <w:rsid w:val="00021F79"/>
    <w:rsid w:val="000227F9"/>
    <w:rsid w:val="000227FF"/>
    <w:rsid w:val="00023854"/>
    <w:rsid w:val="00023AF7"/>
    <w:rsid w:val="00023EB2"/>
    <w:rsid w:val="00026127"/>
    <w:rsid w:val="00026613"/>
    <w:rsid w:val="000267D6"/>
    <w:rsid w:val="0003169B"/>
    <w:rsid w:val="000327C6"/>
    <w:rsid w:val="00033379"/>
    <w:rsid w:val="000335EA"/>
    <w:rsid w:val="0003370C"/>
    <w:rsid w:val="000339AC"/>
    <w:rsid w:val="00033ECE"/>
    <w:rsid w:val="00034209"/>
    <w:rsid w:val="00034D0C"/>
    <w:rsid w:val="00036255"/>
    <w:rsid w:val="00036354"/>
    <w:rsid w:val="0003697A"/>
    <w:rsid w:val="00036A51"/>
    <w:rsid w:val="00037747"/>
    <w:rsid w:val="00037F01"/>
    <w:rsid w:val="000401A0"/>
    <w:rsid w:val="00040AB0"/>
    <w:rsid w:val="0004243A"/>
    <w:rsid w:val="000438F4"/>
    <w:rsid w:val="000439C6"/>
    <w:rsid w:val="00044824"/>
    <w:rsid w:val="00045E04"/>
    <w:rsid w:val="000469EB"/>
    <w:rsid w:val="00047483"/>
    <w:rsid w:val="00047972"/>
    <w:rsid w:val="00050877"/>
    <w:rsid w:val="00050F15"/>
    <w:rsid w:val="00051410"/>
    <w:rsid w:val="00051B16"/>
    <w:rsid w:val="0005223F"/>
    <w:rsid w:val="000526C5"/>
    <w:rsid w:val="00054C0B"/>
    <w:rsid w:val="000557CE"/>
    <w:rsid w:val="000561A6"/>
    <w:rsid w:val="000561DC"/>
    <w:rsid w:val="00056EDC"/>
    <w:rsid w:val="00057957"/>
    <w:rsid w:val="00060142"/>
    <w:rsid w:val="0006069E"/>
    <w:rsid w:val="000610D1"/>
    <w:rsid w:val="00062DF4"/>
    <w:rsid w:val="000634D2"/>
    <w:rsid w:val="0006409B"/>
    <w:rsid w:val="00064FFC"/>
    <w:rsid w:val="000655AD"/>
    <w:rsid w:val="000656E2"/>
    <w:rsid w:val="00066912"/>
    <w:rsid w:val="00070152"/>
    <w:rsid w:val="00070381"/>
    <w:rsid w:val="00070AC2"/>
    <w:rsid w:val="00072E64"/>
    <w:rsid w:val="00073850"/>
    <w:rsid w:val="00073B5F"/>
    <w:rsid w:val="00073BEE"/>
    <w:rsid w:val="00074685"/>
    <w:rsid w:val="00076FD9"/>
    <w:rsid w:val="0008052D"/>
    <w:rsid w:val="00080587"/>
    <w:rsid w:val="00081626"/>
    <w:rsid w:val="00081F9C"/>
    <w:rsid w:val="0008320C"/>
    <w:rsid w:val="0008340D"/>
    <w:rsid w:val="00083836"/>
    <w:rsid w:val="000842FE"/>
    <w:rsid w:val="00084549"/>
    <w:rsid w:val="000859F7"/>
    <w:rsid w:val="000873D5"/>
    <w:rsid w:val="00087D84"/>
    <w:rsid w:val="00090C05"/>
    <w:rsid w:val="00091697"/>
    <w:rsid w:val="00091F31"/>
    <w:rsid w:val="00093DD4"/>
    <w:rsid w:val="00095DA4"/>
    <w:rsid w:val="00095F9D"/>
    <w:rsid w:val="00097428"/>
    <w:rsid w:val="000A0A00"/>
    <w:rsid w:val="000A2AB1"/>
    <w:rsid w:val="000A2F92"/>
    <w:rsid w:val="000A352E"/>
    <w:rsid w:val="000A409D"/>
    <w:rsid w:val="000A7D72"/>
    <w:rsid w:val="000B0629"/>
    <w:rsid w:val="000B0F43"/>
    <w:rsid w:val="000B0F9A"/>
    <w:rsid w:val="000B20A1"/>
    <w:rsid w:val="000B2111"/>
    <w:rsid w:val="000B2122"/>
    <w:rsid w:val="000B2678"/>
    <w:rsid w:val="000B28B7"/>
    <w:rsid w:val="000B2CEA"/>
    <w:rsid w:val="000B2EED"/>
    <w:rsid w:val="000B365D"/>
    <w:rsid w:val="000B39E0"/>
    <w:rsid w:val="000B3B29"/>
    <w:rsid w:val="000B4B46"/>
    <w:rsid w:val="000B4DCA"/>
    <w:rsid w:val="000B646F"/>
    <w:rsid w:val="000B65E2"/>
    <w:rsid w:val="000B6861"/>
    <w:rsid w:val="000B6DDF"/>
    <w:rsid w:val="000B74BE"/>
    <w:rsid w:val="000C0B65"/>
    <w:rsid w:val="000C1A5D"/>
    <w:rsid w:val="000C3600"/>
    <w:rsid w:val="000C3AD0"/>
    <w:rsid w:val="000C5E8F"/>
    <w:rsid w:val="000D11A8"/>
    <w:rsid w:val="000D2C8E"/>
    <w:rsid w:val="000D390E"/>
    <w:rsid w:val="000D40B8"/>
    <w:rsid w:val="000D56D6"/>
    <w:rsid w:val="000D5A62"/>
    <w:rsid w:val="000D5B1D"/>
    <w:rsid w:val="000D6B24"/>
    <w:rsid w:val="000D6D63"/>
    <w:rsid w:val="000D79E2"/>
    <w:rsid w:val="000D7C81"/>
    <w:rsid w:val="000D7F83"/>
    <w:rsid w:val="000E0110"/>
    <w:rsid w:val="000E0953"/>
    <w:rsid w:val="000E0D75"/>
    <w:rsid w:val="000E148A"/>
    <w:rsid w:val="000E1848"/>
    <w:rsid w:val="000E19A5"/>
    <w:rsid w:val="000E1FA9"/>
    <w:rsid w:val="000E254C"/>
    <w:rsid w:val="000E2B7E"/>
    <w:rsid w:val="000E4066"/>
    <w:rsid w:val="000E4D80"/>
    <w:rsid w:val="000E5BEF"/>
    <w:rsid w:val="000E5CD4"/>
    <w:rsid w:val="000E6125"/>
    <w:rsid w:val="000E6127"/>
    <w:rsid w:val="000E6841"/>
    <w:rsid w:val="000F0A97"/>
    <w:rsid w:val="000F1916"/>
    <w:rsid w:val="000F2905"/>
    <w:rsid w:val="000F3186"/>
    <w:rsid w:val="000F3A45"/>
    <w:rsid w:val="000F3E90"/>
    <w:rsid w:val="000F41B3"/>
    <w:rsid w:val="000F5115"/>
    <w:rsid w:val="000F5729"/>
    <w:rsid w:val="000F7BFA"/>
    <w:rsid w:val="00101924"/>
    <w:rsid w:val="00101E1F"/>
    <w:rsid w:val="00102362"/>
    <w:rsid w:val="0010302F"/>
    <w:rsid w:val="00103A05"/>
    <w:rsid w:val="00103F1E"/>
    <w:rsid w:val="0010488C"/>
    <w:rsid w:val="0010688E"/>
    <w:rsid w:val="00106DC6"/>
    <w:rsid w:val="00111ACA"/>
    <w:rsid w:val="00111B6C"/>
    <w:rsid w:val="0011215A"/>
    <w:rsid w:val="00112401"/>
    <w:rsid w:val="00112ABD"/>
    <w:rsid w:val="00113232"/>
    <w:rsid w:val="0011473A"/>
    <w:rsid w:val="00114B0B"/>
    <w:rsid w:val="00115837"/>
    <w:rsid w:val="001164F8"/>
    <w:rsid w:val="00116C5D"/>
    <w:rsid w:val="00116D10"/>
    <w:rsid w:val="0011730F"/>
    <w:rsid w:val="00117327"/>
    <w:rsid w:val="001200EC"/>
    <w:rsid w:val="00120663"/>
    <w:rsid w:val="00122EBC"/>
    <w:rsid w:val="00123CA9"/>
    <w:rsid w:val="00123E97"/>
    <w:rsid w:val="001243C4"/>
    <w:rsid w:val="00125203"/>
    <w:rsid w:val="0012526F"/>
    <w:rsid w:val="001257D9"/>
    <w:rsid w:val="001264DE"/>
    <w:rsid w:val="001277E6"/>
    <w:rsid w:val="00127BC4"/>
    <w:rsid w:val="001308BD"/>
    <w:rsid w:val="00131F4D"/>
    <w:rsid w:val="00132844"/>
    <w:rsid w:val="00133529"/>
    <w:rsid w:val="00133F2B"/>
    <w:rsid w:val="00134C44"/>
    <w:rsid w:val="00135236"/>
    <w:rsid w:val="0013610B"/>
    <w:rsid w:val="0013610F"/>
    <w:rsid w:val="00137245"/>
    <w:rsid w:val="0013725A"/>
    <w:rsid w:val="00137712"/>
    <w:rsid w:val="0013785A"/>
    <w:rsid w:val="00140107"/>
    <w:rsid w:val="00140501"/>
    <w:rsid w:val="00140686"/>
    <w:rsid w:val="00140FB4"/>
    <w:rsid w:val="001411B1"/>
    <w:rsid w:val="0014143A"/>
    <w:rsid w:val="00142A2C"/>
    <w:rsid w:val="00142C55"/>
    <w:rsid w:val="00142FA2"/>
    <w:rsid w:val="00142FC4"/>
    <w:rsid w:val="001431D5"/>
    <w:rsid w:val="00143EF2"/>
    <w:rsid w:val="00146FB1"/>
    <w:rsid w:val="00147744"/>
    <w:rsid w:val="00150684"/>
    <w:rsid w:val="00151194"/>
    <w:rsid w:val="00151911"/>
    <w:rsid w:val="00151C74"/>
    <w:rsid w:val="00152966"/>
    <w:rsid w:val="0015380B"/>
    <w:rsid w:val="0015471D"/>
    <w:rsid w:val="00155005"/>
    <w:rsid w:val="00155502"/>
    <w:rsid w:val="0015580F"/>
    <w:rsid w:val="00160364"/>
    <w:rsid w:val="001606FD"/>
    <w:rsid w:val="001607EA"/>
    <w:rsid w:val="00163A1D"/>
    <w:rsid w:val="00165700"/>
    <w:rsid w:val="0016614D"/>
    <w:rsid w:val="00166C6D"/>
    <w:rsid w:val="00170D01"/>
    <w:rsid w:val="001713F2"/>
    <w:rsid w:val="0017205B"/>
    <w:rsid w:val="001726FE"/>
    <w:rsid w:val="00172AB2"/>
    <w:rsid w:val="0017428F"/>
    <w:rsid w:val="00174841"/>
    <w:rsid w:val="00174E2D"/>
    <w:rsid w:val="00175540"/>
    <w:rsid w:val="00176048"/>
    <w:rsid w:val="00176114"/>
    <w:rsid w:val="00176A1E"/>
    <w:rsid w:val="00177315"/>
    <w:rsid w:val="001775CD"/>
    <w:rsid w:val="0017777B"/>
    <w:rsid w:val="001800F7"/>
    <w:rsid w:val="00181A54"/>
    <w:rsid w:val="00181CAF"/>
    <w:rsid w:val="001821B8"/>
    <w:rsid w:val="001824DF"/>
    <w:rsid w:val="001825EB"/>
    <w:rsid w:val="00182F84"/>
    <w:rsid w:val="00185534"/>
    <w:rsid w:val="00185A01"/>
    <w:rsid w:val="00185DCD"/>
    <w:rsid w:val="001868BD"/>
    <w:rsid w:val="00186A38"/>
    <w:rsid w:val="00186B78"/>
    <w:rsid w:val="00187049"/>
    <w:rsid w:val="0018752C"/>
    <w:rsid w:val="00187A1A"/>
    <w:rsid w:val="001902CB"/>
    <w:rsid w:val="00190BA6"/>
    <w:rsid w:val="00191E2E"/>
    <w:rsid w:val="00192F18"/>
    <w:rsid w:val="0019460B"/>
    <w:rsid w:val="00194BB9"/>
    <w:rsid w:val="00194C1B"/>
    <w:rsid w:val="00196B71"/>
    <w:rsid w:val="001A0EBF"/>
    <w:rsid w:val="001A1B6E"/>
    <w:rsid w:val="001A22C2"/>
    <w:rsid w:val="001A2AE9"/>
    <w:rsid w:val="001A3172"/>
    <w:rsid w:val="001A3706"/>
    <w:rsid w:val="001A3F72"/>
    <w:rsid w:val="001A583D"/>
    <w:rsid w:val="001A5F1D"/>
    <w:rsid w:val="001A6D77"/>
    <w:rsid w:val="001A762A"/>
    <w:rsid w:val="001A7B8D"/>
    <w:rsid w:val="001B0E61"/>
    <w:rsid w:val="001B1BD9"/>
    <w:rsid w:val="001B2265"/>
    <w:rsid w:val="001B2505"/>
    <w:rsid w:val="001B2D98"/>
    <w:rsid w:val="001B3817"/>
    <w:rsid w:val="001B3ED2"/>
    <w:rsid w:val="001B5063"/>
    <w:rsid w:val="001B51D2"/>
    <w:rsid w:val="001B5B08"/>
    <w:rsid w:val="001B60D7"/>
    <w:rsid w:val="001B634D"/>
    <w:rsid w:val="001B7566"/>
    <w:rsid w:val="001B7659"/>
    <w:rsid w:val="001B77E4"/>
    <w:rsid w:val="001C34A0"/>
    <w:rsid w:val="001C4048"/>
    <w:rsid w:val="001C40EB"/>
    <w:rsid w:val="001C4D88"/>
    <w:rsid w:val="001C6CDC"/>
    <w:rsid w:val="001D059C"/>
    <w:rsid w:val="001D0A41"/>
    <w:rsid w:val="001D0E81"/>
    <w:rsid w:val="001D10C2"/>
    <w:rsid w:val="001D1485"/>
    <w:rsid w:val="001D38B3"/>
    <w:rsid w:val="001D4388"/>
    <w:rsid w:val="001D6D38"/>
    <w:rsid w:val="001E083E"/>
    <w:rsid w:val="001E0FA8"/>
    <w:rsid w:val="001E143B"/>
    <w:rsid w:val="001E2DFE"/>
    <w:rsid w:val="001E3109"/>
    <w:rsid w:val="001E34FE"/>
    <w:rsid w:val="001E4B63"/>
    <w:rsid w:val="001E5636"/>
    <w:rsid w:val="001E6A9E"/>
    <w:rsid w:val="001F11EE"/>
    <w:rsid w:val="001F151B"/>
    <w:rsid w:val="001F1979"/>
    <w:rsid w:val="001F28B0"/>
    <w:rsid w:val="001F3789"/>
    <w:rsid w:val="001F666E"/>
    <w:rsid w:val="00200112"/>
    <w:rsid w:val="00200377"/>
    <w:rsid w:val="00201A2F"/>
    <w:rsid w:val="00201DF8"/>
    <w:rsid w:val="002024CE"/>
    <w:rsid w:val="00202943"/>
    <w:rsid w:val="002030E8"/>
    <w:rsid w:val="002048B1"/>
    <w:rsid w:val="00205B20"/>
    <w:rsid w:val="00205E7D"/>
    <w:rsid w:val="00206024"/>
    <w:rsid w:val="00207287"/>
    <w:rsid w:val="00207581"/>
    <w:rsid w:val="00207D68"/>
    <w:rsid w:val="00211774"/>
    <w:rsid w:val="00211BB2"/>
    <w:rsid w:val="00213E2C"/>
    <w:rsid w:val="0021474D"/>
    <w:rsid w:val="00215685"/>
    <w:rsid w:val="00215B1A"/>
    <w:rsid w:val="00215F3C"/>
    <w:rsid w:val="00217420"/>
    <w:rsid w:val="00220F0F"/>
    <w:rsid w:val="0022182A"/>
    <w:rsid w:val="00221AB4"/>
    <w:rsid w:val="00222BA7"/>
    <w:rsid w:val="002240B2"/>
    <w:rsid w:val="002244A8"/>
    <w:rsid w:val="0022468A"/>
    <w:rsid w:val="0022547F"/>
    <w:rsid w:val="00225E3A"/>
    <w:rsid w:val="00225EAC"/>
    <w:rsid w:val="00227397"/>
    <w:rsid w:val="0023031E"/>
    <w:rsid w:val="0023096C"/>
    <w:rsid w:val="00230AAE"/>
    <w:rsid w:val="00232CAA"/>
    <w:rsid w:val="00235C59"/>
    <w:rsid w:val="0023603E"/>
    <w:rsid w:val="002363D5"/>
    <w:rsid w:val="00236BE7"/>
    <w:rsid w:val="00237439"/>
    <w:rsid w:val="00240742"/>
    <w:rsid w:val="002431FF"/>
    <w:rsid w:val="00244DE5"/>
    <w:rsid w:val="00246457"/>
    <w:rsid w:val="002475DA"/>
    <w:rsid w:val="00247716"/>
    <w:rsid w:val="00247FEF"/>
    <w:rsid w:val="00251D9D"/>
    <w:rsid w:val="00252191"/>
    <w:rsid w:val="00252939"/>
    <w:rsid w:val="00252AAD"/>
    <w:rsid w:val="00252EDB"/>
    <w:rsid w:val="00253760"/>
    <w:rsid w:val="002541B8"/>
    <w:rsid w:val="002544B4"/>
    <w:rsid w:val="0025470C"/>
    <w:rsid w:val="00254998"/>
    <w:rsid w:val="002567D5"/>
    <w:rsid w:val="00256E73"/>
    <w:rsid w:val="00257111"/>
    <w:rsid w:val="00257452"/>
    <w:rsid w:val="00257494"/>
    <w:rsid w:val="00257E63"/>
    <w:rsid w:val="00261FAB"/>
    <w:rsid w:val="0026207B"/>
    <w:rsid w:val="00262DBF"/>
    <w:rsid w:val="002631E5"/>
    <w:rsid w:val="00263DC4"/>
    <w:rsid w:val="00263F62"/>
    <w:rsid w:val="00264F46"/>
    <w:rsid w:val="00265B3D"/>
    <w:rsid w:val="0026618D"/>
    <w:rsid w:val="00266C90"/>
    <w:rsid w:val="00270444"/>
    <w:rsid w:val="002711CE"/>
    <w:rsid w:val="002724ED"/>
    <w:rsid w:val="002738F5"/>
    <w:rsid w:val="00274477"/>
    <w:rsid w:val="0027540C"/>
    <w:rsid w:val="0027567C"/>
    <w:rsid w:val="00275A0B"/>
    <w:rsid w:val="0027690A"/>
    <w:rsid w:val="0027744F"/>
    <w:rsid w:val="00280042"/>
    <w:rsid w:val="00280225"/>
    <w:rsid w:val="00281112"/>
    <w:rsid w:val="0028196F"/>
    <w:rsid w:val="00281A9B"/>
    <w:rsid w:val="00281B9E"/>
    <w:rsid w:val="00281D3F"/>
    <w:rsid w:val="002829AE"/>
    <w:rsid w:val="00282BC4"/>
    <w:rsid w:val="00282F47"/>
    <w:rsid w:val="00283696"/>
    <w:rsid w:val="00283B1D"/>
    <w:rsid w:val="00283B2D"/>
    <w:rsid w:val="00284CC8"/>
    <w:rsid w:val="00284E0C"/>
    <w:rsid w:val="0028500E"/>
    <w:rsid w:val="0028541A"/>
    <w:rsid w:val="00286F7D"/>
    <w:rsid w:val="00287CBB"/>
    <w:rsid w:val="00287F0B"/>
    <w:rsid w:val="00292208"/>
    <w:rsid w:val="00293689"/>
    <w:rsid w:val="00293FB2"/>
    <w:rsid w:val="00294E41"/>
    <w:rsid w:val="00295B7A"/>
    <w:rsid w:val="00296794"/>
    <w:rsid w:val="0029740C"/>
    <w:rsid w:val="002A03B1"/>
    <w:rsid w:val="002A0A34"/>
    <w:rsid w:val="002A1C3A"/>
    <w:rsid w:val="002A2ADB"/>
    <w:rsid w:val="002A5507"/>
    <w:rsid w:val="002A5AF9"/>
    <w:rsid w:val="002A5F87"/>
    <w:rsid w:val="002A7C42"/>
    <w:rsid w:val="002A7CC4"/>
    <w:rsid w:val="002A7CDC"/>
    <w:rsid w:val="002A7CE8"/>
    <w:rsid w:val="002B0062"/>
    <w:rsid w:val="002B078B"/>
    <w:rsid w:val="002B08C6"/>
    <w:rsid w:val="002B0D36"/>
    <w:rsid w:val="002B16CA"/>
    <w:rsid w:val="002B3127"/>
    <w:rsid w:val="002B4D22"/>
    <w:rsid w:val="002B4ECD"/>
    <w:rsid w:val="002B528D"/>
    <w:rsid w:val="002B55ED"/>
    <w:rsid w:val="002B5A28"/>
    <w:rsid w:val="002B72AD"/>
    <w:rsid w:val="002B757F"/>
    <w:rsid w:val="002B7BA0"/>
    <w:rsid w:val="002C1A4B"/>
    <w:rsid w:val="002C2A91"/>
    <w:rsid w:val="002C6BC7"/>
    <w:rsid w:val="002C6EAD"/>
    <w:rsid w:val="002D08C8"/>
    <w:rsid w:val="002D100F"/>
    <w:rsid w:val="002D182D"/>
    <w:rsid w:val="002D3AC5"/>
    <w:rsid w:val="002D6A23"/>
    <w:rsid w:val="002D6A45"/>
    <w:rsid w:val="002D6C82"/>
    <w:rsid w:val="002E017C"/>
    <w:rsid w:val="002E0396"/>
    <w:rsid w:val="002E08DE"/>
    <w:rsid w:val="002E25A1"/>
    <w:rsid w:val="002E2F8C"/>
    <w:rsid w:val="002E3C01"/>
    <w:rsid w:val="002E5390"/>
    <w:rsid w:val="002E5628"/>
    <w:rsid w:val="002E6934"/>
    <w:rsid w:val="002E6F88"/>
    <w:rsid w:val="002F077C"/>
    <w:rsid w:val="002F0CD8"/>
    <w:rsid w:val="002F1711"/>
    <w:rsid w:val="002F1A7F"/>
    <w:rsid w:val="002F3C96"/>
    <w:rsid w:val="002F5F12"/>
    <w:rsid w:val="002F6769"/>
    <w:rsid w:val="002F728A"/>
    <w:rsid w:val="00300093"/>
    <w:rsid w:val="00300CA8"/>
    <w:rsid w:val="00301F60"/>
    <w:rsid w:val="0030223F"/>
    <w:rsid w:val="00303E71"/>
    <w:rsid w:val="00304125"/>
    <w:rsid w:val="00304207"/>
    <w:rsid w:val="003046C1"/>
    <w:rsid w:val="00304F9C"/>
    <w:rsid w:val="00305C9A"/>
    <w:rsid w:val="00306831"/>
    <w:rsid w:val="00307B38"/>
    <w:rsid w:val="00307BCA"/>
    <w:rsid w:val="00310269"/>
    <w:rsid w:val="0031051B"/>
    <w:rsid w:val="003109C6"/>
    <w:rsid w:val="0031223D"/>
    <w:rsid w:val="00312452"/>
    <w:rsid w:val="003130ED"/>
    <w:rsid w:val="003131E7"/>
    <w:rsid w:val="003138C9"/>
    <w:rsid w:val="0031404F"/>
    <w:rsid w:val="003140A4"/>
    <w:rsid w:val="00314B56"/>
    <w:rsid w:val="00315798"/>
    <w:rsid w:val="0031579C"/>
    <w:rsid w:val="00315E1C"/>
    <w:rsid w:val="0031702C"/>
    <w:rsid w:val="00317CE1"/>
    <w:rsid w:val="00321570"/>
    <w:rsid w:val="003219D2"/>
    <w:rsid w:val="00322314"/>
    <w:rsid w:val="00324D8F"/>
    <w:rsid w:val="00325066"/>
    <w:rsid w:val="00325206"/>
    <w:rsid w:val="00325536"/>
    <w:rsid w:val="00325586"/>
    <w:rsid w:val="00326749"/>
    <w:rsid w:val="00326F64"/>
    <w:rsid w:val="0032702C"/>
    <w:rsid w:val="0032732C"/>
    <w:rsid w:val="0032780D"/>
    <w:rsid w:val="00327BD9"/>
    <w:rsid w:val="0033133C"/>
    <w:rsid w:val="00332AD1"/>
    <w:rsid w:val="00332B5D"/>
    <w:rsid w:val="0033498B"/>
    <w:rsid w:val="003367BA"/>
    <w:rsid w:val="003371B3"/>
    <w:rsid w:val="00337CED"/>
    <w:rsid w:val="00340EB5"/>
    <w:rsid w:val="00343DEB"/>
    <w:rsid w:val="00345A13"/>
    <w:rsid w:val="00346501"/>
    <w:rsid w:val="00346661"/>
    <w:rsid w:val="003466FD"/>
    <w:rsid w:val="0034720F"/>
    <w:rsid w:val="00351C60"/>
    <w:rsid w:val="00352990"/>
    <w:rsid w:val="00352ACB"/>
    <w:rsid w:val="00354BAC"/>
    <w:rsid w:val="00355892"/>
    <w:rsid w:val="00356160"/>
    <w:rsid w:val="00356708"/>
    <w:rsid w:val="003569E9"/>
    <w:rsid w:val="00356DEB"/>
    <w:rsid w:val="00357266"/>
    <w:rsid w:val="00357895"/>
    <w:rsid w:val="003603DB"/>
    <w:rsid w:val="00360617"/>
    <w:rsid w:val="00362ACC"/>
    <w:rsid w:val="00363431"/>
    <w:rsid w:val="0036369D"/>
    <w:rsid w:val="0036415C"/>
    <w:rsid w:val="00364536"/>
    <w:rsid w:val="003661D6"/>
    <w:rsid w:val="00367B58"/>
    <w:rsid w:val="00370012"/>
    <w:rsid w:val="003702A3"/>
    <w:rsid w:val="0037089D"/>
    <w:rsid w:val="00371707"/>
    <w:rsid w:val="00371D33"/>
    <w:rsid w:val="00373AFE"/>
    <w:rsid w:val="00373D20"/>
    <w:rsid w:val="00373FCC"/>
    <w:rsid w:val="003745D5"/>
    <w:rsid w:val="003745EE"/>
    <w:rsid w:val="00374BFF"/>
    <w:rsid w:val="0037539A"/>
    <w:rsid w:val="00375AB4"/>
    <w:rsid w:val="0037729B"/>
    <w:rsid w:val="00377317"/>
    <w:rsid w:val="0038055F"/>
    <w:rsid w:val="00380A02"/>
    <w:rsid w:val="00381037"/>
    <w:rsid w:val="00381930"/>
    <w:rsid w:val="00381C6C"/>
    <w:rsid w:val="00383142"/>
    <w:rsid w:val="003858B9"/>
    <w:rsid w:val="003871C6"/>
    <w:rsid w:val="00387A1C"/>
    <w:rsid w:val="00390848"/>
    <w:rsid w:val="00390912"/>
    <w:rsid w:val="00391C1B"/>
    <w:rsid w:val="00392194"/>
    <w:rsid w:val="00392930"/>
    <w:rsid w:val="00393150"/>
    <w:rsid w:val="0039341C"/>
    <w:rsid w:val="0039363D"/>
    <w:rsid w:val="003939EE"/>
    <w:rsid w:val="00393B6D"/>
    <w:rsid w:val="00393F9F"/>
    <w:rsid w:val="003947D8"/>
    <w:rsid w:val="00394846"/>
    <w:rsid w:val="00395396"/>
    <w:rsid w:val="003959EF"/>
    <w:rsid w:val="00396B7F"/>
    <w:rsid w:val="00396DDF"/>
    <w:rsid w:val="0039729B"/>
    <w:rsid w:val="00397550"/>
    <w:rsid w:val="003A0821"/>
    <w:rsid w:val="003A0AC0"/>
    <w:rsid w:val="003A1604"/>
    <w:rsid w:val="003A16C8"/>
    <w:rsid w:val="003A19BB"/>
    <w:rsid w:val="003A2272"/>
    <w:rsid w:val="003A29C0"/>
    <w:rsid w:val="003A2ED1"/>
    <w:rsid w:val="003A3274"/>
    <w:rsid w:val="003A4487"/>
    <w:rsid w:val="003A5641"/>
    <w:rsid w:val="003A73D8"/>
    <w:rsid w:val="003A7ED8"/>
    <w:rsid w:val="003B0165"/>
    <w:rsid w:val="003B05DB"/>
    <w:rsid w:val="003B275B"/>
    <w:rsid w:val="003B4001"/>
    <w:rsid w:val="003B44B3"/>
    <w:rsid w:val="003B4A80"/>
    <w:rsid w:val="003B5D70"/>
    <w:rsid w:val="003B5E17"/>
    <w:rsid w:val="003B6086"/>
    <w:rsid w:val="003C02FD"/>
    <w:rsid w:val="003C245C"/>
    <w:rsid w:val="003C2E00"/>
    <w:rsid w:val="003C3092"/>
    <w:rsid w:val="003C396D"/>
    <w:rsid w:val="003C3D85"/>
    <w:rsid w:val="003C4D9C"/>
    <w:rsid w:val="003C5244"/>
    <w:rsid w:val="003C599B"/>
    <w:rsid w:val="003C5FFA"/>
    <w:rsid w:val="003C6BB0"/>
    <w:rsid w:val="003C7062"/>
    <w:rsid w:val="003C70B8"/>
    <w:rsid w:val="003D0F65"/>
    <w:rsid w:val="003D13D2"/>
    <w:rsid w:val="003D171B"/>
    <w:rsid w:val="003D1A08"/>
    <w:rsid w:val="003D1CF6"/>
    <w:rsid w:val="003D1EA9"/>
    <w:rsid w:val="003D2A3D"/>
    <w:rsid w:val="003D2DAE"/>
    <w:rsid w:val="003D3770"/>
    <w:rsid w:val="003D428E"/>
    <w:rsid w:val="003D4D34"/>
    <w:rsid w:val="003D51CE"/>
    <w:rsid w:val="003E09BB"/>
    <w:rsid w:val="003E0E50"/>
    <w:rsid w:val="003E215F"/>
    <w:rsid w:val="003E21EE"/>
    <w:rsid w:val="003E2A2F"/>
    <w:rsid w:val="003E2D5C"/>
    <w:rsid w:val="003E35F6"/>
    <w:rsid w:val="003E3731"/>
    <w:rsid w:val="003E44A3"/>
    <w:rsid w:val="003E44BB"/>
    <w:rsid w:val="003E57E0"/>
    <w:rsid w:val="003E78A9"/>
    <w:rsid w:val="003F18F9"/>
    <w:rsid w:val="003F1974"/>
    <w:rsid w:val="003F28B2"/>
    <w:rsid w:val="003F3694"/>
    <w:rsid w:val="003F3979"/>
    <w:rsid w:val="003F4296"/>
    <w:rsid w:val="003F4E2A"/>
    <w:rsid w:val="003F5186"/>
    <w:rsid w:val="003F5AC2"/>
    <w:rsid w:val="00400180"/>
    <w:rsid w:val="004003FB"/>
    <w:rsid w:val="00400647"/>
    <w:rsid w:val="0040102E"/>
    <w:rsid w:val="00401EFF"/>
    <w:rsid w:val="004022C4"/>
    <w:rsid w:val="004029D3"/>
    <w:rsid w:val="00402A44"/>
    <w:rsid w:val="00404748"/>
    <w:rsid w:val="00406526"/>
    <w:rsid w:val="004065F6"/>
    <w:rsid w:val="00406A78"/>
    <w:rsid w:val="00407850"/>
    <w:rsid w:val="00411EE3"/>
    <w:rsid w:val="00412CBA"/>
    <w:rsid w:val="00413067"/>
    <w:rsid w:val="00413585"/>
    <w:rsid w:val="00413BBC"/>
    <w:rsid w:val="00415C62"/>
    <w:rsid w:val="00415CF7"/>
    <w:rsid w:val="00416845"/>
    <w:rsid w:val="00416D0C"/>
    <w:rsid w:val="00416F5E"/>
    <w:rsid w:val="00417E44"/>
    <w:rsid w:val="00417F4A"/>
    <w:rsid w:val="0042017D"/>
    <w:rsid w:val="004202DE"/>
    <w:rsid w:val="00420B70"/>
    <w:rsid w:val="0042246E"/>
    <w:rsid w:val="0042447D"/>
    <w:rsid w:val="00424887"/>
    <w:rsid w:val="00424F13"/>
    <w:rsid w:val="00425CD1"/>
    <w:rsid w:val="00426C07"/>
    <w:rsid w:val="00426EF1"/>
    <w:rsid w:val="004274E1"/>
    <w:rsid w:val="00427523"/>
    <w:rsid w:val="00427E79"/>
    <w:rsid w:val="004311EB"/>
    <w:rsid w:val="004316A4"/>
    <w:rsid w:val="00432BE2"/>
    <w:rsid w:val="00433039"/>
    <w:rsid w:val="004337C9"/>
    <w:rsid w:val="0043389A"/>
    <w:rsid w:val="00434066"/>
    <w:rsid w:val="00434203"/>
    <w:rsid w:val="0043433A"/>
    <w:rsid w:val="004355FF"/>
    <w:rsid w:val="0043571B"/>
    <w:rsid w:val="0043641C"/>
    <w:rsid w:val="004371FB"/>
    <w:rsid w:val="00440971"/>
    <w:rsid w:val="00440C87"/>
    <w:rsid w:val="004412B7"/>
    <w:rsid w:val="00444115"/>
    <w:rsid w:val="00445A50"/>
    <w:rsid w:val="00447D83"/>
    <w:rsid w:val="00450ED9"/>
    <w:rsid w:val="00451A38"/>
    <w:rsid w:val="00452B10"/>
    <w:rsid w:val="00452D3D"/>
    <w:rsid w:val="00455881"/>
    <w:rsid w:val="00456632"/>
    <w:rsid w:val="00456CC6"/>
    <w:rsid w:val="0045708A"/>
    <w:rsid w:val="00457344"/>
    <w:rsid w:val="00457EAE"/>
    <w:rsid w:val="00461289"/>
    <w:rsid w:val="00461B7F"/>
    <w:rsid w:val="00462745"/>
    <w:rsid w:val="0046293E"/>
    <w:rsid w:val="0046345A"/>
    <w:rsid w:val="00463FB5"/>
    <w:rsid w:val="004643A8"/>
    <w:rsid w:val="00464589"/>
    <w:rsid w:val="0046475A"/>
    <w:rsid w:val="004658D9"/>
    <w:rsid w:val="00467453"/>
    <w:rsid w:val="0046776F"/>
    <w:rsid w:val="00470568"/>
    <w:rsid w:val="00471D05"/>
    <w:rsid w:val="004727D3"/>
    <w:rsid w:val="00472C8E"/>
    <w:rsid w:val="004746E2"/>
    <w:rsid w:val="004750D1"/>
    <w:rsid w:val="00475226"/>
    <w:rsid w:val="00475CF7"/>
    <w:rsid w:val="0047639E"/>
    <w:rsid w:val="004767CE"/>
    <w:rsid w:val="00476DB4"/>
    <w:rsid w:val="00477AFB"/>
    <w:rsid w:val="00480753"/>
    <w:rsid w:val="00480967"/>
    <w:rsid w:val="004823EE"/>
    <w:rsid w:val="00482B85"/>
    <w:rsid w:val="004839F5"/>
    <w:rsid w:val="00483B33"/>
    <w:rsid w:val="0048791E"/>
    <w:rsid w:val="00490072"/>
    <w:rsid w:val="00490344"/>
    <w:rsid w:val="004913D4"/>
    <w:rsid w:val="00491A16"/>
    <w:rsid w:val="00492581"/>
    <w:rsid w:val="004945AC"/>
    <w:rsid w:val="00497B6C"/>
    <w:rsid w:val="00497F5A"/>
    <w:rsid w:val="004A03C6"/>
    <w:rsid w:val="004A1699"/>
    <w:rsid w:val="004A1806"/>
    <w:rsid w:val="004A1CEF"/>
    <w:rsid w:val="004A270D"/>
    <w:rsid w:val="004A2AD8"/>
    <w:rsid w:val="004A2C4A"/>
    <w:rsid w:val="004A345E"/>
    <w:rsid w:val="004A42BE"/>
    <w:rsid w:val="004A43E7"/>
    <w:rsid w:val="004A4A01"/>
    <w:rsid w:val="004A504B"/>
    <w:rsid w:val="004A56EB"/>
    <w:rsid w:val="004A5AB0"/>
    <w:rsid w:val="004A6262"/>
    <w:rsid w:val="004A63B5"/>
    <w:rsid w:val="004A6598"/>
    <w:rsid w:val="004A6C07"/>
    <w:rsid w:val="004B02B6"/>
    <w:rsid w:val="004B1461"/>
    <w:rsid w:val="004B198A"/>
    <w:rsid w:val="004B1C49"/>
    <w:rsid w:val="004B3279"/>
    <w:rsid w:val="004B4123"/>
    <w:rsid w:val="004B41C3"/>
    <w:rsid w:val="004B4873"/>
    <w:rsid w:val="004B5606"/>
    <w:rsid w:val="004B58AB"/>
    <w:rsid w:val="004B6432"/>
    <w:rsid w:val="004B7B9C"/>
    <w:rsid w:val="004B7BAC"/>
    <w:rsid w:val="004B7C89"/>
    <w:rsid w:val="004C0065"/>
    <w:rsid w:val="004C11D5"/>
    <w:rsid w:val="004C124A"/>
    <w:rsid w:val="004C2012"/>
    <w:rsid w:val="004C23D6"/>
    <w:rsid w:val="004C2A24"/>
    <w:rsid w:val="004C35AC"/>
    <w:rsid w:val="004C4502"/>
    <w:rsid w:val="004C4A09"/>
    <w:rsid w:val="004C6652"/>
    <w:rsid w:val="004C6679"/>
    <w:rsid w:val="004C6683"/>
    <w:rsid w:val="004C6E8F"/>
    <w:rsid w:val="004C77F1"/>
    <w:rsid w:val="004D0445"/>
    <w:rsid w:val="004D22EC"/>
    <w:rsid w:val="004D4064"/>
    <w:rsid w:val="004D4C56"/>
    <w:rsid w:val="004D5646"/>
    <w:rsid w:val="004D5936"/>
    <w:rsid w:val="004D59FB"/>
    <w:rsid w:val="004D678A"/>
    <w:rsid w:val="004D7FB9"/>
    <w:rsid w:val="004E0997"/>
    <w:rsid w:val="004E1603"/>
    <w:rsid w:val="004E1FCA"/>
    <w:rsid w:val="004E1FD7"/>
    <w:rsid w:val="004E3237"/>
    <w:rsid w:val="004E41DA"/>
    <w:rsid w:val="004E496D"/>
    <w:rsid w:val="004E4BA0"/>
    <w:rsid w:val="004E543D"/>
    <w:rsid w:val="004E5773"/>
    <w:rsid w:val="004E5D48"/>
    <w:rsid w:val="004E6CA4"/>
    <w:rsid w:val="004E72AB"/>
    <w:rsid w:val="004E744E"/>
    <w:rsid w:val="004E78B9"/>
    <w:rsid w:val="004F0199"/>
    <w:rsid w:val="004F0C6A"/>
    <w:rsid w:val="004F0F01"/>
    <w:rsid w:val="004F11B0"/>
    <w:rsid w:val="004F2F89"/>
    <w:rsid w:val="004F419B"/>
    <w:rsid w:val="004F49BA"/>
    <w:rsid w:val="004F522A"/>
    <w:rsid w:val="004F52FC"/>
    <w:rsid w:val="004F6884"/>
    <w:rsid w:val="004F6E09"/>
    <w:rsid w:val="004F7497"/>
    <w:rsid w:val="004F7ABB"/>
    <w:rsid w:val="004F7FBC"/>
    <w:rsid w:val="00500112"/>
    <w:rsid w:val="00500677"/>
    <w:rsid w:val="005009D2"/>
    <w:rsid w:val="00500B2E"/>
    <w:rsid w:val="00501530"/>
    <w:rsid w:val="0050166F"/>
    <w:rsid w:val="00501B86"/>
    <w:rsid w:val="00503928"/>
    <w:rsid w:val="00503F8A"/>
    <w:rsid w:val="005041B0"/>
    <w:rsid w:val="00504292"/>
    <w:rsid w:val="005053D9"/>
    <w:rsid w:val="005062D0"/>
    <w:rsid w:val="005073D7"/>
    <w:rsid w:val="00507854"/>
    <w:rsid w:val="00507E7C"/>
    <w:rsid w:val="005107C8"/>
    <w:rsid w:val="00510D10"/>
    <w:rsid w:val="00511CD8"/>
    <w:rsid w:val="00512913"/>
    <w:rsid w:val="00512CA6"/>
    <w:rsid w:val="005130EC"/>
    <w:rsid w:val="00514338"/>
    <w:rsid w:val="0051444D"/>
    <w:rsid w:val="0051467E"/>
    <w:rsid w:val="00515E31"/>
    <w:rsid w:val="005170AA"/>
    <w:rsid w:val="0052214C"/>
    <w:rsid w:val="0052233E"/>
    <w:rsid w:val="005226B8"/>
    <w:rsid w:val="005230BF"/>
    <w:rsid w:val="00524085"/>
    <w:rsid w:val="0052592A"/>
    <w:rsid w:val="00527BF3"/>
    <w:rsid w:val="0053045F"/>
    <w:rsid w:val="005309EC"/>
    <w:rsid w:val="005318D9"/>
    <w:rsid w:val="005318FA"/>
    <w:rsid w:val="0053255A"/>
    <w:rsid w:val="00533C52"/>
    <w:rsid w:val="005347D1"/>
    <w:rsid w:val="00534C9A"/>
    <w:rsid w:val="00535B0B"/>
    <w:rsid w:val="00535B3A"/>
    <w:rsid w:val="005360AE"/>
    <w:rsid w:val="0053657C"/>
    <w:rsid w:val="00536639"/>
    <w:rsid w:val="005375C6"/>
    <w:rsid w:val="0054078A"/>
    <w:rsid w:val="00541701"/>
    <w:rsid w:val="0054193C"/>
    <w:rsid w:val="00541DF1"/>
    <w:rsid w:val="00542CA5"/>
    <w:rsid w:val="00543265"/>
    <w:rsid w:val="0054484B"/>
    <w:rsid w:val="005457C7"/>
    <w:rsid w:val="005458FA"/>
    <w:rsid w:val="005468A9"/>
    <w:rsid w:val="00547130"/>
    <w:rsid w:val="00547E55"/>
    <w:rsid w:val="0055029A"/>
    <w:rsid w:val="00551830"/>
    <w:rsid w:val="005518E9"/>
    <w:rsid w:val="005523CA"/>
    <w:rsid w:val="00552613"/>
    <w:rsid w:val="00554F26"/>
    <w:rsid w:val="0055548B"/>
    <w:rsid w:val="005555BE"/>
    <w:rsid w:val="005575E5"/>
    <w:rsid w:val="005578C5"/>
    <w:rsid w:val="00560569"/>
    <w:rsid w:val="00561208"/>
    <w:rsid w:val="0056170E"/>
    <w:rsid w:val="00561979"/>
    <w:rsid w:val="00562FAD"/>
    <w:rsid w:val="00563C5E"/>
    <w:rsid w:val="005640DD"/>
    <w:rsid w:val="005671B4"/>
    <w:rsid w:val="00567DCB"/>
    <w:rsid w:val="0057178E"/>
    <w:rsid w:val="00573119"/>
    <w:rsid w:val="00573A63"/>
    <w:rsid w:val="00575175"/>
    <w:rsid w:val="005773B3"/>
    <w:rsid w:val="005817B7"/>
    <w:rsid w:val="00581B46"/>
    <w:rsid w:val="005829D9"/>
    <w:rsid w:val="0058423F"/>
    <w:rsid w:val="00585812"/>
    <w:rsid w:val="00585934"/>
    <w:rsid w:val="00586C61"/>
    <w:rsid w:val="00586DF6"/>
    <w:rsid w:val="0058710C"/>
    <w:rsid w:val="00587C01"/>
    <w:rsid w:val="005904F0"/>
    <w:rsid w:val="0059051D"/>
    <w:rsid w:val="00590C18"/>
    <w:rsid w:val="005915D5"/>
    <w:rsid w:val="00592B7B"/>
    <w:rsid w:val="00592F1B"/>
    <w:rsid w:val="00595F4E"/>
    <w:rsid w:val="00597034"/>
    <w:rsid w:val="00597576"/>
    <w:rsid w:val="0059791A"/>
    <w:rsid w:val="00597ABC"/>
    <w:rsid w:val="005A2084"/>
    <w:rsid w:val="005A23F6"/>
    <w:rsid w:val="005A3D3C"/>
    <w:rsid w:val="005A3D5A"/>
    <w:rsid w:val="005A3DD0"/>
    <w:rsid w:val="005A4999"/>
    <w:rsid w:val="005A5097"/>
    <w:rsid w:val="005A6136"/>
    <w:rsid w:val="005A61CE"/>
    <w:rsid w:val="005A64F2"/>
    <w:rsid w:val="005A72E0"/>
    <w:rsid w:val="005A7339"/>
    <w:rsid w:val="005A748B"/>
    <w:rsid w:val="005A777B"/>
    <w:rsid w:val="005B0F5A"/>
    <w:rsid w:val="005B1644"/>
    <w:rsid w:val="005B1687"/>
    <w:rsid w:val="005B1786"/>
    <w:rsid w:val="005B3746"/>
    <w:rsid w:val="005B3F74"/>
    <w:rsid w:val="005B403B"/>
    <w:rsid w:val="005B60CB"/>
    <w:rsid w:val="005B6447"/>
    <w:rsid w:val="005B6DD2"/>
    <w:rsid w:val="005B76B9"/>
    <w:rsid w:val="005C03CF"/>
    <w:rsid w:val="005C138D"/>
    <w:rsid w:val="005C13BF"/>
    <w:rsid w:val="005C1C63"/>
    <w:rsid w:val="005C1F2F"/>
    <w:rsid w:val="005C39F3"/>
    <w:rsid w:val="005C3C9F"/>
    <w:rsid w:val="005C41EA"/>
    <w:rsid w:val="005C533F"/>
    <w:rsid w:val="005C5420"/>
    <w:rsid w:val="005C56A5"/>
    <w:rsid w:val="005C5C66"/>
    <w:rsid w:val="005C5E2D"/>
    <w:rsid w:val="005C6556"/>
    <w:rsid w:val="005C66D8"/>
    <w:rsid w:val="005C711E"/>
    <w:rsid w:val="005C73ED"/>
    <w:rsid w:val="005C74D7"/>
    <w:rsid w:val="005C7B0E"/>
    <w:rsid w:val="005D0142"/>
    <w:rsid w:val="005D0C5E"/>
    <w:rsid w:val="005D2011"/>
    <w:rsid w:val="005D248D"/>
    <w:rsid w:val="005D27B9"/>
    <w:rsid w:val="005D3C09"/>
    <w:rsid w:val="005D5E36"/>
    <w:rsid w:val="005D731C"/>
    <w:rsid w:val="005D7892"/>
    <w:rsid w:val="005D7A25"/>
    <w:rsid w:val="005E2389"/>
    <w:rsid w:val="005E2A21"/>
    <w:rsid w:val="005E3DB1"/>
    <w:rsid w:val="005E5B8D"/>
    <w:rsid w:val="005E64D7"/>
    <w:rsid w:val="005E6E77"/>
    <w:rsid w:val="005E72D4"/>
    <w:rsid w:val="005E7326"/>
    <w:rsid w:val="005E739E"/>
    <w:rsid w:val="005F0169"/>
    <w:rsid w:val="005F0876"/>
    <w:rsid w:val="005F127E"/>
    <w:rsid w:val="005F1457"/>
    <w:rsid w:val="005F148C"/>
    <w:rsid w:val="005F179B"/>
    <w:rsid w:val="005F239C"/>
    <w:rsid w:val="005F2B03"/>
    <w:rsid w:val="005F358E"/>
    <w:rsid w:val="005F478D"/>
    <w:rsid w:val="005F4BA9"/>
    <w:rsid w:val="005F5A9E"/>
    <w:rsid w:val="005F61EE"/>
    <w:rsid w:val="005F7AE1"/>
    <w:rsid w:val="0060152F"/>
    <w:rsid w:val="00602129"/>
    <w:rsid w:val="00604B86"/>
    <w:rsid w:val="00604FE9"/>
    <w:rsid w:val="00606E0B"/>
    <w:rsid w:val="00607022"/>
    <w:rsid w:val="0060747D"/>
    <w:rsid w:val="00607548"/>
    <w:rsid w:val="00610311"/>
    <w:rsid w:val="00611225"/>
    <w:rsid w:val="0061141A"/>
    <w:rsid w:val="00612C42"/>
    <w:rsid w:val="006137D6"/>
    <w:rsid w:val="0061433F"/>
    <w:rsid w:val="006143F7"/>
    <w:rsid w:val="00616216"/>
    <w:rsid w:val="00616677"/>
    <w:rsid w:val="00617216"/>
    <w:rsid w:val="00617605"/>
    <w:rsid w:val="0062078A"/>
    <w:rsid w:val="00620E9B"/>
    <w:rsid w:val="006216BB"/>
    <w:rsid w:val="006232BC"/>
    <w:rsid w:val="00623DBA"/>
    <w:rsid w:val="006244BF"/>
    <w:rsid w:val="00624612"/>
    <w:rsid w:val="00624D79"/>
    <w:rsid w:val="006250ED"/>
    <w:rsid w:val="00627C17"/>
    <w:rsid w:val="00634267"/>
    <w:rsid w:val="00635B83"/>
    <w:rsid w:val="00636584"/>
    <w:rsid w:val="0063721E"/>
    <w:rsid w:val="00640D57"/>
    <w:rsid w:val="0064194B"/>
    <w:rsid w:val="0064510D"/>
    <w:rsid w:val="006463DB"/>
    <w:rsid w:val="006465A7"/>
    <w:rsid w:val="00647965"/>
    <w:rsid w:val="00650A99"/>
    <w:rsid w:val="00650ADF"/>
    <w:rsid w:val="0065398B"/>
    <w:rsid w:val="006546A0"/>
    <w:rsid w:val="00654C8A"/>
    <w:rsid w:val="0065501B"/>
    <w:rsid w:val="006561A2"/>
    <w:rsid w:val="00656D80"/>
    <w:rsid w:val="00657E77"/>
    <w:rsid w:val="00661039"/>
    <w:rsid w:val="0066181A"/>
    <w:rsid w:val="00663BA9"/>
    <w:rsid w:val="006651D5"/>
    <w:rsid w:val="0066570F"/>
    <w:rsid w:val="0066647E"/>
    <w:rsid w:val="0066679D"/>
    <w:rsid w:val="0066720C"/>
    <w:rsid w:val="006675C4"/>
    <w:rsid w:val="0067193A"/>
    <w:rsid w:val="00672180"/>
    <w:rsid w:val="0067255E"/>
    <w:rsid w:val="00672C8E"/>
    <w:rsid w:val="006740E5"/>
    <w:rsid w:val="006746D8"/>
    <w:rsid w:val="006755BF"/>
    <w:rsid w:val="006758F4"/>
    <w:rsid w:val="00676078"/>
    <w:rsid w:val="006769DA"/>
    <w:rsid w:val="00680A27"/>
    <w:rsid w:val="006828CD"/>
    <w:rsid w:val="00683A96"/>
    <w:rsid w:val="00683EEB"/>
    <w:rsid w:val="0068413D"/>
    <w:rsid w:val="00684742"/>
    <w:rsid w:val="00684CDB"/>
    <w:rsid w:val="00685307"/>
    <w:rsid w:val="00685CFA"/>
    <w:rsid w:val="006860C1"/>
    <w:rsid w:val="006861F0"/>
    <w:rsid w:val="0068641A"/>
    <w:rsid w:val="00686C46"/>
    <w:rsid w:val="006902B2"/>
    <w:rsid w:val="00690835"/>
    <w:rsid w:val="0069118A"/>
    <w:rsid w:val="00691898"/>
    <w:rsid w:val="00693830"/>
    <w:rsid w:val="00693AE6"/>
    <w:rsid w:val="00693CCE"/>
    <w:rsid w:val="00694C89"/>
    <w:rsid w:val="006964DB"/>
    <w:rsid w:val="00696C6B"/>
    <w:rsid w:val="00697206"/>
    <w:rsid w:val="00697A37"/>
    <w:rsid w:val="006A1682"/>
    <w:rsid w:val="006A3C32"/>
    <w:rsid w:val="006A422B"/>
    <w:rsid w:val="006A497C"/>
    <w:rsid w:val="006A4DD4"/>
    <w:rsid w:val="006A5693"/>
    <w:rsid w:val="006A62BE"/>
    <w:rsid w:val="006A6FBD"/>
    <w:rsid w:val="006A715C"/>
    <w:rsid w:val="006A78BF"/>
    <w:rsid w:val="006B1554"/>
    <w:rsid w:val="006B34AC"/>
    <w:rsid w:val="006B3CD7"/>
    <w:rsid w:val="006B4F6B"/>
    <w:rsid w:val="006B506E"/>
    <w:rsid w:val="006B5720"/>
    <w:rsid w:val="006B72A5"/>
    <w:rsid w:val="006B7427"/>
    <w:rsid w:val="006B75BD"/>
    <w:rsid w:val="006C005C"/>
    <w:rsid w:val="006C0099"/>
    <w:rsid w:val="006C11C5"/>
    <w:rsid w:val="006C223A"/>
    <w:rsid w:val="006C2C0C"/>
    <w:rsid w:val="006C2CD4"/>
    <w:rsid w:val="006C3AEE"/>
    <w:rsid w:val="006C3E7B"/>
    <w:rsid w:val="006C3EA5"/>
    <w:rsid w:val="006C3EEF"/>
    <w:rsid w:val="006C418B"/>
    <w:rsid w:val="006C5AB3"/>
    <w:rsid w:val="006C5B23"/>
    <w:rsid w:val="006C75CB"/>
    <w:rsid w:val="006C7F43"/>
    <w:rsid w:val="006D1084"/>
    <w:rsid w:val="006D1215"/>
    <w:rsid w:val="006D218B"/>
    <w:rsid w:val="006D3AA0"/>
    <w:rsid w:val="006D43B5"/>
    <w:rsid w:val="006D49E7"/>
    <w:rsid w:val="006D4BB3"/>
    <w:rsid w:val="006D690C"/>
    <w:rsid w:val="006D6CF4"/>
    <w:rsid w:val="006E0001"/>
    <w:rsid w:val="006E03D3"/>
    <w:rsid w:val="006E3EB1"/>
    <w:rsid w:val="006E44C7"/>
    <w:rsid w:val="006E4AFA"/>
    <w:rsid w:val="006E584E"/>
    <w:rsid w:val="006E6721"/>
    <w:rsid w:val="006E7346"/>
    <w:rsid w:val="006E7B56"/>
    <w:rsid w:val="006F0DF7"/>
    <w:rsid w:val="006F1A6A"/>
    <w:rsid w:val="006F34F0"/>
    <w:rsid w:val="006F38DD"/>
    <w:rsid w:val="006F3E36"/>
    <w:rsid w:val="006F40E2"/>
    <w:rsid w:val="006F42AF"/>
    <w:rsid w:val="006F4C09"/>
    <w:rsid w:val="006F51BA"/>
    <w:rsid w:val="006F57F4"/>
    <w:rsid w:val="006F6593"/>
    <w:rsid w:val="006F6F2D"/>
    <w:rsid w:val="006F78F9"/>
    <w:rsid w:val="006F7906"/>
    <w:rsid w:val="006F79F6"/>
    <w:rsid w:val="006F7CC4"/>
    <w:rsid w:val="0070033C"/>
    <w:rsid w:val="00700FD4"/>
    <w:rsid w:val="00701C10"/>
    <w:rsid w:val="00702042"/>
    <w:rsid w:val="0070356E"/>
    <w:rsid w:val="007043A4"/>
    <w:rsid w:val="0070486C"/>
    <w:rsid w:val="007058C1"/>
    <w:rsid w:val="0070608B"/>
    <w:rsid w:val="007062C1"/>
    <w:rsid w:val="0070658A"/>
    <w:rsid w:val="00706FDE"/>
    <w:rsid w:val="00707A9E"/>
    <w:rsid w:val="007115A2"/>
    <w:rsid w:val="00711ABC"/>
    <w:rsid w:val="00712059"/>
    <w:rsid w:val="00712BA1"/>
    <w:rsid w:val="00713D5E"/>
    <w:rsid w:val="00714279"/>
    <w:rsid w:val="00715D5E"/>
    <w:rsid w:val="007168AD"/>
    <w:rsid w:val="00717C05"/>
    <w:rsid w:val="00717D2A"/>
    <w:rsid w:val="00717F2D"/>
    <w:rsid w:val="00721035"/>
    <w:rsid w:val="007212E1"/>
    <w:rsid w:val="00722064"/>
    <w:rsid w:val="00723C9D"/>
    <w:rsid w:val="00723D20"/>
    <w:rsid w:val="00724E85"/>
    <w:rsid w:val="007262B1"/>
    <w:rsid w:val="00727024"/>
    <w:rsid w:val="0072730F"/>
    <w:rsid w:val="00727391"/>
    <w:rsid w:val="00727502"/>
    <w:rsid w:val="00727ADF"/>
    <w:rsid w:val="00730EBD"/>
    <w:rsid w:val="00733602"/>
    <w:rsid w:val="00734B15"/>
    <w:rsid w:val="00735102"/>
    <w:rsid w:val="007357DA"/>
    <w:rsid w:val="0073622F"/>
    <w:rsid w:val="00740868"/>
    <w:rsid w:val="007415C8"/>
    <w:rsid w:val="00744601"/>
    <w:rsid w:val="007500BD"/>
    <w:rsid w:val="007504F6"/>
    <w:rsid w:val="007513C0"/>
    <w:rsid w:val="00751B72"/>
    <w:rsid w:val="00752ABC"/>
    <w:rsid w:val="0075300B"/>
    <w:rsid w:val="007533B8"/>
    <w:rsid w:val="00754BF5"/>
    <w:rsid w:val="00755469"/>
    <w:rsid w:val="00756191"/>
    <w:rsid w:val="007562F4"/>
    <w:rsid w:val="00756483"/>
    <w:rsid w:val="007567EB"/>
    <w:rsid w:val="007578CE"/>
    <w:rsid w:val="00757C46"/>
    <w:rsid w:val="00760604"/>
    <w:rsid w:val="007617C5"/>
    <w:rsid w:val="0076220C"/>
    <w:rsid w:val="0076224D"/>
    <w:rsid w:val="007623DF"/>
    <w:rsid w:val="00762513"/>
    <w:rsid w:val="007638A5"/>
    <w:rsid w:val="007638BD"/>
    <w:rsid w:val="00764274"/>
    <w:rsid w:val="00764D5F"/>
    <w:rsid w:val="007653EC"/>
    <w:rsid w:val="0076593E"/>
    <w:rsid w:val="00765C7D"/>
    <w:rsid w:val="00765F0D"/>
    <w:rsid w:val="00765F7E"/>
    <w:rsid w:val="0076733A"/>
    <w:rsid w:val="0077031D"/>
    <w:rsid w:val="00770D21"/>
    <w:rsid w:val="0077259A"/>
    <w:rsid w:val="007727FB"/>
    <w:rsid w:val="00774D54"/>
    <w:rsid w:val="007750E7"/>
    <w:rsid w:val="00776266"/>
    <w:rsid w:val="00776A8F"/>
    <w:rsid w:val="007774FC"/>
    <w:rsid w:val="00777F81"/>
    <w:rsid w:val="00783463"/>
    <w:rsid w:val="00783D03"/>
    <w:rsid w:val="00784F48"/>
    <w:rsid w:val="007859FB"/>
    <w:rsid w:val="00785DE4"/>
    <w:rsid w:val="00787E42"/>
    <w:rsid w:val="00787E4F"/>
    <w:rsid w:val="00787EEB"/>
    <w:rsid w:val="00787F37"/>
    <w:rsid w:val="00790D1C"/>
    <w:rsid w:val="00792487"/>
    <w:rsid w:val="00792617"/>
    <w:rsid w:val="00792A53"/>
    <w:rsid w:val="00792F2A"/>
    <w:rsid w:val="00793532"/>
    <w:rsid w:val="00795639"/>
    <w:rsid w:val="00795875"/>
    <w:rsid w:val="007965DB"/>
    <w:rsid w:val="00797086"/>
    <w:rsid w:val="00797152"/>
    <w:rsid w:val="00797C62"/>
    <w:rsid w:val="00797CEF"/>
    <w:rsid w:val="007A05C2"/>
    <w:rsid w:val="007A0D00"/>
    <w:rsid w:val="007A111C"/>
    <w:rsid w:val="007A3158"/>
    <w:rsid w:val="007A38DE"/>
    <w:rsid w:val="007A4196"/>
    <w:rsid w:val="007A4A1B"/>
    <w:rsid w:val="007A6719"/>
    <w:rsid w:val="007A6F28"/>
    <w:rsid w:val="007A757D"/>
    <w:rsid w:val="007A7AC1"/>
    <w:rsid w:val="007A7D03"/>
    <w:rsid w:val="007B032C"/>
    <w:rsid w:val="007B068B"/>
    <w:rsid w:val="007B0824"/>
    <w:rsid w:val="007B088E"/>
    <w:rsid w:val="007B0AAC"/>
    <w:rsid w:val="007B1DB6"/>
    <w:rsid w:val="007B1DEC"/>
    <w:rsid w:val="007B38ED"/>
    <w:rsid w:val="007B49DB"/>
    <w:rsid w:val="007B5790"/>
    <w:rsid w:val="007B5C1F"/>
    <w:rsid w:val="007B648E"/>
    <w:rsid w:val="007B68F4"/>
    <w:rsid w:val="007C1EC9"/>
    <w:rsid w:val="007C20B6"/>
    <w:rsid w:val="007C2754"/>
    <w:rsid w:val="007C2A2A"/>
    <w:rsid w:val="007C35EA"/>
    <w:rsid w:val="007C5112"/>
    <w:rsid w:val="007C61AE"/>
    <w:rsid w:val="007D1249"/>
    <w:rsid w:val="007D31BD"/>
    <w:rsid w:val="007D3725"/>
    <w:rsid w:val="007D45AF"/>
    <w:rsid w:val="007D529A"/>
    <w:rsid w:val="007D5551"/>
    <w:rsid w:val="007D748A"/>
    <w:rsid w:val="007D7D72"/>
    <w:rsid w:val="007E0454"/>
    <w:rsid w:val="007E04EF"/>
    <w:rsid w:val="007E0B00"/>
    <w:rsid w:val="007E1AAC"/>
    <w:rsid w:val="007E51CF"/>
    <w:rsid w:val="007E6499"/>
    <w:rsid w:val="007E66FF"/>
    <w:rsid w:val="007E6730"/>
    <w:rsid w:val="007E7064"/>
    <w:rsid w:val="007E7BF0"/>
    <w:rsid w:val="007F0637"/>
    <w:rsid w:val="007F07BE"/>
    <w:rsid w:val="007F16CF"/>
    <w:rsid w:val="007F1E5F"/>
    <w:rsid w:val="007F1F65"/>
    <w:rsid w:val="007F2107"/>
    <w:rsid w:val="007F2E78"/>
    <w:rsid w:val="007F485A"/>
    <w:rsid w:val="007F508A"/>
    <w:rsid w:val="007F5CE6"/>
    <w:rsid w:val="007F6D5A"/>
    <w:rsid w:val="007F6DEF"/>
    <w:rsid w:val="007F77D8"/>
    <w:rsid w:val="00801AD6"/>
    <w:rsid w:val="00801E4E"/>
    <w:rsid w:val="008025CE"/>
    <w:rsid w:val="008029A9"/>
    <w:rsid w:val="0080627B"/>
    <w:rsid w:val="0080719A"/>
    <w:rsid w:val="008073FB"/>
    <w:rsid w:val="00810A1D"/>
    <w:rsid w:val="00810A60"/>
    <w:rsid w:val="00810CB7"/>
    <w:rsid w:val="00811CD0"/>
    <w:rsid w:val="00811D2D"/>
    <w:rsid w:val="00813770"/>
    <w:rsid w:val="0081465B"/>
    <w:rsid w:val="008156D2"/>
    <w:rsid w:val="008163B6"/>
    <w:rsid w:val="00816671"/>
    <w:rsid w:val="008166BB"/>
    <w:rsid w:val="0081768C"/>
    <w:rsid w:val="008177E1"/>
    <w:rsid w:val="00822B44"/>
    <w:rsid w:val="00823D8F"/>
    <w:rsid w:val="0082629B"/>
    <w:rsid w:val="008266F0"/>
    <w:rsid w:val="008277A0"/>
    <w:rsid w:val="008279BA"/>
    <w:rsid w:val="00827BEE"/>
    <w:rsid w:val="00827EC2"/>
    <w:rsid w:val="00830266"/>
    <w:rsid w:val="00832068"/>
    <w:rsid w:val="00834820"/>
    <w:rsid w:val="008348EA"/>
    <w:rsid w:val="008360E9"/>
    <w:rsid w:val="00836B04"/>
    <w:rsid w:val="008378AC"/>
    <w:rsid w:val="00840455"/>
    <w:rsid w:val="00840893"/>
    <w:rsid w:val="00840F65"/>
    <w:rsid w:val="0084418C"/>
    <w:rsid w:val="008449FC"/>
    <w:rsid w:val="008455B7"/>
    <w:rsid w:val="00845935"/>
    <w:rsid w:val="00845E19"/>
    <w:rsid w:val="0084621A"/>
    <w:rsid w:val="00847C7E"/>
    <w:rsid w:val="0085086F"/>
    <w:rsid w:val="00850B03"/>
    <w:rsid w:val="00850BC4"/>
    <w:rsid w:val="00851BEA"/>
    <w:rsid w:val="00851D31"/>
    <w:rsid w:val="00851F9F"/>
    <w:rsid w:val="00852C90"/>
    <w:rsid w:val="008531F7"/>
    <w:rsid w:val="008536D2"/>
    <w:rsid w:val="00853AB6"/>
    <w:rsid w:val="0085468F"/>
    <w:rsid w:val="00855A89"/>
    <w:rsid w:val="00856EAD"/>
    <w:rsid w:val="008578A2"/>
    <w:rsid w:val="00860064"/>
    <w:rsid w:val="00860525"/>
    <w:rsid w:val="00860B8A"/>
    <w:rsid w:val="00860F77"/>
    <w:rsid w:val="008614B9"/>
    <w:rsid w:val="00862ABB"/>
    <w:rsid w:val="008632FE"/>
    <w:rsid w:val="008649CD"/>
    <w:rsid w:val="0086525F"/>
    <w:rsid w:val="0086712B"/>
    <w:rsid w:val="008677A6"/>
    <w:rsid w:val="00867DFC"/>
    <w:rsid w:val="008708EF"/>
    <w:rsid w:val="00871323"/>
    <w:rsid w:val="00871E39"/>
    <w:rsid w:val="00871F3F"/>
    <w:rsid w:val="00873374"/>
    <w:rsid w:val="008755CD"/>
    <w:rsid w:val="00875788"/>
    <w:rsid w:val="00875A6E"/>
    <w:rsid w:val="00876799"/>
    <w:rsid w:val="008768A5"/>
    <w:rsid w:val="00876C5E"/>
    <w:rsid w:val="008771D3"/>
    <w:rsid w:val="00877EC9"/>
    <w:rsid w:val="00877FB4"/>
    <w:rsid w:val="00880834"/>
    <w:rsid w:val="00880A37"/>
    <w:rsid w:val="00880DE7"/>
    <w:rsid w:val="00881BB3"/>
    <w:rsid w:val="008823A7"/>
    <w:rsid w:val="008848BF"/>
    <w:rsid w:val="00886656"/>
    <w:rsid w:val="00886BA8"/>
    <w:rsid w:val="0088708F"/>
    <w:rsid w:val="00887F6A"/>
    <w:rsid w:val="008904FD"/>
    <w:rsid w:val="008905DF"/>
    <w:rsid w:val="0089142A"/>
    <w:rsid w:val="00891845"/>
    <w:rsid w:val="00891B5D"/>
    <w:rsid w:val="00891C28"/>
    <w:rsid w:val="0089209F"/>
    <w:rsid w:val="0089271D"/>
    <w:rsid w:val="008935B0"/>
    <w:rsid w:val="00893DBC"/>
    <w:rsid w:val="0089459F"/>
    <w:rsid w:val="00894E35"/>
    <w:rsid w:val="008961BB"/>
    <w:rsid w:val="00896AE0"/>
    <w:rsid w:val="00896C15"/>
    <w:rsid w:val="0089729D"/>
    <w:rsid w:val="00897EF6"/>
    <w:rsid w:val="00897F43"/>
    <w:rsid w:val="008A0795"/>
    <w:rsid w:val="008A1462"/>
    <w:rsid w:val="008A28F9"/>
    <w:rsid w:val="008A2A6E"/>
    <w:rsid w:val="008A4431"/>
    <w:rsid w:val="008A69B1"/>
    <w:rsid w:val="008A7A93"/>
    <w:rsid w:val="008B0782"/>
    <w:rsid w:val="008B0A64"/>
    <w:rsid w:val="008B0E86"/>
    <w:rsid w:val="008B1786"/>
    <w:rsid w:val="008B1F72"/>
    <w:rsid w:val="008B232D"/>
    <w:rsid w:val="008B286A"/>
    <w:rsid w:val="008B2BEC"/>
    <w:rsid w:val="008B41D1"/>
    <w:rsid w:val="008B4E9D"/>
    <w:rsid w:val="008B533D"/>
    <w:rsid w:val="008B541B"/>
    <w:rsid w:val="008B57EE"/>
    <w:rsid w:val="008B5C19"/>
    <w:rsid w:val="008B6117"/>
    <w:rsid w:val="008B6705"/>
    <w:rsid w:val="008B694C"/>
    <w:rsid w:val="008B762E"/>
    <w:rsid w:val="008C0B4D"/>
    <w:rsid w:val="008C1853"/>
    <w:rsid w:val="008C3525"/>
    <w:rsid w:val="008C44DA"/>
    <w:rsid w:val="008C45A6"/>
    <w:rsid w:val="008C5729"/>
    <w:rsid w:val="008C5807"/>
    <w:rsid w:val="008C6097"/>
    <w:rsid w:val="008C6869"/>
    <w:rsid w:val="008C7212"/>
    <w:rsid w:val="008C7987"/>
    <w:rsid w:val="008D0B12"/>
    <w:rsid w:val="008D0E7C"/>
    <w:rsid w:val="008D24FB"/>
    <w:rsid w:val="008D2837"/>
    <w:rsid w:val="008D31E4"/>
    <w:rsid w:val="008D360C"/>
    <w:rsid w:val="008D51A1"/>
    <w:rsid w:val="008D7DAB"/>
    <w:rsid w:val="008E117F"/>
    <w:rsid w:val="008E299D"/>
    <w:rsid w:val="008E2C77"/>
    <w:rsid w:val="008E33E9"/>
    <w:rsid w:val="008E3DA8"/>
    <w:rsid w:val="008E3EB3"/>
    <w:rsid w:val="008E4471"/>
    <w:rsid w:val="008E45A6"/>
    <w:rsid w:val="008E4B99"/>
    <w:rsid w:val="008E523A"/>
    <w:rsid w:val="008E7501"/>
    <w:rsid w:val="008E7CEA"/>
    <w:rsid w:val="008F01C0"/>
    <w:rsid w:val="008F1ACA"/>
    <w:rsid w:val="008F2C53"/>
    <w:rsid w:val="008F2CEC"/>
    <w:rsid w:val="008F310E"/>
    <w:rsid w:val="008F4240"/>
    <w:rsid w:val="008F43AB"/>
    <w:rsid w:val="008F4458"/>
    <w:rsid w:val="008F5C16"/>
    <w:rsid w:val="008F6DB8"/>
    <w:rsid w:val="008F7F42"/>
    <w:rsid w:val="00901C6F"/>
    <w:rsid w:val="00902DFD"/>
    <w:rsid w:val="00902F3F"/>
    <w:rsid w:val="00903403"/>
    <w:rsid w:val="009035D4"/>
    <w:rsid w:val="00904A69"/>
    <w:rsid w:val="009062B9"/>
    <w:rsid w:val="009064A3"/>
    <w:rsid w:val="00906D34"/>
    <w:rsid w:val="00907A13"/>
    <w:rsid w:val="00910E43"/>
    <w:rsid w:val="0091207B"/>
    <w:rsid w:val="00912841"/>
    <w:rsid w:val="00913137"/>
    <w:rsid w:val="00913771"/>
    <w:rsid w:val="00913C5F"/>
    <w:rsid w:val="00913DC0"/>
    <w:rsid w:val="009143DF"/>
    <w:rsid w:val="009159FD"/>
    <w:rsid w:val="00921446"/>
    <w:rsid w:val="009215BF"/>
    <w:rsid w:val="009232B1"/>
    <w:rsid w:val="009235EA"/>
    <w:rsid w:val="00923E1C"/>
    <w:rsid w:val="00924EE9"/>
    <w:rsid w:val="009251D8"/>
    <w:rsid w:val="009277A3"/>
    <w:rsid w:val="00927D71"/>
    <w:rsid w:val="009301EF"/>
    <w:rsid w:val="00931D8F"/>
    <w:rsid w:val="00933197"/>
    <w:rsid w:val="00933D2A"/>
    <w:rsid w:val="00933E71"/>
    <w:rsid w:val="00934501"/>
    <w:rsid w:val="00934586"/>
    <w:rsid w:val="00934C1E"/>
    <w:rsid w:val="00934D1D"/>
    <w:rsid w:val="009350B8"/>
    <w:rsid w:val="00935647"/>
    <w:rsid w:val="00936466"/>
    <w:rsid w:val="00936B36"/>
    <w:rsid w:val="00936D04"/>
    <w:rsid w:val="00936DF2"/>
    <w:rsid w:val="00937366"/>
    <w:rsid w:val="00940885"/>
    <w:rsid w:val="00941AB6"/>
    <w:rsid w:val="00942FEB"/>
    <w:rsid w:val="00945B45"/>
    <w:rsid w:val="009462B5"/>
    <w:rsid w:val="00947A9A"/>
    <w:rsid w:val="00951B38"/>
    <w:rsid w:val="00951F4B"/>
    <w:rsid w:val="00952F42"/>
    <w:rsid w:val="00953FAC"/>
    <w:rsid w:val="0095437A"/>
    <w:rsid w:val="00954946"/>
    <w:rsid w:val="00954C6B"/>
    <w:rsid w:val="00955426"/>
    <w:rsid w:val="009554AF"/>
    <w:rsid w:val="00955A64"/>
    <w:rsid w:val="009571DD"/>
    <w:rsid w:val="00960576"/>
    <w:rsid w:val="00961492"/>
    <w:rsid w:val="009619B9"/>
    <w:rsid w:val="00961E79"/>
    <w:rsid w:val="009639A4"/>
    <w:rsid w:val="00964BFF"/>
    <w:rsid w:val="00965A03"/>
    <w:rsid w:val="00965A79"/>
    <w:rsid w:val="00966BEC"/>
    <w:rsid w:val="00967085"/>
    <w:rsid w:val="0096775D"/>
    <w:rsid w:val="00967CDC"/>
    <w:rsid w:val="009706A0"/>
    <w:rsid w:val="00971356"/>
    <w:rsid w:val="009713DA"/>
    <w:rsid w:val="009729DD"/>
    <w:rsid w:val="00975251"/>
    <w:rsid w:val="009759CD"/>
    <w:rsid w:val="0097690C"/>
    <w:rsid w:val="009770D9"/>
    <w:rsid w:val="0098238B"/>
    <w:rsid w:val="009848F2"/>
    <w:rsid w:val="009900C6"/>
    <w:rsid w:val="009906BA"/>
    <w:rsid w:val="009908DD"/>
    <w:rsid w:val="00991222"/>
    <w:rsid w:val="0099153E"/>
    <w:rsid w:val="00994A21"/>
    <w:rsid w:val="0099644C"/>
    <w:rsid w:val="00996D00"/>
    <w:rsid w:val="00996EAA"/>
    <w:rsid w:val="00997816"/>
    <w:rsid w:val="00997A6D"/>
    <w:rsid w:val="009A06FA"/>
    <w:rsid w:val="009A0B0B"/>
    <w:rsid w:val="009A1320"/>
    <w:rsid w:val="009A1610"/>
    <w:rsid w:val="009A2555"/>
    <w:rsid w:val="009A4B1A"/>
    <w:rsid w:val="009A6BA3"/>
    <w:rsid w:val="009A70A5"/>
    <w:rsid w:val="009A75CE"/>
    <w:rsid w:val="009B1561"/>
    <w:rsid w:val="009B28F0"/>
    <w:rsid w:val="009B422D"/>
    <w:rsid w:val="009B544B"/>
    <w:rsid w:val="009B6047"/>
    <w:rsid w:val="009C0074"/>
    <w:rsid w:val="009C0848"/>
    <w:rsid w:val="009C0BE7"/>
    <w:rsid w:val="009C120C"/>
    <w:rsid w:val="009C13E8"/>
    <w:rsid w:val="009C2093"/>
    <w:rsid w:val="009C227E"/>
    <w:rsid w:val="009C41C0"/>
    <w:rsid w:val="009C45F6"/>
    <w:rsid w:val="009C4677"/>
    <w:rsid w:val="009C4939"/>
    <w:rsid w:val="009C4B02"/>
    <w:rsid w:val="009C4B22"/>
    <w:rsid w:val="009C6554"/>
    <w:rsid w:val="009C68B8"/>
    <w:rsid w:val="009C7214"/>
    <w:rsid w:val="009D0011"/>
    <w:rsid w:val="009D0351"/>
    <w:rsid w:val="009D053E"/>
    <w:rsid w:val="009D144E"/>
    <w:rsid w:val="009D1ACA"/>
    <w:rsid w:val="009D1DB8"/>
    <w:rsid w:val="009D24E9"/>
    <w:rsid w:val="009D2B3F"/>
    <w:rsid w:val="009D4FFA"/>
    <w:rsid w:val="009D550F"/>
    <w:rsid w:val="009D5669"/>
    <w:rsid w:val="009D5C12"/>
    <w:rsid w:val="009D5C82"/>
    <w:rsid w:val="009D69E5"/>
    <w:rsid w:val="009D6AEF"/>
    <w:rsid w:val="009D6C17"/>
    <w:rsid w:val="009D76C1"/>
    <w:rsid w:val="009D7BA4"/>
    <w:rsid w:val="009E021F"/>
    <w:rsid w:val="009E0526"/>
    <w:rsid w:val="009E06EB"/>
    <w:rsid w:val="009E084B"/>
    <w:rsid w:val="009E091A"/>
    <w:rsid w:val="009E130F"/>
    <w:rsid w:val="009E2314"/>
    <w:rsid w:val="009E70A5"/>
    <w:rsid w:val="009F06F0"/>
    <w:rsid w:val="009F225D"/>
    <w:rsid w:val="009F283E"/>
    <w:rsid w:val="009F29B8"/>
    <w:rsid w:val="009F2CB2"/>
    <w:rsid w:val="009F300C"/>
    <w:rsid w:val="009F4465"/>
    <w:rsid w:val="009F4B80"/>
    <w:rsid w:val="009F6365"/>
    <w:rsid w:val="009F72DF"/>
    <w:rsid w:val="00A00226"/>
    <w:rsid w:val="00A00896"/>
    <w:rsid w:val="00A0218E"/>
    <w:rsid w:val="00A03A44"/>
    <w:rsid w:val="00A058A0"/>
    <w:rsid w:val="00A058B3"/>
    <w:rsid w:val="00A063C2"/>
    <w:rsid w:val="00A07D5A"/>
    <w:rsid w:val="00A10121"/>
    <w:rsid w:val="00A10FA8"/>
    <w:rsid w:val="00A11ECB"/>
    <w:rsid w:val="00A12699"/>
    <w:rsid w:val="00A14712"/>
    <w:rsid w:val="00A1476F"/>
    <w:rsid w:val="00A156E5"/>
    <w:rsid w:val="00A1654B"/>
    <w:rsid w:val="00A17DDE"/>
    <w:rsid w:val="00A200A9"/>
    <w:rsid w:val="00A2061D"/>
    <w:rsid w:val="00A22634"/>
    <w:rsid w:val="00A22BF8"/>
    <w:rsid w:val="00A22E3F"/>
    <w:rsid w:val="00A2398A"/>
    <w:rsid w:val="00A2423A"/>
    <w:rsid w:val="00A24E21"/>
    <w:rsid w:val="00A26136"/>
    <w:rsid w:val="00A27BCE"/>
    <w:rsid w:val="00A27D70"/>
    <w:rsid w:val="00A3037C"/>
    <w:rsid w:val="00A305B9"/>
    <w:rsid w:val="00A31662"/>
    <w:rsid w:val="00A3244E"/>
    <w:rsid w:val="00A32E07"/>
    <w:rsid w:val="00A33830"/>
    <w:rsid w:val="00A33C43"/>
    <w:rsid w:val="00A340E8"/>
    <w:rsid w:val="00A34802"/>
    <w:rsid w:val="00A34D8F"/>
    <w:rsid w:val="00A3561C"/>
    <w:rsid w:val="00A36A11"/>
    <w:rsid w:val="00A36D0A"/>
    <w:rsid w:val="00A3757B"/>
    <w:rsid w:val="00A37E12"/>
    <w:rsid w:val="00A416EF"/>
    <w:rsid w:val="00A43CC4"/>
    <w:rsid w:val="00A45251"/>
    <w:rsid w:val="00A46181"/>
    <w:rsid w:val="00A46637"/>
    <w:rsid w:val="00A50DC8"/>
    <w:rsid w:val="00A511F5"/>
    <w:rsid w:val="00A5190E"/>
    <w:rsid w:val="00A51BAB"/>
    <w:rsid w:val="00A5243A"/>
    <w:rsid w:val="00A535CC"/>
    <w:rsid w:val="00A53C50"/>
    <w:rsid w:val="00A54093"/>
    <w:rsid w:val="00A55544"/>
    <w:rsid w:val="00A5649B"/>
    <w:rsid w:val="00A577E8"/>
    <w:rsid w:val="00A57ECB"/>
    <w:rsid w:val="00A60EE8"/>
    <w:rsid w:val="00A61FAB"/>
    <w:rsid w:val="00A623EB"/>
    <w:rsid w:val="00A627D4"/>
    <w:rsid w:val="00A63FDD"/>
    <w:rsid w:val="00A64F8D"/>
    <w:rsid w:val="00A6689A"/>
    <w:rsid w:val="00A66BD8"/>
    <w:rsid w:val="00A674BD"/>
    <w:rsid w:val="00A70857"/>
    <w:rsid w:val="00A70FD6"/>
    <w:rsid w:val="00A71496"/>
    <w:rsid w:val="00A73A4C"/>
    <w:rsid w:val="00A74CB9"/>
    <w:rsid w:val="00A76017"/>
    <w:rsid w:val="00A763F5"/>
    <w:rsid w:val="00A76752"/>
    <w:rsid w:val="00A825F6"/>
    <w:rsid w:val="00A82D28"/>
    <w:rsid w:val="00A83B38"/>
    <w:rsid w:val="00A845D5"/>
    <w:rsid w:val="00A84E28"/>
    <w:rsid w:val="00A85615"/>
    <w:rsid w:val="00A8646B"/>
    <w:rsid w:val="00A86661"/>
    <w:rsid w:val="00A86D74"/>
    <w:rsid w:val="00A87081"/>
    <w:rsid w:val="00A870B7"/>
    <w:rsid w:val="00A904CF"/>
    <w:rsid w:val="00A919A9"/>
    <w:rsid w:val="00A92337"/>
    <w:rsid w:val="00A926D5"/>
    <w:rsid w:val="00A92844"/>
    <w:rsid w:val="00A941CC"/>
    <w:rsid w:val="00A9453F"/>
    <w:rsid w:val="00A946A4"/>
    <w:rsid w:val="00A964A6"/>
    <w:rsid w:val="00A9657B"/>
    <w:rsid w:val="00A973DA"/>
    <w:rsid w:val="00A97C3F"/>
    <w:rsid w:val="00AA0DF7"/>
    <w:rsid w:val="00AA14DB"/>
    <w:rsid w:val="00AA34B5"/>
    <w:rsid w:val="00AA42D1"/>
    <w:rsid w:val="00AA43F7"/>
    <w:rsid w:val="00AA4C18"/>
    <w:rsid w:val="00AA4C6C"/>
    <w:rsid w:val="00AA5008"/>
    <w:rsid w:val="00AA69D4"/>
    <w:rsid w:val="00AA761B"/>
    <w:rsid w:val="00AA77B5"/>
    <w:rsid w:val="00AA7E71"/>
    <w:rsid w:val="00AB22AC"/>
    <w:rsid w:val="00AB2879"/>
    <w:rsid w:val="00AB3114"/>
    <w:rsid w:val="00AB3459"/>
    <w:rsid w:val="00AB44C4"/>
    <w:rsid w:val="00AB5237"/>
    <w:rsid w:val="00AB6C53"/>
    <w:rsid w:val="00AB72D4"/>
    <w:rsid w:val="00AC06D6"/>
    <w:rsid w:val="00AC4E44"/>
    <w:rsid w:val="00AC5C58"/>
    <w:rsid w:val="00AC6E75"/>
    <w:rsid w:val="00AC78C5"/>
    <w:rsid w:val="00AD045F"/>
    <w:rsid w:val="00AD089C"/>
    <w:rsid w:val="00AD1346"/>
    <w:rsid w:val="00AD1E0E"/>
    <w:rsid w:val="00AD1F24"/>
    <w:rsid w:val="00AD28B1"/>
    <w:rsid w:val="00AD41E5"/>
    <w:rsid w:val="00AD42D1"/>
    <w:rsid w:val="00AD4B05"/>
    <w:rsid w:val="00AD524D"/>
    <w:rsid w:val="00AD5C68"/>
    <w:rsid w:val="00AD67FC"/>
    <w:rsid w:val="00AD75EB"/>
    <w:rsid w:val="00AD776F"/>
    <w:rsid w:val="00AD7B91"/>
    <w:rsid w:val="00AE06FA"/>
    <w:rsid w:val="00AE0DA7"/>
    <w:rsid w:val="00AE12BD"/>
    <w:rsid w:val="00AE1C57"/>
    <w:rsid w:val="00AE23AE"/>
    <w:rsid w:val="00AE316D"/>
    <w:rsid w:val="00AE6AD0"/>
    <w:rsid w:val="00AE6AE4"/>
    <w:rsid w:val="00AE7EE7"/>
    <w:rsid w:val="00AF0B7C"/>
    <w:rsid w:val="00AF0BC2"/>
    <w:rsid w:val="00AF0BCC"/>
    <w:rsid w:val="00AF1E05"/>
    <w:rsid w:val="00AF3803"/>
    <w:rsid w:val="00AF3AB2"/>
    <w:rsid w:val="00AF480B"/>
    <w:rsid w:val="00AF4FB7"/>
    <w:rsid w:val="00AF7463"/>
    <w:rsid w:val="00AF7CBE"/>
    <w:rsid w:val="00B01414"/>
    <w:rsid w:val="00B031E6"/>
    <w:rsid w:val="00B03C50"/>
    <w:rsid w:val="00B04933"/>
    <w:rsid w:val="00B055C4"/>
    <w:rsid w:val="00B0565C"/>
    <w:rsid w:val="00B05B9E"/>
    <w:rsid w:val="00B05FD4"/>
    <w:rsid w:val="00B0640D"/>
    <w:rsid w:val="00B11F8A"/>
    <w:rsid w:val="00B1362D"/>
    <w:rsid w:val="00B13A9A"/>
    <w:rsid w:val="00B13CDC"/>
    <w:rsid w:val="00B1731B"/>
    <w:rsid w:val="00B17328"/>
    <w:rsid w:val="00B21BA1"/>
    <w:rsid w:val="00B21DC2"/>
    <w:rsid w:val="00B22DAF"/>
    <w:rsid w:val="00B236C8"/>
    <w:rsid w:val="00B238F3"/>
    <w:rsid w:val="00B23C57"/>
    <w:rsid w:val="00B2414A"/>
    <w:rsid w:val="00B24C52"/>
    <w:rsid w:val="00B24E6D"/>
    <w:rsid w:val="00B252C2"/>
    <w:rsid w:val="00B26D0B"/>
    <w:rsid w:val="00B30758"/>
    <w:rsid w:val="00B30A7D"/>
    <w:rsid w:val="00B30AF5"/>
    <w:rsid w:val="00B30BB0"/>
    <w:rsid w:val="00B31DCD"/>
    <w:rsid w:val="00B321CB"/>
    <w:rsid w:val="00B33010"/>
    <w:rsid w:val="00B33AC7"/>
    <w:rsid w:val="00B33ADA"/>
    <w:rsid w:val="00B33C5C"/>
    <w:rsid w:val="00B34CA9"/>
    <w:rsid w:val="00B34ED7"/>
    <w:rsid w:val="00B35377"/>
    <w:rsid w:val="00B354DB"/>
    <w:rsid w:val="00B35EB6"/>
    <w:rsid w:val="00B360ED"/>
    <w:rsid w:val="00B36E96"/>
    <w:rsid w:val="00B37BBB"/>
    <w:rsid w:val="00B403B9"/>
    <w:rsid w:val="00B41082"/>
    <w:rsid w:val="00B4117A"/>
    <w:rsid w:val="00B416AF"/>
    <w:rsid w:val="00B434E9"/>
    <w:rsid w:val="00B44BFC"/>
    <w:rsid w:val="00B44DBE"/>
    <w:rsid w:val="00B4768D"/>
    <w:rsid w:val="00B50811"/>
    <w:rsid w:val="00B53068"/>
    <w:rsid w:val="00B53B0E"/>
    <w:rsid w:val="00B5412D"/>
    <w:rsid w:val="00B555B9"/>
    <w:rsid w:val="00B5651A"/>
    <w:rsid w:val="00B56672"/>
    <w:rsid w:val="00B61ABB"/>
    <w:rsid w:val="00B638E2"/>
    <w:rsid w:val="00B67CCC"/>
    <w:rsid w:val="00B67D0F"/>
    <w:rsid w:val="00B70E63"/>
    <w:rsid w:val="00B70F2A"/>
    <w:rsid w:val="00B73522"/>
    <w:rsid w:val="00B74322"/>
    <w:rsid w:val="00B748ED"/>
    <w:rsid w:val="00B761D7"/>
    <w:rsid w:val="00B762FE"/>
    <w:rsid w:val="00B81DC8"/>
    <w:rsid w:val="00B81E2D"/>
    <w:rsid w:val="00B820D2"/>
    <w:rsid w:val="00B823C1"/>
    <w:rsid w:val="00B8411B"/>
    <w:rsid w:val="00B841AB"/>
    <w:rsid w:val="00B863E4"/>
    <w:rsid w:val="00B87796"/>
    <w:rsid w:val="00B8782A"/>
    <w:rsid w:val="00B87AE1"/>
    <w:rsid w:val="00B9011D"/>
    <w:rsid w:val="00B90319"/>
    <w:rsid w:val="00B905D7"/>
    <w:rsid w:val="00B913E4"/>
    <w:rsid w:val="00B91DD0"/>
    <w:rsid w:val="00B92130"/>
    <w:rsid w:val="00B94265"/>
    <w:rsid w:val="00B9519B"/>
    <w:rsid w:val="00B96E08"/>
    <w:rsid w:val="00B978D8"/>
    <w:rsid w:val="00B97C99"/>
    <w:rsid w:val="00B97EB3"/>
    <w:rsid w:val="00BA0350"/>
    <w:rsid w:val="00BA0F8F"/>
    <w:rsid w:val="00BA1C53"/>
    <w:rsid w:val="00BA27C5"/>
    <w:rsid w:val="00BA3482"/>
    <w:rsid w:val="00BA3532"/>
    <w:rsid w:val="00BA3843"/>
    <w:rsid w:val="00BA39AE"/>
    <w:rsid w:val="00BA7A62"/>
    <w:rsid w:val="00BA7D94"/>
    <w:rsid w:val="00BB016B"/>
    <w:rsid w:val="00BB07E6"/>
    <w:rsid w:val="00BB2365"/>
    <w:rsid w:val="00BB4512"/>
    <w:rsid w:val="00BB45D6"/>
    <w:rsid w:val="00BB4AD3"/>
    <w:rsid w:val="00BB656E"/>
    <w:rsid w:val="00BB65C9"/>
    <w:rsid w:val="00BB7484"/>
    <w:rsid w:val="00BC0410"/>
    <w:rsid w:val="00BC2DF9"/>
    <w:rsid w:val="00BC427D"/>
    <w:rsid w:val="00BC4382"/>
    <w:rsid w:val="00BC49C4"/>
    <w:rsid w:val="00BC4B79"/>
    <w:rsid w:val="00BC5E3F"/>
    <w:rsid w:val="00BC6803"/>
    <w:rsid w:val="00BC6CBA"/>
    <w:rsid w:val="00BD0442"/>
    <w:rsid w:val="00BD1EB9"/>
    <w:rsid w:val="00BD1FB4"/>
    <w:rsid w:val="00BD20CE"/>
    <w:rsid w:val="00BD27C1"/>
    <w:rsid w:val="00BD4CF0"/>
    <w:rsid w:val="00BD6331"/>
    <w:rsid w:val="00BD643C"/>
    <w:rsid w:val="00BD6D7E"/>
    <w:rsid w:val="00BE1793"/>
    <w:rsid w:val="00BE1E49"/>
    <w:rsid w:val="00BE24DD"/>
    <w:rsid w:val="00BE39F8"/>
    <w:rsid w:val="00BE3CFD"/>
    <w:rsid w:val="00BE4267"/>
    <w:rsid w:val="00BE4911"/>
    <w:rsid w:val="00BE4D4E"/>
    <w:rsid w:val="00BE6D99"/>
    <w:rsid w:val="00BF131E"/>
    <w:rsid w:val="00BF2BAA"/>
    <w:rsid w:val="00BF39B1"/>
    <w:rsid w:val="00BF419F"/>
    <w:rsid w:val="00BF467B"/>
    <w:rsid w:val="00BF4D81"/>
    <w:rsid w:val="00BF532F"/>
    <w:rsid w:val="00BF55D3"/>
    <w:rsid w:val="00BF5720"/>
    <w:rsid w:val="00BF5B04"/>
    <w:rsid w:val="00C00DC5"/>
    <w:rsid w:val="00C02643"/>
    <w:rsid w:val="00C04773"/>
    <w:rsid w:val="00C0603B"/>
    <w:rsid w:val="00C06360"/>
    <w:rsid w:val="00C06AE6"/>
    <w:rsid w:val="00C07A41"/>
    <w:rsid w:val="00C07DEE"/>
    <w:rsid w:val="00C10343"/>
    <w:rsid w:val="00C10370"/>
    <w:rsid w:val="00C10408"/>
    <w:rsid w:val="00C11180"/>
    <w:rsid w:val="00C1125F"/>
    <w:rsid w:val="00C12D22"/>
    <w:rsid w:val="00C15F9D"/>
    <w:rsid w:val="00C160F6"/>
    <w:rsid w:val="00C16379"/>
    <w:rsid w:val="00C17084"/>
    <w:rsid w:val="00C17D15"/>
    <w:rsid w:val="00C2007D"/>
    <w:rsid w:val="00C21047"/>
    <w:rsid w:val="00C21A63"/>
    <w:rsid w:val="00C21F74"/>
    <w:rsid w:val="00C2215A"/>
    <w:rsid w:val="00C22992"/>
    <w:rsid w:val="00C233EA"/>
    <w:rsid w:val="00C24518"/>
    <w:rsid w:val="00C25610"/>
    <w:rsid w:val="00C25CA5"/>
    <w:rsid w:val="00C265EF"/>
    <w:rsid w:val="00C2700A"/>
    <w:rsid w:val="00C27629"/>
    <w:rsid w:val="00C31800"/>
    <w:rsid w:val="00C33267"/>
    <w:rsid w:val="00C333D2"/>
    <w:rsid w:val="00C343A1"/>
    <w:rsid w:val="00C35664"/>
    <w:rsid w:val="00C357DE"/>
    <w:rsid w:val="00C364E9"/>
    <w:rsid w:val="00C36C43"/>
    <w:rsid w:val="00C400C7"/>
    <w:rsid w:val="00C40151"/>
    <w:rsid w:val="00C4023E"/>
    <w:rsid w:val="00C40419"/>
    <w:rsid w:val="00C404C4"/>
    <w:rsid w:val="00C41082"/>
    <w:rsid w:val="00C42967"/>
    <w:rsid w:val="00C43600"/>
    <w:rsid w:val="00C43828"/>
    <w:rsid w:val="00C43917"/>
    <w:rsid w:val="00C43D15"/>
    <w:rsid w:val="00C446C0"/>
    <w:rsid w:val="00C44BAD"/>
    <w:rsid w:val="00C44E14"/>
    <w:rsid w:val="00C45C11"/>
    <w:rsid w:val="00C45D58"/>
    <w:rsid w:val="00C46D34"/>
    <w:rsid w:val="00C46E36"/>
    <w:rsid w:val="00C473D1"/>
    <w:rsid w:val="00C53F46"/>
    <w:rsid w:val="00C5404E"/>
    <w:rsid w:val="00C541F4"/>
    <w:rsid w:val="00C54629"/>
    <w:rsid w:val="00C5469F"/>
    <w:rsid w:val="00C5506F"/>
    <w:rsid w:val="00C576D1"/>
    <w:rsid w:val="00C57B56"/>
    <w:rsid w:val="00C60D18"/>
    <w:rsid w:val="00C614B1"/>
    <w:rsid w:val="00C61689"/>
    <w:rsid w:val="00C61B86"/>
    <w:rsid w:val="00C624B3"/>
    <w:rsid w:val="00C6292A"/>
    <w:rsid w:val="00C63689"/>
    <w:rsid w:val="00C63EA7"/>
    <w:rsid w:val="00C6426A"/>
    <w:rsid w:val="00C655D9"/>
    <w:rsid w:val="00C65977"/>
    <w:rsid w:val="00C661B9"/>
    <w:rsid w:val="00C66A7E"/>
    <w:rsid w:val="00C70D56"/>
    <w:rsid w:val="00C71980"/>
    <w:rsid w:val="00C755B5"/>
    <w:rsid w:val="00C75987"/>
    <w:rsid w:val="00C76BD6"/>
    <w:rsid w:val="00C77AFD"/>
    <w:rsid w:val="00C8017C"/>
    <w:rsid w:val="00C8093D"/>
    <w:rsid w:val="00C80C3E"/>
    <w:rsid w:val="00C80FC7"/>
    <w:rsid w:val="00C8108F"/>
    <w:rsid w:val="00C814B1"/>
    <w:rsid w:val="00C8201C"/>
    <w:rsid w:val="00C82B45"/>
    <w:rsid w:val="00C831F0"/>
    <w:rsid w:val="00C84991"/>
    <w:rsid w:val="00C861B2"/>
    <w:rsid w:val="00C90BAF"/>
    <w:rsid w:val="00C91278"/>
    <w:rsid w:val="00C91522"/>
    <w:rsid w:val="00C91714"/>
    <w:rsid w:val="00C93C99"/>
    <w:rsid w:val="00C93EF4"/>
    <w:rsid w:val="00C9428C"/>
    <w:rsid w:val="00C94E8F"/>
    <w:rsid w:val="00C94F09"/>
    <w:rsid w:val="00C96760"/>
    <w:rsid w:val="00C968ED"/>
    <w:rsid w:val="00C96C81"/>
    <w:rsid w:val="00C97107"/>
    <w:rsid w:val="00C97B3E"/>
    <w:rsid w:val="00CA156E"/>
    <w:rsid w:val="00CA1984"/>
    <w:rsid w:val="00CA2005"/>
    <w:rsid w:val="00CA2912"/>
    <w:rsid w:val="00CA2BD1"/>
    <w:rsid w:val="00CA2FA2"/>
    <w:rsid w:val="00CA4D89"/>
    <w:rsid w:val="00CA5051"/>
    <w:rsid w:val="00CA51AE"/>
    <w:rsid w:val="00CA5A01"/>
    <w:rsid w:val="00CA674E"/>
    <w:rsid w:val="00CA7E3B"/>
    <w:rsid w:val="00CB258C"/>
    <w:rsid w:val="00CB2879"/>
    <w:rsid w:val="00CB2CFA"/>
    <w:rsid w:val="00CB31C7"/>
    <w:rsid w:val="00CB3D44"/>
    <w:rsid w:val="00CB4917"/>
    <w:rsid w:val="00CB51C8"/>
    <w:rsid w:val="00CB5BE9"/>
    <w:rsid w:val="00CB6244"/>
    <w:rsid w:val="00CB6682"/>
    <w:rsid w:val="00CB7FE3"/>
    <w:rsid w:val="00CC05C9"/>
    <w:rsid w:val="00CC0872"/>
    <w:rsid w:val="00CC0EEB"/>
    <w:rsid w:val="00CC0F10"/>
    <w:rsid w:val="00CC1776"/>
    <w:rsid w:val="00CC17B6"/>
    <w:rsid w:val="00CC37C9"/>
    <w:rsid w:val="00CC479F"/>
    <w:rsid w:val="00CC7E87"/>
    <w:rsid w:val="00CD0AC6"/>
    <w:rsid w:val="00CD1438"/>
    <w:rsid w:val="00CD194D"/>
    <w:rsid w:val="00CD2AB3"/>
    <w:rsid w:val="00CD4B48"/>
    <w:rsid w:val="00CD6B13"/>
    <w:rsid w:val="00CD70CB"/>
    <w:rsid w:val="00CD747C"/>
    <w:rsid w:val="00CE10E1"/>
    <w:rsid w:val="00CE5360"/>
    <w:rsid w:val="00CE5686"/>
    <w:rsid w:val="00CE5940"/>
    <w:rsid w:val="00CE5AB7"/>
    <w:rsid w:val="00CE5D76"/>
    <w:rsid w:val="00CE60C8"/>
    <w:rsid w:val="00CE6C6B"/>
    <w:rsid w:val="00CE72DF"/>
    <w:rsid w:val="00CF0D14"/>
    <w:rsid w:val="00CF1F1B"/>
    <w:rsid w:val="00CF3535"/>
    <w:rsid w:val="00CF44B6"/>
    <w:rsid w:val="00CF47F2"/>
    <w:rsid w:val="00CF49F2"/>
    <w:rsid w:val="00CF50DB"/>
    <w:rsid w:val="00CF5741"/>
    <w:rsid w:val="00CF639D"/>
    <w:rsid w:val="00CF664A"/>
    <w:rsid w:val="00CF6800"/>
    <w:rsid w:val="00CF6E90"/>
    <w:rsid w:val="00CF7BAF"/>
    <w:rsid w:val="00D00803"/>
    <w:rsid w:val="00D01800"/>
    <w:rsid w:val="00D02A60"/>
    <w:rsid w:val="00D02BB4"/>
    <w:rsid w:val="00D03734"/>
    <w:rsid w:val="00D03D33"/>
    <w:rsid w:val="00D05980"/>
    <w:rsid w:val="00D059B9"/>
    <w:rsid w:val="00D060E5"/>
    <w:rsid w:val="00D066F0"/>
    <w:rsid w:val="00D10B3E"/>
    <w:rsid w:val="00D111FB"/>
    <w:rsid w:val="00D1209D"/>
    <w:rsid w:val="00D123DE"/>
    <w:rsid w:val="00D12FE7"/>
    <w:rsid w:val="00D13737"/>
    <w:rsid w:val="00D138C8"/>
    <w:rsid w:val="00D13C84"/>
    <w:rsid w:val="00D14E1A"/>
    <w:rsid w:val="00D16595"/>
    <w:rsid w:val="00D20F02"/>
    <w:rsid w:val="00D21BC1"/>
    <w:rsid w:val="00D223E8"/>
    <w:rsid w:val="00D26099"/>
    <w:rsid w:val="00D27DD5"/>
    <w:rsid w:val="00D303B6"/>
    <w:rsid w:val="00D31315"/>
    <w:rsid w:val="00D318AB"/>
    <w:rsid w:val="00D32320"/>
    <w:rsid w:val="00D329C7"/>
    <w:rsid w:val="00D32E15"/>
    <w:rsid w:val="00D33098"/>
    <w:rsid w:val="00D34EB3"/>
    <w:rsid w:val="00D355EC"/>
    <w:rsid w:val="00D357E5"/>
    <w:rsid w:val="00D35A3C"/>
    <w:rsid w:val="00D362A2"/>
    <w:rsid w:val="00D36700"/>
    <w:rsid w:val="00D42954"/>
    <w:rsid w:val="00D42A1C"/>
    <w:rsid w:val="00D43B0F"/>
    <w:rsid w:val="00D445D2"/>
    <w:rsid w:val="00D44983"/>
    <w:rsid w:val="00D44991"/>
    <w:rsid w:val="00D45A39"/>
    <w:rsid w:val="00D45C77"/>
    <w:rsid w:val="00D45F6D"/>
    <w:rsid w:val="00D460A2"/>
    <w:rsid w:val="00D46958"/>
    <w:rsid w:val="00D47DB3"/>
    <w:rsid w:val="00D50059"/>
    <w:rsid w:val="00D530A3"/>
    <w:rsid w:val="00D53297"/>
    <w:rsid w:val="00D534D1"/>
    <w:rsid w:val="00D54DE1"/>
    <w:rsid w:val="00D557F1"/>
    <w:rsid w:val="00D55C4B"/>
    <w:rsid w:val="00D563FB"/>
    <w:rsid w:val="00D5788B"/>
    <w:rsid w:val="00D57FE5"/>
    <w:rsid w:val="00D60751"/>
    <w:rsid w:val="00D61CED"/>
    <w:rsid w:val="00D6201B"/>
    <w:rsid w:val="00D6214A"/>
    <w:rsid w:val="00D655F5"/>
    <w:rsid w:val="00D66395"/>
    <w:rsid w:val="00D675AB"/>
    <w:rsid w:val="00D70270"/>
    <w:rsid w:val="00D70C88"/>
    <w:rsid w:val="00D71234"/>
    <w:rsid w:val="00D72084"/>
    <w:rsid w:val="00D72B2C"/>
    <w:rsid w:val="00D72E60"/>
    <w:rsid w:val="00D7365A"/>
    <w:rsid w:val="00D74161"/>
    <w:rsid w:val="00D74E32"/>
    <w:rsid w:val="00D74E4E"/>
    <w:rsid w:val="00D751B9"/>
    <w:rsid w:val="00D753C4"/>
    <w:rsid w:val="00D764BA"/>
    <w:rsid w:val="00D777B0"/>
    <w:rsid w:val="00D77A7D"/>
    <w:rsid w:val="00D8042A"/>
    <w:rsid w:val="00D8221F"/>
    <w:rsid w:val="00D8276C"/>
    <w:rsid w:val="00D82925"/>
    <w:rsid w:val="00D8333B"/>
    <w:rsid w:val="00D833D3"/>
    <w:rsid w:val="00D83911"/>
    <w:rsid w:val="00D83C6E"/>
    <w:rsid w:val="00D843E3"/>
    <w:rsid w:val="00D85214"/>
    <w:rsid w:val="00D8623A"/>
    <w:rsid w:val="00D86740"/>
    <w:rsid w:val="00D86E86"/>
    <w:rsid w:val="00D8755C"/>
    <w:rsid w:val="00D9099B"/>
    <w:rsid w:val="00D90ABC"/>
    <w:rsid w:val="00D90E4D"/>
    <w:rsid w:val="00D91B9D"/>
    <w:rsid w:val="00D929BD"/>
    <w:rsid w:val="00D92AF4"/>
    <w:rsid w:val="00D93490"/>
    <w:rsid w:val="00D93BBE"/>
    <w:rsid w:val="00D94713"/>
    <w:rsid w:val="00D95543"/>
    <w:rsid w:val="00D95A3F"/>
    <w:rsid w:val="00D9604F"/>
    <w:rsid w:val="00D960C5"/>
    <w:rsid w:val="00D968C1"/>
    <w:rsid w:val="00D975D6"/>
    <w:rsid w:val="00D97929"/>
    <w:rsid w:val="00D97B0C"/>
    <w:rsid w:val="00DA062D"/>
    <w:rsid w:val="00DA1D4B"/>
    <w:rsid w:val="00DA3BE4"/>
    <w:rsid w:val="00DA47E6"/>
    <w:rsid w:val="00DA4EEA"/>
    <w:rsid w:val="00DA63EF"/>
    <w:rsid w:val="00DA6649"/>
    <w:rsid w:val="00DA7248"/>
    <w:rsid w:val="00DB06A3"/>
    <w:rsid w:val="00DB0F49"/>
    <w:rsid w:val="00DB0FB8"/>
    <w:rsid w:val="00DB17D0"/>
    <w:rsid w:val="00DB2301"/>
    <w:rsid w:val="00DB51C9"/>
    <w:rsid w:val="00DB5462"/>
    <w:rsid w:val="00DB5616"/>
    <w:rsid w:val="00DB68FF"/>
    <w:rsid w:val="00DB69A5"/>
    <w:rsid w:val="00DB733B"/>
    <w:rsid w:val="00DB73B3"/>
    <w:rsid w:val="00DB7906"/>
    <w:rsid w:val="00DC0A47"/>
    <w:rsid w:val="00DC0D2E"/>
    <w:rsid w:val="00DC1019"/>
    <w:rsid w:val="00DC1C11"/>
    <w:rsid w:val="00DC3042"/>
    <w:rsid w:val="00DC3C65"/>
    <w:rsid w:val="00DC4A1F"/>
    <w:rsid w:val="00DC5A10"/>
    <w:rsid w:val="00DC60F8"/>
    <w:rsid w:val="00DC775D"/>
    <w:rsid w:val="00DD0D5A"/>
    <w:rsid w:val="00DD1457"/>
    <w:rsid w:val="00DD1999"/>
    <w:rsid w:val="00DD31A8"/>
    <w:rsid w:val="00DD35C6"/>
    <w:rsid w:val="00DD37F0"/>
    <w:rsid w:val="00DD48D1"/>
    <w:rsid w:val="00DD551E"/>
    <w:rsid w:val="00DD656C"/>
    <w:rsid w:val="00DD796A"/>
    <w:rsid w:val="00DE0003"/>
    <w:rsid w:val="00DE13E8"/>
    <w:rsid w:val="00DE19D9"/>
    <w:rsid w:val="00DE29FE"/>
    <w:rsid w:val="00DE316A"/>
    <w:rsid w:val="00DE3349"/>
    <w:rsid w:val="00DE37A0"/>
    <w:rsid w:val="00DE464C"/>
    <w:rsid w:val="00DE48EE"/>
    <w:rsid w:val="00DE4EA1"/>
    <w:rsid w:val="00DE52C9"/>
    <w:rsid w:val="00DE5A96"/>
    <w:rsid w:val="00DE6CD9"/>
    <w:rsid w:val="00DE6F49"/>
    <w:rsid w:val="00DF0ACD"/>
    <w:rsid w:val="00DF0CAC"/>
    <w:rsid w:val="00DF0D53"/>
    <w:rsid w:val="00DF2CAD"/>
    <w:rsid w:val="00DF300C"/>
    <w:rsid w:val="00DF37D2"/>
    <w:rsid w:val="00DF51F2"/>
    <w:rsid w:val="00DF61CE"/>
    <w:rsid w:val="00DF64EB"/>
    <w:rsid w:val="00DF69C7"/>
    <w:rsid w:val="00DF69D2"/>
    <w:rsid w:val="00E00B04"/>
    <w:rsid w:val="00E01B1A"/>
    <w:rsid w:val="00E0271F"/>
    <w:rsid w:val="00E02923"/>
    <w:rsid w:val="00E02AE2"/>
    <w:rsid w:val="00E0315E"/>
    <w:rsid w:val="00E0327A"/>
    <w:rsid w:val="00E03ACA"/>
    <w:rsid w:val="00E042D1"/>
    <w:rsid w:val="00E05ABF"/>
    <w:rsid w:val="00E068F4"/>
    <w:rsid w:val="00E07316"/>
    <w:rsid w:val="00E07550"/>
    <w:rsid w:val="00E07C0A"/>
    <w:rsid w:val="00E10A6F"/>
    <w:rsid w:val="00E11CFD"/>
    <w:rsid w:val="00E130C3"/>
    <w:rsid w:val="00E13326"/>
    <w:rsid w:val="00E13421"/>
    <w:rsid w:val="00E13F6E"/>
    <w:rsid w:val="00E14D67"/>
    <w:rsid w:val="00E152B7"/>
    <w:rsid w:val="00E1550D"/>
    <w:rsid w:val="00E15788"/>
    <w:rsid w:val="00E16258"/>
    <w:rsid w:val="00E16B3D"/>
    <w:rsid w:val="00E16B42"/>
    <w:rsid w:val="00E16BB7"/>
    <w:rsid w:val="00E17BA2"/>
    <w:rsid w:val="00E17E77"/>
    <w:rsid w:val="00E223F0"/>
    <w:rsid w:val="00E2268E"/>
    <w:rsid w:val="00E22C6B"/>
    <w:rsid w:val="00E23A6D"/>
    <w:rsid w:val="00E2427F"/>
    <w:rsid w:val="00E24F9F"/>
    <w:rsid w:val="00E2572F"/>
    <w:rsid w:val="00E25F3D"/>
    <w:rsid w:val="00E26101"/>
    <w:rsid w:val="00E26B04"/>
    <w:rsid w:val="00E26EE9"/>
    <w:rsid w:val="00E273DB"/>
    <w:rsid w:val="00E30DDE"/>
    <w:rsid w:val="00E3167F"/>
    <w:rsid w:val="00E3217F"/>
    <w:rsid w:val="00E325E2"/>
    <w:rsid w:val="00E32FE2"/>
    <w:rsid w:val="00E333E9"/>
    <w:rsid w:val="00E33F5B"/>
    <w:rsid w:val="00E34658"/>
    <w:rsid w:val="00E34C24"/>
    <w:rsid w:val="00E353F2"/>
    <w:rsid w:val="00E35F38"/>
    <w:rsid w:val="00E364B5"/>
    <w:rsid w:val="00E3659E"/>
    <w:rsid w:val="00E36C3C"/>
    <w:rsid w:val="00E36CE1"/>
    <w:rsid w:val="00E375CF"/>
    <w:rsid w:val="00E37CBD"/>
    <w:rsid w:val="00E4009A"/>
    <w:rsid w:val="00E403BA"/>
    <w:rsid w:val="00E41391"/>
    <w:rsid w:val="00E41B44"/>
    <w:rsid w:val="00E4221C"/>
    <w:rsid w:val="00E430DC"/>
    <w:rsid w:val="00E4385C"/>
    <w:rsid w:val="00E43C56"/>
    <w:rsid w:val="00E43D49"/>
    <w:rsid w:val="00E4507E"/>
    <w:rsid w:val="00E4654F"/>
    <w:rsid w:val="00E467B5"/>
    <w:rsid w:val="00E50384"/>
    <w:rsid w:val="00E51D39"/>
    <w:rsid w:val="00E52E2E"/>
    <w:rsid w:val="00E52E70"/>
    <w:rsid w:val="00E52F56"/>
    <w:rsid w:val="00E55FB1"/>
    <w:rsid w:val="00E564B1"/>
    <w:rsid w:val="00E56DD9"/>
    <w:rsid w:val="00E60B15"/>
    <w:rsid w:val="00E6170F"/>
    <w:rsid w:val="00E617B9"/>
    <w:rsid w:val="00E6211B"/>
    <w:rsid w:val="00E631F7"/>
    <w:rsid w:val="00E634DF"/>
    <w:rsid w:val="00E642A9"/>
    <w:rsid w:val="00E644B8"/>
    <w:rsid w:val="00E644D7"/>
    <w:rsid w:val="00E67045"/>
    <w:rsid w:val="00E7065C"/>
    <w:rsid w:val="00E71439"/>
    <w:rsid w:val="00E71F22"/>
    <w:rsid w:val="00E721F8"/>
    <w:rsid w:val="00E72DC4"/>
    <w:rsid w:val="00E736E5"/>
    <w:rsid w:val="00E738CE"/>
    <w:rsid w:val="00E74209"/>
    <w:rsid w:val="00E751BE"/>
    <w:rsid w:val="00E751D9"/>
    <w:rsid w:val="00E75722"/>
    <w:rsid w:val="00E759FA"/>
    <w:rsid w:val="00E75CFC"/>
    <w:rsid w:val="00E75E0B"/>
    <w:rsid w:val="00E77AE8"/>
    <w:rsid w:val="00E80454"/>
    <w:rsid w:val="00E83119"/>
    <w:rsid w:val="00E83301"/>
    <w:rsid w:val="00E84817"/>
    <w:rsid w:val="00E84CA6"/>
    <w:rsid w:val="00E86C81"/>
    <w:rsid w:val="00E87217"/>
    <w:rsid w:val="00E87ABF"/>
    <w:rsid w:val="00E87B0A"/>
    <w:rsid w:val="00E87F0E"/>
    <w:rsid w:val="00E932F4"/>
    <w:rsid w:val="00E93ADF"/>
    <w:rsid w:val="00E9712A"/>
    <w:rsid w:val="00EA0446"/>
    <w:rsid w:val="00EA07EE"/>
    <w:rsid w:val="00EA0A1D"/>
    <w:rsid w:val="00EA13BA"/>
    <w:rsid w:val="00EA1683"/>
    <w:rsid w:val="00EA255F"/>
    <w:rsid w:val="00EA2BEA"/>
    <w:rsid w:val="00EA30B4"/>
    <w:rsid w:val="00EA3F65"/>
    <w:rsid w:val="00EA425C"/>
    <w:rsid w:val="00EA58F3"/>
    <w:rsid w:val="00EA7630"/>
    <w:rsid w:val="00EA77DF"/>
    <w:rsid w:val="00EA7972"/>
    <w:rsid w:val="00EA7AED"/>
    <w:rsid w:val="00EB107D"/>
    <w:rsid w:val="00EB174A"/>
    <w:rsid w:val="00EB262D"/>
    <w:rsid w:val="00EB34DD"/>
    <w:rsid w:val="00EB48B9"/>
    <w:rsid w:val="00EB55E5"/>
    <w:rsid w:val="00EB7AAA"/>
    <w:rsid w:val="00EB7C90"/>
    <w:rsid w:val="00EB7CAD"/>
    <w:rsid w:val="00EB7F54"/>
    <w:rsid w:val="00EC1E09"/>
    <w:rsid w:val="00EC1F2A"/>
    <w:rsid w:val="00EC2067"/>
    <w:rsid w:val="00EC21E5"/>
    <w:rsid w:val="00EC27C3"/>
    <w:rsid w:val="00EC2FFA"/>
    <w:rsid w:val="00EC49DF"/>
    <w:rsid w:val="00EC4F06"/>
    <w:rsid w:val="00EC50AB"/>
    <w:rsid w:val="00EC5F69"/>
    <w:rsid w:val="00EC7937"/>
    <w:rsid w:val="00EC7BE1"/>
    <w:rsid w:val="00ED00CD"/>
    <w:rsid w:val="00ED03FB"/>
    <w:rsid w:val="00ED06D4"/>
    <w:rsid w:val="00ED0EA7"/>
    <w:rsid w:val="00ED4724"/>
    <w:rsid w:val="00ED53B3"/>
    <w:rsid w:val="00ED7872"/>
    <w:rsid w:val="00EE0530"/>
    <w:rsid w:val="00EE1C5E"/>
    <w:rsid w:val="00EE24ED"/>
    <w:rsid w:val="00EE33E6"/>
    <w:rsid w:val="00EE5043"/>
    <w:rsid w:val="00EE7AD0"/>
    <w:rsid w:val="00EE7E24"/>
    <w:rsid w:val="00EF0739"/>
    <w:rsid w:val="00EF2010"/>
    <w:rsid w:val="00EF23B3"/>
    <w:rsid w:val="00EF36F1"/>
    <w:rsid w:val="00EF44E7"/>
    <w:rsid w:val="00EF5B9E"/>
    <w:rsid w:val="00EF5DBB"/>
    <w:rsid w:val="00F003AE"/>
    <w:rsid w:val="00F0193E"/>
    <w:rsid w:val="00F02969"/>
    <w:rsid w:val="00F047DF"/>
    <w:rsid w:val="00F04973"/>
    <w:rsid w:val="00F049CA"/>
    <w:rsid w:val="00F055D4"/>
    <w:rsid w:val="00F0573E"/>
    <w:rsid w:val="00F059A7"/>
    <w:rsid w:val="00F059D0"/>
    <w:rsid w:val="00F059F3"/>
    <w:rsid w:val="00F067F9"/>
    <w:rsid w:val="00F06CEF"/>
    <w:rsid w:val="00F07DCD"/>
    <w:rsid w:val="00F07F76"/>
    <w:rsid w:val="00F112C0"/>
    <w:rsid w:val="00F11445"/>
    <w:rsid w:val="00F114F1"/>
    <w:rsid w:val="00F12519"/>
    <w:rsid w:val="00F12A73"/>
    <w:rsid w:val="00F13317"/>
    <w:rsid w:val="00F15130"/>
    <w:rsid w:val="00F163D9"/>
    <w:rsid w:val="00F16654"/>
    <w:rsid w:val="00F16B91"/>
    <w:rsid w:val="00F2120D"/>
    <w:rsid w:val="00F215F3"/>
    <w:rsid w:val="00F217CC"/>
    <w:rsid w:val="00F21B3C"/>
    <w:rsid w:val="00F223DD"/>
    <w:rsid w:val="00F23668"/>
    <w:rsid w:val="00F23ECB"/>
    <w:rsid w:val="00F24382"/>
    <w:rsid w:val="00F24A46"/>
    <w:rsid w:val="00F24EA0"/>
    <w:rsid w:val="00F268EB"/>
    <w:rsid w:val="00F308EF"/>
    <w:rsid w:val="00F32605"/>
    <w:rsid w:val="00F34FA5"/>
    <w:rsid w:val="00F37C79"/>
    <w:rsid w:val="00F41C7E"/>
    <w:rsid w:val="00F41D53"/>
    <w:rsid w:val="00F41E6E"/>
    <w:rsid w:val="00F43672"/>
    <w:rsid w:val="00F43A4F"/>
    <w:rsid w:val="00F43FAE"/>
    <w:rsid w:val="00F44346"/>
    <w:rsid w:val="00F456A8"/>
    <w:rsid w:val="00F45B81"/>
    <w:rsid w:val="00F463B1"/>
    <w:rsid w:val="00F46C15"/>
    <w:rsid w:val="00F46D84"/>
    <w:rsid w:val="00F46F86"/>
    <w:rsid w:val="00F471B9"/>
    <w:rsid w:val="00F47267"/>
    <w:rsid w:val="00F47A1A"/>
    <w:rsid w:val="00F50323"/>
    <w:rsid w:val="00F5036F"/>
    <w:rsid w:val="00F50C74"/>
    <w:rsid w:val="00F53F12"/>
    <w:rsid w:val="00F55002"/>
    <w:rsid w:val="00F55468"/>
    <w:rsid w:val="00F557C1"/>
    <w:rsid w:val="00F55F88"/>
    <w:rsid w:val="00F560D5"/>
    <w:rsid w:val="00F57749"/>
    <w:rsid w:val="00F62AA2"/>
    <w:rsid w:val="00F638E8"/>
    <w:rsid w:val="00F63A44"/>
    <w:rsid w:val="00F64391"/>
    <w:rsid w:val="00F64406"/>
    <w:rsid w:val="00F65860"/>
    <w:rsid w:val="00F65ADD"/>
    <w:rsid w:val="00F65D3D"/>
    <w:rsid w:val="00F65F8F"/>
    <w:rsid w:val="00F705C8"/>
    <w:rsid w:val="00F70CE5"/>
    <w:rsid w:val="00F711D1"/>
    <w:rsid w:val="00F71209"/>
    <w:rsid w:val="00F72647"/>
    <w:rsid w:val="00F74D33"/>
    <w:rsid w:val="00F75CA0"/>
    <w:rsid w:val="00F76227"/>
    <w:rsid w:val="00F7646D"/>
    <w:rsid w:val="00F76724"/>
    <w:rsid w:val="00F76C90"/>
    <w:rsid w:val="00F77060"/>
    <w:rsid w:val="00F77BA0"/>
    <w:rsid w:val="00F84B8B"/>
    <w:rsid w:val="00F8507D"/>
    <w:rsid w:val="00F853F9"/>
    <w:rsid w:val="00F858C4"/>
    <w:rsid w:val="00F85D7A"/>
    <w:rsid w:val="00F90BD6"/>
    <w:rsid w:val="00F917C6"/>
    <w:rsid w:val="00F92003"/>
    <w:rsid w:val="00F92C0D"/>
    <w:rsid w:val="00F932A1"/>
    <w:rsid w:val="00F9463B"/>
    <w:rsid w:val="00F949F9"/>
    <w:rsid w:val="00F94D16"/>
    <w:rsid w:val="00F9535E"/>
    <w:rsid w:val="00F96CE9"/>
    <w:rsid w:val="00F96D63"/>
    <w:rsid w:val="00FA0DCB"/>
    <w:rsid w:val="00FA1220"/>
    <w:rsid w:val="00FA1222"/>
    <w:rsid w:val="00FA1A35"/>
    <w:rsid w:val="00FA1DDE"/>
    <w:rsid w:val="00FA25DF"/>
    <w:rsid w:val="00FA2822"/>
    <w:rsid w:val="00FA683C"/>
    <w:rsid w:val="00FA6D84"/>
    <w:rsid w:val="00FA6DF2"/>
    <w:rsid w:val="00FA6F5F"/>
    <w:rsid w:val="00FA7BC6"/>
    <w:rsid w:val="00FB01E9"/>
    <w:rsid w:val="00FB020D"/>
    <w:rsid w:val="00FB038D"/>
    <w:rsid w:val="00FB0682"/>
    <w:rsid w:val="00FB1760"/>
    <w:rsid w:val="00FB2C98"/>
    <w:rsid w:val="00FB2CC1"/>
    <w:rsid w:val="00FB2D0A"/>
    <w:rsid w:val="00FB3515"/>
    <w:rsid w:val="00FB5B92"/>
    <w:rsid w:val="00FB61C5"/>
    <w:rsid w:val="00FB7988"/>
    <w:rsid w:val="00FC05E5"/>
    <w:rsid w:val="00FC0821"/>
    <w:rsid w:val="00FC1A8C"/>
    <w:rsid w:val="00FC2AC4"/>
    <w:rsid w:val="00FC3B5A"/>
    <w:rsid w:val="00FC471F"/>
    <w:rsid w:val="00FC4B6B"/>
    <w:rsid w:val="00FC575F"/>
    <w:rsid w:val="00FC5900"/>
    <w:rsid w:val="00FC616B"/>
    <w:rsid w:val="00FC65D9"/>
    <w:rsid w:val="00FD0189"/>
    <w:rsid w:val="00FD02EF"/>
    <w:rsid w:val="00FD0799"/>
    <w:rsid w:val="00FD137E"/>
    <w:rsid w:val="00FD2CE5"/>
    <w:rsid w:val="00FD4B10"/>
    <w:rsid w:val="00FD4B63"/>
    <w:rsid w:val="00FD5549"/>
    <w:rsid w:val="00FD62B5"/>
    <w:rsid w:val="00FD62E6"/>
    <w:rsid w:val="00FE0A5D"/>
    <w:rsid w:val="00FE1CC1"/>
    <w:rsid w:val="00FE2443"/>
    <w:rsid w:val="00FE2C8B"/>
    <w:rsid w:val="00FE470F"/>
    <w:rsid w:val="00FE4813"/>
    <w:rsid w:val="00FE5972"/>
    <w:rsid w:val="00FE5A9E"/>
    <w:rsid w:val="00FE6471"/>
    <w:rsid w:val="00FF060E"/>
    <w:rsid w:val="00FF08E0"/>
    <w:rsid w:val="00FF219A"/>
    <w:rsid w:val="00FF4549"/>
    <w:rsid w:val="00FF52C6"/>
    <w:rsid w:val="00FF58F5"/>
    <w:rsid w:val="00FF5A5F"/>
    <w:rsid w:val="00FF6925"/>
    <w:rsid w:val="00FF7150"/>
    <w:rsid w:val="00FF73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A7D"/>
    <w:rPr>
      <w:sz w:val="24"/>
      <w:szCs w:val="24"/>
    </w:rPr>
  </w:style>
  <w:style w:type="paragraph" w:styleId="Ttulo1">
    <w:name w:val="heading 1"/>
    <w:basedOn w:val="Normal"/>
    <w:next w:val="Normal"/>
    <w:qFormat/>
    <w:rsid w:val="00B30A7D"/>
    <w:pPr>
      <w:keepNext/>
      <w:jc w:val="center"/>
      <w:outlineLvl w:val="0"/>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B30A7D"/>
    <w:pPr>
      <w:ind w:left="5103"/>
      <w:jc w:val="both"/>
    </w:pPr>
  </w:style>
  <w:style w:type="paragraph" w:styleId="Textoembloco">
    <w:name w:val="Block Text"/>
    <w:basedOn w:val="Normal"/>
    <w:rsid w:val="00B30A7D"/>
    <w:pPr>
      <w:widowControl w:val="0"/>
      <w:tabs>
        <w:tab w:val="left" w:pos="6804"/>
      </w:tabs>
      <w:spacing w:before="2" w:after="2" w:line="250" w:lineRule="auto"/>
      <w:ind w:left="336" w:right="57" w:hanging="279"/>
    </w:pPr>
    <w:rPr>
      <w:rFonts w:ascii="Arial" w:hAnsi="Arial" w:cs="Arial"/>
      <w:sz w:val="20"/>
      <w:lang w:val="pt-PT"/>
    </w:rPr>
  </w:style>
  <w:style w:type="table" w:styleId="Tabelacomgrade">
    <w:name w:val="Table Grid"/>
    <w:basedOn w:val="Tabelanormal"/>
    <w:rsid w:val="00B30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860F77"/>
    <w:rPr>
      <w:rFonts w:ascii="Tahoma" w:hAnsi="Tahoma"/>
      <w:sz w:val="16"/>
      <w:szCs w:val="16"/>
    </w:rPr>
  </w:style>
  <w:style w:type="character" w:customStyle="1" w:styleId="TextodebaloChar">
    <w:name w:val="Texto de balão Char"/>
    <w:link w:val="Textodebalo"/>
    <w:rsid w:val="00860F77"/>
    <w:rPr>
      <w:rFonts w:ascii="Tahoma" w:hAnsi="Tahoma" w:cs="Tahoma"/>
      <w:sz w:val="16"/>
      <w:szCs w:val="16"/>
    </w:rPr>
  </w:style>
  <w:style w:type="paragraph" w:styleId="Textodenotaderodap">
    <w:name w:val="footnote text"/>
    <w:basedOn w:val="Normal"/>
    <w:link w:val="TextodenotaderodapChar"/>
    <w:rsid w:val="00A84E28"/>
    <w:rPr>
      <w:sz w:val="20"/>
      <w:szCs w:val="20"/>
    </w:rPr>
  </w:style>
  <w:style w:type="character" w:customStyle="1" w:styleId="TextodenotaderodapChar">
    <w:name w:val="Texto de nota de rodapé Char"/>
    <w:basedOn w:val="Fontepargpadro"/>
    <w:link w:val="Textodenotaderodap"/>
    <w:rsid w:val="00A84E28"/>
  </w:style>
  <w:style w:type="character" w:styleId="Refdenotaderodap">
    <w:name w:val="footnote reference"/>
    <w:rsid w:val="00A84E28"/>
    <w:rPr>
      <w:vertAlign w:val="superscript"/>
    </w:rPr>
  </w:style>
  <w:style w:type="paragraph" w:styleId="PargrafodaLista">
    <w:name w:val="List Paragraph"/>
    <w:basedOn w:val="Normal"/>
    <w:uiPriority w:val="1"/>
    <w:qFormat/>
    <w:rsid w:val="00E75CFC"/>
    <w:pPr>
      <w:ind w:left="708"/>
    </w:pPr>
  </w:style>
  <w:style w:type="character" w:styleId="Refdecomentrio">
    <w:name w:val="annotation reference"/>
    <w:rsid w:val="00541701"/>
    <w:rPr>
      <w:sz w:val="16"/>
      <w:szCs w:val="16"/>
    </w:rPr>
  </w:style>
  <w:style w:type="paragraph" w:styleId="Textodecomentrio">
    <w:name w:val="annotation text"/>
    <w:basedOn w:val="Normal"/>
    <w:link w:val="TextodecomentrioChar"/>
    <w:rsid w:val="00541701"/>
    <w:rPr>
      <w:sz w:val="20"/>
      <w:szCs w:val="20"/>
    </w:rPr>
  </w:style>
  <w:style w:type="character" w:customStyle="1" w:styleId="TextodecomentrioChar">
    <w:name w:val="Texto de comentário Char"/>
    <w:basedOn w:val="Fontepargpadro"/>
    <w:link w:val="Textodecomentrio"/>
    <w:rsid w:val="00541701"/>
  </w:style>
  <w:style w:type="paragraph" w:styleId="Assuntodocomentrio">
    <w:name w:val="annotation subject"/>
    <w:basedOn w:val="Textodecomentrio"/>
    <w:next w:val="Textodecomentrio"/>
    <w:link w:val="AssuntodocomentrioChar"/>
    <w:rsid w:val="00541701"/>
    <w:rPr>
      <w:b/>
      <w:bCs/>
    </w:rPr>
  </w:style>
  <w:style w:type="character" w:customStyle="1" w:styleId="AssuntodocomentrioChar">
    <w:name w:val="Assunto do comentário Char"/>
    <w:link w:val="Assuntodocomentrio"/>
    <w:rsid w:val="00541701"/>
    <w:rPr>
      <w:b/>
      <w:bCs/>
    </w:rPr>
  </w:style>
  <w:style w:type="paragraph" w:customStyle="1" w:styleId="Default">
    <w:name w:val="Default"/>
    <w:rsid w:val="00023854"/>
    <w:pPr>
      <w:autoSpaceDE w:val="0"/>
      <w:autoSpaceDN w:val="0"/>
      <w:adjustRightInd w:val="0"/>
    </w:pPr>
    <w:rPr>
      <w:rFonts w:ascii="Arial" w:hAnsi="Arial" w:cs="Arial"/>
      <w:color w:val="000000"/>
      <w:sz w:val="24"/>
      <w:szCs w:val="24"/>
    </w:rPr>
  </w:style>
  <w:style w:type="paragraph" w:styleId="Reviso">
    <w:name w:val="Revision"/>
    <w:hidden/>
    <w:uiPriority w:val="99"/>
    <w:semiHidden/>
    <w:rsid w:val="00155005"/>
    <w:rPr>
      <w:sz w:val="24"/>
      <w:szCs w:val="24"/>
    </w:rPr>
  </w:style>
  <w:style w:type="paragraph" w:styleId="Pr-formataoHTML">
    <w:name w:val="HTML Preformatted"/>
    <w:basedOn w:val="Normal"/>
    <w:link w:val="Pr-formataoHTMLChar"/>
    <w:uiPriority w:val="99"/>
    <w:rsid w:val="00801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Pr-formataoHTMLChar">
    <w:name w:val="Pré-formatação HTML Char"/>
    <w:basedOn w:val="Fontepargpadro"/>
    <w:link w:val="Pr-formataoHTML"/>
    <w:uiPriority w:val="99"/>
    <w:rsid w:val="00801AD6"/>
    <w:rPr>
      <w:rFonts w:ascii="Courier New" w:hAnsi="Courier New"/>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8B1B-A670-4E2E-A159-D5858DD2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3396</Words>
  <Characters>18662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RESOLUÇÃO CFC Nº</vt:lpstr>
    </vt:vector>
  </TitlesOfParts>
  <Company>CFC</Company>
  <LinksUpToDate>false</LinksUpToDate>
  <CharactersWithSpaces>22014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CFC Nº</dc:title>
  <dc:creator>kellen</dc:creator>
  <cp:lastModifiedBy>alexandre</cp:lastModifiedBy>
  <cp:revision>3</cp:revision>
  <dcterms:created xsi:type="dcterms:W3CDTF">2016-06-28T20:02:00Z</dcterms:created>
  <dcterms:modified xsi:type="dcterms:W3CDTF">2016-06-28T20:02:00Z</dcterms:modified>
</cp:coreProperties>
</file>