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7D" w:rsidRPr="00327951" w:rsidRDefault="00B30A7D" w:rsidP="00B30A7D">
      <w:pPr>
        <w:pStyle w:val="Recuodecorpodetexto2"/>
        <w:ind w:hanging="5103"/>
        <w:jc w:val="left"/>
      </w:pPr>
    </w:p>
    <w:p w:rsidR="00B30A7D" w:rsidRPr="00327951" w:rsidRDefault="00C21047" w:rsidP="00620E9B">
      <w:pPr>
        <w:tabs>
          <w:tab w:val="left" w:pos="2730"/>
        </w:tabs>
        <w:jc w:val="center"/>
        <w:outlineLvl w:val="0"/>
        <w:rPr>
          <w:b/>
        </w:rPr>
      </w:pPr>
      <w:r w:rsidRPr="00327951">
        <w:rPr>
          <w:b/>
        </w:rPr>
        <w:t xml:space="preserve">NBC TSP </w:t>
      </w:r>
      <w:r w:rsidR="00566431" w:rsidRPr="00327951">
        <w:rPr>
          <w:b/>
        </w:rPr>
        <w:t>5</w:t>
      </w:r>
      <w:r w:rsidR="00620E9B" w:rsidRPr="00327951">
        <w:rPr>
          <w:b/>
        </w:rPr>
        <w:t xml:space="preserve"> – </w:t>
      </w:r>
      <w:r w:rsidR="00566431" w:rsidRPr="00327951">
        <w:rPr>
          <w:b/>
        </w:rPr>
        <w:t>CONCESSÕES DE SERVIÇOS PÚBLICOS: CONCEDENTE</w:t>
      </w:r>
    </w:p>
    <w:p w:rsidR="00B30A7D" w:rsidRPr="00327951" w:rsidRDefault="00B30A7D" w:rsidP="00B30A7D">
      <w:pPr>
        <w:jc w:val="center"/>
        <w:rPr>
          <w:b/>
        </w:rPr>
      </w:pPr>
    </w:p>
    <w:p w:rsidR="00C21047" w:rsidRPr="00327951" w:rsidRDefault="00C21047" w:rsidP="00B30A7D">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134"/>
      </w:tblGrid>
      <w:tr w:rsidR="002D6A45" w:rsidRPr="00327951" w:rsidTr="001A7BBA">
        <w:trPr>
          <w:jc w:val="center"/>
        </w:trPr>
        <w:tc>
          <w:tcPr>
            <w:tcW w:w="8046" w:type="dxa"/>
            <w:shd w:val="clear" w:color="auto" w:fill="auto"/>
          </w:tcPr>
          <w:p w:rsidR="002D6A45" w:rsidRPr="00327951" w:rsidRDefault="002D6A45" w:rsidP="007B648E">
            <w:pPr>
              <w:jc w:val="center"/>
              <w:rPr>
                <w:b/>
              </w:rPr>
            </w:pPr>
            <w:r w:rsidRPr="00327951">
              <w:rPr>
                <w:b/>
              </w:rPr>
              <w:t>Sumário</w:t>
            </w:r>
          </w:p>
        </w:tc>
        <w:tc>
          <w:tcPr>
            <w:tcW w:w="1134" w:type="dxa"/>
            <w:shd w:val="clear" w:color="auto" w:fill="auto"/>
          </w:tcPr>
          <w:p w:rsidR="002D6A45" w:rsidRPr="00327951" w:rsidRDefault="002D6A45" w:rsidP="007B648E">
            <w:pPr>
              <w:jc w:val="center"/>
              <w:rPr>
                <w:b/>
              </w:rPr>
            </w:pPr>
            <w:r w:rsidRPr="00327951">
              <w:rPr>
                <w:b/>
              </w:rPr>
              <w:t>Item</w:t>
            </w:r>
          </w:p>
        </w:tc>
      </w:tr>
      <w:tr w:rsidR="002D6A45" w:rsidRPr="00327951" w:rsidTr="001A7BBA">
        <w:trPr>
          <w:jc w:val="center"/>
        </w:trPr>
        <w:tc>
          <w:tcPr>
            <w:tcW w:w="8046" w:type="dxa"/>
            <w:shd w:val="clear" w:color="auto" w:fill="auto"/>
          </w:tcPr>
          <w:p w:rsidR="002D6A45" w:rsidRPr="00327951" w:rsidRDefault="002D6A45" w:rsidP="007B648E">
            <w:pPr>
              <w:jc w:val="both"/>
              <w:rPr>
                <w:b/>
              </w:rPr>
            </w:pPr>
            <w:r w:rsidRPr="00327951">
              <w:rPr>
                <w:b/>
              </w:rPr>
              <w:t>Objetivo</w:t>
            </w:r>
          </w:p>
        </w:tc>
        <w:tc>
          <w:tcPr>
            <w:tcW w:w="1134" w:type="dxa"/>
            <w:shd w:val="clear" w:color="auto" w:fill="auto"/>
          </w:tcPr>
          <w:p w:rsidR="002D6A45" w:rsidRPr="00327951" w:rsidRDefault="00530853" w:rsidP="000E1E4D">
            <w:pPr>
              <w:jc w:val="right"/>
              <w:rPr>
                <w:b/>
              </w:rPr>
            </w:pPr>
            <w:proofErr w:type="gramStart"/>
            <w:r w:rsidRPr="00327951">
              <w:rPr>
                <w:b/>
              </w:rPr>
              <w:t>1</w:t>
            </w:r>
            <w:proofErr w:type="gramEnd"/>
          </w:p>
        </w:tc>
      </w:tr>
      <w:tr w:rsidR="002D6A45" w:rsidRPr="00327951" w:rsidTr="001A7BBA">
        <w:trPr>
          <w:jc w:val="center"/>
        </w:trPr>
        <w:tc>
          <w:tcPr>
            <w:tcW w:w="8046" w:type="dxa"/>
            <w:shd w:val="clear" w:color="auto" w:fill="auto"/>
          </w:tcPr>
          <w:p w:rsidR="002D6A45" w:rsidRPr="00327951" w:rsidRDefault="002D6A45" w:rsidP="007B648E">
            <w:pPr>
              <w:jc w:val="both"/>
              <w:rPr>
                <w:b/>
              </w:rPr>
            </w:pPr>
            <w:r w:rsidRPr="00327951">
              <w:rPr>
                <w:b/>
              </w:rPr>
              <w:t>Escopo</w:t>
            </w:r>
          </w:p>
        </w:tc>
        <w:tc>
          <w:tcPr>
            <w:tcW w:w="1134" w:type="dxa"/>
            <w:shd w:val="clear" w:color="auto" w:fill="auto"/>
          </w:tcPr>
          <w:p w:rsidR="002D6A45" w:rsidRPr="00327951" w:rsidRDefault="00530853" w:rsidP="000E1E4D">
            <w:pPr>
              <w:jc w:val="right"/>
              <w:rPr>
                <w:b/>
              </w:rPr>
            </w:pPr>
            <w:r w:rsidRPr="00327951">
              <w:rPr>
                <w:b/>
              </w:rPr>
              <w:t>2-7</w:t>
            </w:r>
          </w:p>
        </w:tc>
      </w:tr>
      <w:tr w:rsidR="002D6A45" w:rsidRPr="00327951" w:rsidTr="001A7BBA">
        <w:trPr>
          <w:jc w:val="center"/>
        </w:trPr>
        <w:tc>
          <w:tcPr>
            <w:tcW w:w="8046" w:type="dxa"/>
            <w:shd w:val="clear" w:color="auto" w:fill="auto"/>
          </w:tcPr>
          <w:p w:rsidR="002D6A45" w:rsidRPr="00327951" w:rsidRDefault="002D6A45" w:rsidP="007B648E">
            <w:pPr>
              <w:jc w:val="both"/>
              <w:rPr>
                <w:b/>
              </w:rPr>
            </w:pPr>
            <w:r w:rsidRPr="00327951">
              <w:rPr>
                <w:b/>
              </w:rPr>
              <w:t>Definições</w:t>
            </w:r>
          </w:p>
        </w:tc>
        <w:tc>
          <w:tcPr>
            <w:tcW w:w="1134" w:type="dxa"/>
            <w:shd w:val="clear" w:color="auto" w:fill="auto"/>
          </w:tcPr>
          <w:p w:rsidR="002D6A45" w:rsidRPr="00327951" w:rsidRDefault="00530853" w:rsidP="000E1E4D">
            <w:pPr>
              <w:jc w:val="right"/>
              <w:rPr>
                <w:b/>
              </w:rPr>
            </w:pPr>
            <w:proofErr w:type="gramStart"/>
            <w:r w:rsidRPr="00327951">
              <w:rPr>
                <w:b/>
              </w:rPr>
              <w:t>8</w:t>
            </w:r>
            <w:proofErr w:type="gramEnd"/>
          </w:p>
        </w:tc>
      </w:tr>
      <w:tr w:rsidR="002D6A45" w:rsidRPr="00327951" w:rsidTr="001A7BBA">
        <w:trPr>
          <w:jc w:val="center"/>
        </w:trPr>
        <w:tc>
          <w:tcPr>
            <w:tcW w:w="8046" w:type="dxa"/>
            <w:shd w:val="clear" w:color="auto" w:fill="auto"/>
          </w:tcPr>
          <w:p w:rsidR="002D6A45" w:rsidRPr="00327951" w:rsidRDefault="00530853" w:rsidP="007B648E">
            <w:pPr>
              <w:jc w:val="both"/>
              <w:rPr>
                <w:b/>
              </w:rPr>
            </w:pPr>
            <w:r w:rsidRPr="00327951">
              <w:rPr>
                <w:b/>
              </w:rPr>
              <w:t>Reconhecimento e Mensuração de um Ativo da Concessão de Serviço</w:t>
            </w:r>
          </w:p>
        </w:tc>
        <w:tc>
          <w:tcPr>
            <w:tcW w:w="1134" w:type="dxa"/>
            <w:shd w:val="clear" w:color="auto" w:fill="auto"/>
          </w:tcPr>
          <w:p w:rsidR="002D6A45" w:rsidRPr="00327951" w:rsidRDefault="00530853" w:rsidP="000E1E4D">
            <w:pPr>
              <w:jc w:val="right"/>
              <w:rPr>
                <w:b/>
              </w:rPr>
            </w:pPr>
            <w:r w:rsidRPr="00327951">
              <w:rPr>
                <w:b/>
              </w:rPr>
              <w:t>9-13</w:t>
            </w:r>
          </w:p>
        </w:tc>
      </w:tr>
      <w:tr w:rsidR="002D6A45" w:rsidRPr="00327951" w:rsidTr="001A7BBA">
        <w:trPr>
          <w:jc w:val="center"/>
        </w:trPr>
        <w:tc>
          <w:tcPr>
            <w:tcW w:w="8046" w:type="dxa"/>
            <w:shd w:val="clear" w:color="auto" w:fill="auto"/>
          </w:tcPr>
          <w:p w:rsidR="002D6A45" w:rsidRPr="00327951" w:rsidRDefault="00530853" w:rsidP="00530853">
            <w:pPr>
              <w:jc w:val="both"/>
              <w:rPr>
                <w:b/>
              </w:rPr>
            </w:pPr>
            <w:r w:rsidRPr="00327951">
              <w:rPr>
                <w:b/>
              </w:rPr>
              <w:t>Reconhecimento e Mensuração de Passivos</w:t>
            </w:r>
          </w:p>
        </w:tc>
        <w:tc>
          <w:tcPr>
            <w:tcW w:w="1134" w:type="dxa"/>
            <w:shd w:val="clear" w:color="auto" w:fill="auto"/>
          </w:tcPr>
          <w:p w:rsidR="002D6A45" w:rsidRPr="00327951" w:rsidRDefault="00530853" w:rsidP="000E1E4D">
            <w:pPr>
              <w:jc w:val="right"/>
              <w:rPr>
                <w:b/>
              </w:rPr>
            </w:pPr>
            <w:r w:rsidRPr="00327951">
              <w:rPr>
                <w:b/>
              </w:rPr>
              <w:t>14-28</w:t>
            </w:r>
          </w:p>
        </w:tc>
      </w:tr>
      <w:tr w:rsidR="002D6A45" w:rsidRPr="00327951" w:rsidTr="001A7BBA">
        <w:trPr>
          <w:jc w:val="center"/>
        </w:trPr>
        <w:tc>
          <w:tcPr>
            <w:tcW w:w="8046" w:type="dxa"/>
            <w:shd w:val="clear" w:color="auto" w:fill="auto"/>
          </w:tcPr>
          <w:p w:rsidR="002D6A45" w:rsidRPr="00327951" w:rsidRDefault="00530853" w:rsidP="00DF781E">
            <w:pPr>
              <w:ind w:left="708"/>
              <w:jc w:val="both"/>
              <w:rPr>
                <w:b/>
              </w:rPr>
            </w:pPr>
            <w:r w:rsidRPr="00327951">
              <w:rPr>
                <w:b/>
              </w:rPr>
              <w:t>Modelo de Financiamento de Passivos</w:t>
            </w:r>
          </w:p>
        </w:tc>
        <w:tc>
          <w:tcPr>
            <w:tcW w:w="1134" w:type="dxa"/>
            <w:shd w:val="clear" w:color="auto" w:fill="auto"/>
          </w:tcPr>
          <w:p w:rsidR="002D6A45" w:rsidRPr="00327951" w:rsidRDefault="00530853" w:rsidP="000E1E4D">
            <w:pPr>
              <w:jc w:val="right"/>
              <w:rPr>
                <w:b/>
              </w:rPr>
            </w:pPr>
            <w:r w:rsidRPr="00327951">
              <w:rPr>
                <w:b/>
              </w:rPr>
              <w:t>18-23</w:t>
            </w:r>
          </w:p>
        </w:tc>
      </w:tr>
      <w:tr w:rsidR="002D6A45" w:rsidRPr="00327951" w:rsidTr="001A7BBA">
        <w:trPr>
          <w:jc w:val="center"/>
        </w:trPr>
        <w:tc>
          <w:tcPr>
            <w:tcW w:w="8046" w:type="dxa"/>
            <w:shd w:val="clear" w:color="auto" w:fill="auto"/>
          </w:tcPr>
          <w:p w:rsidR="002D6A45" w:rsidRPr="00327951" w:rsidRDefault="00530853" w:rsidP="00DF781E">
            <w:pPr>
              <w:ind w:left="708"/>
              <w:jc w:val="both"/>
              <w:rPr>
                <w:b/>
              </w:rPr>
            </w:pPr>
            <w:r w:rsidRPr="00327951">
              <w:rPr>
                <w:b/>
              </w:rPr>
              <w:t>Modelo de Concessão de Direitos ao Concessionário</w:t>
            </w:r>
          </w:p>
        </w:tc>
        <w:tc>
          <w:tcPr>
            <w:tcW w:w="1134" w:type="dxa"/>
            <w:shd w:val="clear" w:color="auto" w:fill="auto"/>
          </w:tcPr>
          <w:p w:rsidR="002D6A45" w:rsidRPr="00327951" w:rsidRDefault="00530853" w:rsidP="000E1E4D">
            <w:pPr>
              <w:jc w:val="right"/>
              <w:rPr>
                <w:b/>
              </w:rPr>
            </w:pPr>
            <w:r w:rsidRPr="00327951">
              <w:rPr>
                <w:b/>
              </w:rPr>
              <w:t>24-26</w:t>
            </w:r>
          </w:p>
        </w:tc>
      </w:tr>
      <w:tr w:rsidR="002D6A45" w:rsidRPr="00327951" w:rsidTr="001A7BBA">
        <w:trPr>
          <w:jc w:val="center"/>
        </w:trPr>
        <w:tc>
          <w:tcPr>
            <w:tcW w:w="8046" w:type="dxa"/>
            <w:shd w:val="clear" w:color="auto" w:fill="auto"/>
          </w:tcPr>
          <w:p w:rsidR="002D6A45" w:rsidRPr="00327951" w:rsidRDefault="00530853" w:rsidP="00DF781E">
            <w:pPr>
              <w:ind w:left="708"/>
              <w:jc w:val="both"/>
              <w:rPr>
                <w:b/>
              </w:rPr>
            </w:pPr>
            <w:r w:rsidRPr="00327951">
              <w:rPr>
                <w:b/>
              </w:rPr>
              <w:t>Partes do Acordo</w:t>
            </w:r>
          </w:p>
        </w:tc>
        <w:tc>
          <w:tcPr>
            <w:tcW w:w="1134" w:type="dxa"/>
            <w:shd w:val="clear" w:color="auto" w:fill="auto"/>
          </w:tcPr>
          <w:p w:rsidR="002D6A45" w:rsidRPr="00327951" w:rsidRDefault="00530853" w:rsidP="000E1E4D">
            <w:pPr>
              <w:jc w:val="right"/>
              <w:rPr>
                <w:b/>
              </w:rPr>
            </w:pPr>
            <w:r w:rsidRPr="00327951">
              <w:rPr>
                <w:b/>
              </w:rPr>
              <w:t>27-28</w:t>
            </w:r>
          </w:p>
        </w:tc>
      </w:tr>
      <w:tr w:rsidR="002D6A45" w:rsidRPr="00327951" w:rsidTr="001A7BBA">
        <w:trPr>
          <w:jc w:val="center"/>
        </w:trPr>
        <w:tc>
          <w:tcPr>
            <w:tcW w:w="8046" w:type="dxa"/>
            <w:shd w:val="clear" w:color="auto" w:fill="auto"/>
          </w:tcPr>
          <w:p w:rsidR="002D6A45" w:rsidRPr="00327951" w:rsidRDefault="00530853" w:rsidP="007B648E">
            <w:pPr>
              <w:jc w:val="both"/>
              <w:rPr>
                <w:b/>
              </w:rPr>
            </w:pPr>
            <w:r w:rsidRPr="00327951">
              <w:rPr>
                <w:b/>
              </w:rPr>
              <w:t xml:space="preserve">Outros passivos, compromissos, passivos contingentes e ativos </w:t>
            </w:r>
            <w:proofErr w:type="gramStart"/>
            <w:r w:rsidRPr="00327951">
              <w:rPr>
                <w:b/>
              </w:rPr>
              <w:t>contingentes</w:t>
            </w:r>
            <w:proofErr w:type="gramEnd"/>
          </w:p>
        </w:tc>
        <w:tc>
          <w:tcPr>
            <w:tcW w:w="1134" w:type="dxa"/>
            <w:shd w:val="clear" w:color="auto" w:fill="auto"/>
          </w:tcPr>
          <w:p w:rsidR="002D6A45" w:rsidRPr="00327951" w:rsidRDefault="00530853" w:rsidP="000E1E4D">
            <w:pPr>
              <w:jc w:val="right"/>
              <w:rPr>
                <w:b/>
              </w:rPr>
            </w:pPr>
            <w:r w:rsidRPr="00327951">
              <w:rPr>
                <w:b/>
              </w:rPr>
              <w:t>29</w:t>
            </w:r>
          </w:p>
        </w:tc>
      </w:tr>
      <w:tr w:rsidR="00530853" w:rsidRPr="00327951" w:rsidTr="001A7BBA">
        <w:trPr>
          <w:jc w:val="center"/>
        </w:trPr>
        <w:tc>
          <w:tcPr>
            <w:tcW w:w="8046" w:type="dxa"/>
            <w:shd w:val="clear" w:color="auto" w:fill="auto"/>
          </w:tcPr>
          <w:p w:rsidR="00530853" w:rsidRPr="00327951" w:rsidRDefault="00530853" w:rsidP="001608F1">
            <w:pPr>
              <w:jc w:val="both"/>
              <w:rPr>
                <w:b/>
              </w:rPr>
            </w:pPr>
            <w:r w:rsidRPr="00327951">
              <w:rPr>
                <w:b/>
              </w:rPr>
              <w:t>Outras Receitas</w:t>
            </w:r>
          </w:p>
        </w:tc>
        <w:tc>
          <w:tcPr>
            <w:tcW w:w="1134" w:type="dxa"/>
            <w:shd w:val="clear" w:color="auto" w:fill="auto"/>
          </w:tcPr>
          <w:p w:rsidR="00530853" w:rsidRPr="00327951" w:rsidRDefault="00530853" w:rsidP="000E1E4D">
            <w:pPr>
              <w:jc w:val="right"/>
              <w:rPr>
                <w:b/>
              </w:rPr>
            </w:pPr>
            <w:r w:rsidRPr="00327951">
              <w:rPr>
                <w:b/>
              </w:rPr>
              <w:t>30</w:t>
            </w:r>
          </w:p>
        </w:tc>
      </w:tr>
      <w:tr w:rsidR="00530853" w:rsidRPr="00327951" w:rsidTr="001A7BBA">
        <w:trPr>
          <w:jc w:val="center"/>
        </w:trPr>
        <w:tc>
          <w:tcPr>
            <w:tcW w:w="8046" w:type="dxa"/>
            <w:shd w:val="clear" w:color="auto" w:fill="auto"/>
          </w:tcPr>
          <w:p w:rsidR="00530853" w:rsidRPr="00327951" w:rsidRDefault="00530853" w:rsidP="001608F1">
            <w:pPr>
              <w:jc w:val="both"/>
              <w:rPr>
                <w:b/>
              </w:rPr>
            </w:pPr>
            <w:r w:rsidRPr="00327951">
              <w:rPr>
                <w:b/>
              </w:rPr>
              <w:t>Apresentação e Divulgação</w:t>
            </w:r>
          </w:p>
        </w:tc>
        <w:tc>
          <w:tcPr>
            <w:tcW w:w="1134" w:type="dxa"/>
            <w:shd w:val="clear" w:color="auto" w:fill="auto"/>
          </w:tcPr>
          <w:p w:rsidR="00530853" w:rsidRPr="00327951" w:rsidRDefault="00530853" w:rsidP="000E1E4D">
            <w:pPr>
              <w:jc w:val="right"/>
              <w:rPr>
                <w:b/>
              </w:rPr>
            </w:pPr>
            <w:r w:rsidRPr="00327951">
              <w:rPr>
                <w:b/>
              </w:rPr>
              <w:t>31-33</w:t>
            </w:r>
          </w:p>
        </w:tc>
      </w:tr>
      <w:tr w:rsidR="00530853" w:rsidRPr="00327951" w:rsidTr="001A7BBA">
        <w:trPr>
          <w:jc w:val="center"/>
        </w:trPr>
        <w:tc>
          <w:tcPr>
            <w:tcW w:w="8046" w:type="dxa"/>
            <w:shd w:val="clear" w:color="auto" w:fill="auto"/>
          </w:tcPr>
          <w:p w:rsidR="00530853" w:rsidRPr="00327951" w:rsidRDefault="00530853" w:rsidP="001608F1">
            <w:pPr>
              <w:jc w:val="both"/>
              <w:rPr>
                <w:b/>
              </w:rPr>
            </w:pPr>
            <w:r w:rsidRPr="00327951">
              <w:rPr>
                <w:b/>
              </w:rPr>
              <w:t>Transição</w:t>
            </w:r>
          </w:p>
        </w:tc>
        <w:tc>
          <w:tcPr>
            <w:tcW w:w="1134" w:type="dxa"/>
            <w:shd w:val="clear" w:color="auto" w:fill="auto"/>
          </w:tcPr>
          <w:p w:rsidR="00530853" w:rsidRPr="00327951" w:rsidRDefault="00530853" w:rsidP="000E1E4D">
            <w:pPr>
              <w:jc w:val="right"/>
              <w:rPr>
                <w:b/>
              </w:rPr>
            </w:pPr>
            <w:r w:rsidRPr="00327951">
              <w:rPr>
                <w:b/>
              </w:rPr>
              <w:t>34-35</w:t>
            </w:r>
          </w:p>
        </w:tc>
      </w:tr>
      <w:tr w:rsidR="00530853" w:rsidRPr="00327951" w:rsidTr="001A7BBA">
        <w:trPr>
          <w:jc w:val="center"/>
        </w:trPr>
        <w:tc>
          <w:tcPr>
            <w:tcW w:w="8046" w:type="dxa"/>
            <w:shd w:val="clear" w:color="auto" w:fill="auto"/>
          </w:tcPr>
          <w:p w:rsidR="00530853" w:rsidRPr="00327951" w:rsidRDefault="00530853" w:rsidP="001608F1">
            <w:pPr>
              <w:jc w:val="both"/>
              <w:rPr>
                <w:b/>
              </w:rPr>
            </w:pPr>
            <w:r w:rsidRPr="00327951">
              <w:rPr>
                <w:b/>
              </w:rPr>
              <w:t>Data Efetiva</w:t>
            </w:r>
          </w:p>
        </w:tc>
        <w:tc>
          <w:tcPr>
            <w:tcW w:w="1134" w:type="dxa"/>
            <w:shd w:val="clear" w:color="auto" w:fill="auto"/>
          </w:tcPr>
          <w:p w:rsidR="00530853" w:rsidRPr="00327951" w:rsidRDefault="00530853" w:rsidP="000E1E4D">
            <w:pPr>
              <w:jc w:val="right"/>
              <w:rPr>
                <w:b/>
              </w:rPr>
            </w:pPr>
            <w:r w:rsidRPr="00327951">
              <w:rPr>
                <w:b/>
              </w:rPr>
              <w:t>36-37</w:t>
            </w:r>
          </w:p>
        </w:tc>
      </w:tr>
    </w:tbl>
    <w:p w:rsidR="002D6A45" w:rsidRPr="00327951" w:rsidRDefault="002D6A45" w:rsidP="00B30A7D">
      <w:pPr>
        <w:jc w:val="center"/>
        <w:rPr>
          <w:b/>
        </w:rPr>
      </w:pPr>
    </w:p>
    <w:p w:rsidR="002D6A45" w:rsidRPr="00327951" w:rsidRDefault="002D6A45" w:rsidP="00B30A7D">
      <w:pPr>
        <w:jc w:val="center"/>
        <w:rPr>
          <w:b/>
        </w:rPr>
      </w:pPr>
    </w:p>
    <w:p w:rsidR="002E3C01" w:rsidRPr="00327951" w:rsidRDefault="002E3C01" w:rsidP="00A3757B">
      <w:pPr>
        <w:jc w:val="both"/>
        <w:rPr>
          <w:b/>
        </w:rPr>
      </w:pPr>
    </w:p>
    <w:p w:rsidR="00A3757B" w:rsidRPr="00327951" w:rsidRDefault="002E3C01" w:rsidP="00B30A7D">
      <w:pPr>
        <w:rPr>
          <w:b/>
        </w:rPr>
      </w:pPr>
      <w:r w:rsidRPr="00327951">
        <w:br w:type="page"/>
      </w:r>
      <w:r w:rsidR="00620E9B" w:rsidRPr="00327951">
        <w:rPr>
          <w:b/>
        </w:rPr>
        <w:lastRenderedPageBreak/>
        <w:t>Objetivo</w:t>
      </w:r>
    </w:p>
    <w:p w:rsidR="00D8276C" w:rsidRPr="00327951" w:rsidRDefault="00D8276C" w:rsidP="00B30A7D">
      <w:pPr>
        <w:rPr>
          <w:b/>
        </w:rPr>
      </w:pPr>
    </w:p>
    <w:p w:rsidR="00566431" w:rsidRPr="00327951" w:rsidRDefault="00566431" w:rsidP="00566431">
      <w:pPr>
        <w:numPr>
          <w:ilvl w:val="0"/>
          <w:numId w:val="2"/>
        </w:numPr>
        <w:jc w:val="both"/>
      </w:pPr>
      <w:r w:rsidRPr="00327951">
        <w:t xml:space="preserve">O objetivo desta norma é determinar a forma de contabilização dos contratos de concessão pela ótica da concedente, uma entidade do setor público. </w:t>
      </w:r>
    </w:p>
    <w:p w:rsidR="00620E9B" w:rsidRPr="00327951" w:rsidRDefault="00620E9B" w:rsidP="00620E9B">
      <w:pPr>
        <w:ind w:left="502"/>
        <w:jc w:val="both"/>
      </w:pPr>
    </w:p>
    <w:p w:rsidR="00620E9B" w:rsidRPr="00327951" w:rsidRDefault="00620E9B" w:rsidP="00620E9B">
      <w:pPr>
        <w:rPr>
          <w:b/>
        </w:rPr>
      </w:pPr>
    </w:p>
    <w:p w:rsidR="00620E9B" w:rsidRPr="00327951" w:rsidRDefault="00620E9B" w:rsidP="00620E9B">
      <w:pPr>
        <w:rPr>
          <w:b/>
        </w:rPr>
      </w:pPr>
      <w:r w:rsidRPr="00327951">
        <w:rPr>
          <w:b/>
        </w:rPr>
        <w:t>Escopo</w:t>
      </w:r>
    </w:p>
    <w:p w:rsidR="007E0454" w:rsidRPr="00327951" w:rsidRDefault="007E0454" w:rsidP="003B6086">
      <w:pPr>
        <w:ind w:left="567"/>
        <w:jc w:val="both"/>
      </w:pPr>
    </w:p>
    <w:p w:rsidR="00566431" w:rsidRPr="00327951" w:rsidRDefault="00566431" w:rsidP="00566431">
      <w:pPr>
        <w:numPr>
          <w:ilvl w:val="0"/>
          <w:numId w:val="2"/>
        </w:numPr>
        <w:jc w:val="both"/>
      </w:pPr>
      <w:r w:rsidRPr="00327951">
        <w:rPr>
          <w:b/>
        </w:rPr>
        <w:t>Uma entidade que prepare e apresente suas demonstrações contábeis no regime de competência deve aplicar esta norma na contabilização dos contratos de concessão.</w:t>
      </w:r>
    </w:p>
    <w:p w:rsidR="004D4064" w:rsidRPr="00327951" w:rsidRDefault="00566431" w:rsidP="00566431">
      <w:pPr>
        <w:ind w:left="502"/>
        <w:jc w:val="both"/>
      </w:pPr>
      <w:r w:rsidRPr="00327951">
        <w:t xml:space="preserve"> </w:t>
      </w:r>
    </w:p>
    <w:p w:rsidR="00390848" w:rsidRPr="00327951" w:rsidRDefault="00390848" w:rsidP="002D6A45">
      <w:pPr>
        <w:numPr>
          <w:ilvl w:val="0"/>
          <w:numId w:val="2"/>
        </w:numPr>
        <w:jc w:val="both"/>
      </w:pPr>
      <w:r w:rsidRPr="00327951">
        <w:rPr>
          <w:b/>
        </w:rPr>
        <w:t>Esta Norma se aplica a todas as entidades do setor público, com exceção das empresas estatais não dependentes.</w:t>
      </w:r>
    </w:p>
    <w:p w:rsidR="00390848" w:rsidRPr="00327951" w:rsidRDefault="00390848" w:rsidP="00390848">
      <w:pPr>
        <w:ind w:left="502"/>
        <w:jc w:val="both"/>
      </w:pPr>
    </w:p>
    <w:p w:rsidR="009A4B1A" w:rsidRPr="00327951" w:rsidRDefault="00390848" w:rsidP="002D6A45">
      <w:pPr>
        <w:numPr>
          <w:ilvl w:val="0"/>
          <w:numId w:val="2"/>
        </w:numPr>
        <w:jc w:val="both"/>
      </w:pPr>
      <w:r w:rsidRPr="00327951">
        <w:t>(</w:t>
      </w:r>
      <w:r w:rsidRPr="00327951">
        <w:rPr>
          <w:i/>
        </w:rPr>
        <w:t>não convergido</w:t>
      </w:r>
      <w:r w:rsidRPr="00327951">
        <w:t>).</w:t>
      </w:r>
    </w:p>
    <w:p w:rsidR="00390848" w:rsidRPr="00327951" w:rsidRDefault="00390848" w:rsidP="00390848">
      <w:pPr>
        <w:ind w:left="502"/>
        <w:jc w:val="both"/>
      </w:pPr>
    </w:p>
    <w:p w:rsidR="00390848" w:rsidRPr="00327951" w:rsidRDefault="00566431" w:rsidP="00566431">
      <w:pPr>
        <w:numPr>
          <w:ilvl w:val="0"/>
          <w:numId w:val="2"/>
        </w:numPr>
        <w:jc w:val="both"/>
      </w:pPr>
      <w:r w:rsidRPr="00327951">
        <w:t>No escopo desta Norma, as concessões envolvem a prestação de serviços relacionados aos ativos das concessões por parte de um concessionário em nome da concedente.</w:t>
      </w:r>
    </w:p>
    <w:p w:rsidR="00390848" w:rsidRPr="00327951" w:rsidRDefault="00390848" w:rsidP="00390848">
      <w:pPr>
        <w:ind w:left="502"/>
        <w:jc w:val="both"/>
      </w:pPr>
    </w:p>
    <w:p w:rsidR="00390848" w:rsidRPr="00327951" w:rsidRDefault="00566431" w:rsidP="00566431">
      <w:pPr>
        <w:numPr>
          <w:ilvl w:val="0"/>
          <w:numId w:val="2"/>
        </w:numPr>
        <w:jc w:val="both"/>
      </w:pPr>
      <w:r w:rsidRPr="00327951">
        <w:t xml:space="preserve">Concessões fora do escopo desta Norma são aquelas que não envolvem a prestação de serviços públicos e acordos que envolvam tanto a gestão quanto a prestação de serviços nos casos em que o ativo não é controlado </w:t>
      </w:r>
      <w:proofErr w:type="gramStart"/>
      <w:r w:rsidRPr="00327951">
        <w:t>pelo concedente</w:t>
      </w:r>
      <w:proofErr w:type="gramEnd"/>
      <w:r w:rsidRPr="00327951">
        <w:t xml:space="preserve"> (ex. terceirização, contratos de serviço, ou privatização).</w:t>
      </w:r>
    </w:p>
    <w:p w:rsidR="00390848" w:rsidRPr="00327951" w:rsidRDefault="00390848" w:rsidP="00390848">
      <w:pPr>
        <w:ind w:left="502"/>
        <w:jc w:val="both"/>
      </w:pPr>
    </w:p>
    <w:p w:rsidR="00390848" w:rsidRPr="00327951" w:rsidRDefault="00566431" w:rsidP="00566431">
      <w:pPr>
        <w:numPr>
          <w:ilvl w:val="0"/>
          <w:numId w:val="2"/>
        </w:numPr>
        <w:jc w:val="both"/>
      </w:pPr>
      <w:r w:rsidRPr="00327951">
        <w:t>Esta Norma não apresenta a contabilização pela ótica dos concessionários, mas apenas pelo da concedente</w:t>
      </w:r>
      <w:r w:rsidR="00390848" w:rsidRPr="00327951">
        <w:t>.</w:t>
      </w:r>
    </w:p>
    <w:p w:rsidR="00390848" w:rsidRPr="00327951" w:rsidRDefault="00390848" w:rsidP="00390848">
      <w:pPr>
        <w:ind w:left="502"/>
        <w:jc w:val="both"/>
      </w:pPr>
    </w:p>
    <w:p w:rsidR="00566431" w:rsidRPr="00327951" w:rsidRDefault="00566431" w:rsidP="00566431">
      <w:pPr>
        <w:jc w:val="both"/>
      </w:pPr>
    </w:p>
    <w:p w:rsidR="00566431" w:rsidRPr="00327951" w:rsidRDefault="00566431" w:rsidP="00566431">
      <w:pPr>
        <w:jc w:val="both"/>
        <w:rPr>
          <w:b/>
        </w:rPr>
      </w:pPr>
      <w:r w:rsidRPr="00327951">
        <w:rPr>
          <w:b/>
        </w:rPr>
        <w:t>Definições</w:t>
      </w:r>
    </w:p>
    <w:p w:rsidR="00566431" w:rsidRPr="00327951" w:rsidRDefault="00566431" w:rsidP="00390848">
      <w:pPr>
        <w:ind w:left="502"/>
        <w:jc w:val="both"/>
      </w:pPr>
    </w:p>
    <w:p w:rsidR="00390848" w:rsidRPr="00327951" w:rsidRDefault="00566431" w:rsidP="00566431">
      <w:pPr>
        <w:numPr>
          <w:ilvl w:val="0"/>
          <w:numId w:val="2"/>
        </w:numPr>
        <w:jc w:val="both"/>
        <w:rPr>
          <w:b/>
        </w:rPr>
      </w:pPr>
      <w:r w:rsidRPr="00327951">
        <w:rPr>
          <w:b/>
        </w:rPr>
        <w:t>Os seguintes termos são usados nesta Norma com os significados abaixo:</w:t>
      </w:r>
    </w:p>
    <w:p w:rsidR="00390848" w:rsidRPr="00327951" w:rsidRDefault="00390848" w:rsidP="00390848">
      <w:pPr>
        <w:ind w:left="502"/>
        <w:jc w:val="both"/>
      </w:pPr>
    </w:p>
    <w:p w:rsidR="00566431" w:rsidRPr="00327951" w:rsidRDefault="00566431" w:rsidP="00566431">
      <w:pPr>
        <w:ind w:left="502"/>
        <w:jc w:val="both"/>
        <w:rPr>
          <w:b/>
        </w:rPr>
      </w:pPr>
      <w:r w:rsidRPr="00327951">
        <w:rPr>
          <w:b/>
        </w:rPr>
        <w:t xml:space="preserve">Um </w:t>
      </w:r>
      <w:r w:rsidRPr="00327951">
        <w:rPr>
          <w:b/>
          <w:u w:val="single"/>
        </w:rPr>
        <w:t>acordo vinculante</w:t>
      </w:r>
      <w:r w:rsidRPr="00327951">
        <w:rPr>
          <w:b/>
        </w:rPr>
        <w:t xml:space="preserve">, nos termos desta Norma, corresponde a um contrato e outros acordos que conferem às </w:t>
      </w:r>
      <w:proofErr w:type="gramStart"/>
      <w:r w:rsidRPr="00327951">
        <w:rPr>
          <w:b/>
        </w:rPr>
        <w:t>partes direitos</w:t>
      </w:r>
      <w:proofErr w:type="gramEnd"/>
      <w:r w:rsidRPr="00327951">
        <w:rPr>
          <w:b/>
        </w:rPr>
        <w:t xml:space="preserve"> e obrigações tal como se tivessem sido formalizados na forma de um contrato.</w:t>
      </w:r>
    </w:p>
    <w:p w:rsidR="00566431" w:rsidRPr="00327951" w:rsidRDefault="00566431" w:rsidP="00566431">
      <w:pPr>
        <w:ind w:left="502"/>
        <w:jc w:val="both"/>
        <w:rPr>
          <w:b/>
        </w:rPr>
      </w:pPr>
    </w:p>
    <w:p w:rsidR="00566431" w:rsidRPr="00327951" w:rsidRDefault="00566431" w:rsidP="00566431">
      <w:pPr>
        <w:ind w:left="502"/>
        <w:jc w:val="both"/>
        <w:rPr>
          <w:b/>
        </w:rPr>
      </w:pPr>
      <w:r w:rsidRPr="00327951">
        <w:rPr>
          <w:b/>
        </w:rPr>
        <w:t xml:space="preserve">A entidade </w:t>
      </w:r>
      <w:r w:rsidRPr="00327951">
        <w:rPr>
          <w:b/>
          <w:u w:val="single"/>
        </w:rPr>
        <w:t>concedente</w:t>
      </w:r>
      <w:r w:rsidRPr="00327951">
        <w:rPr>
          <w:b/>
        </w:rPr>
        <w:t>, nos termos desta Norma, é a entidade que confere ao concessionário o direito de exploração dos serviços providos pelo ativo da concessão.</w:t>
      </w:r>
    </w:p>
    <w:p w:rsidR="00566431" w:rsidRPr="00327951" w:rsidRDefault="00566431" w:rsidP="00566431">
      <w:pPr>
        <w:ind w:left="502"/>
        <w:jc w:val="both"/>
        <w:rPr>
          <w:b/>
        </w:rPr>
      </w:pPr>
    </w:p>
    <w:p w:rsidR="00566431" w:rsidRPr="00327951" w:rsidRDefault="00566431" w:rsidP="00566431">
      <w:pPr>
        <w:ind w:left="502"/>
        <w:jc w:val="both"/>
        <w:rPr>
          <w:b/>
        </w:rPr>
      </w:pPr>
      <w:r w:rsidRPr="00327951">
        <w:rPr>
          <w:b/>
        </w:rPr>
        <w:t xml:space="preserve">O </w:t>
      </w:r>
      <w:r w:rsidRPr="00327951">
        <w:rPr>
          <w:b/>
          <w:u w:val="single"/>
        </w:rPr>
        <w:t>concessionário</w:t>
      </w:r>
      <w:r w:rsidRPr="00327951">
        <w:rPr>
          <w:b/>
        </w:rPr>
        <w:t>, nos termos desta Norma, corresponde ao ente que usa o ativo da concessão, sujeito ao controle da concedente, para fornecer serviços públicos.</w:t>
      </w:r>
    </w:p>
    <w:p w:rsidR="00566431" w:rsidRPr="00327951" w:rsidRDefault="00566431" w:rsidP="00566431">
      <w:pPr>
        <w:ind w:left="502"/>
        <w:jc w:val="both"/>
        <w:rPr>
          <w:b/>
        </w:rPr>
      </w:pPr>
    </w:p>
    <w:p w:rsidR="000A7D72" w:rsidRPr="00327951" w:rsidRDefault="00566431" w:rsidP="00566431">
      <w:pPr>
        <w:ind w:left="502"/>
        <w:jc w:val="both"/>
        <w:rPr>
          <w:b/>
        </w:rPr>
      </w:pPr>
      <w:r w:rsidRPr="00327951">
        <w:rPr>
          <w:b/>
        </w:rPr>
        <w:t xml:space="preserve">Um </w:t>
      </w:r>
      <w:r w:rsidRPr="00327951">
        <w:rPr>
          <w:b/>
          <w:u w:val="single"/>
        </w:rPr>
        <w:t>acordo de concessão de serviços</w:t>
      </w:r>
      <w:r w:rsidRPr="00327951">
        <w:rPr>
          <w:b/>
        </w:rPr>
        <w:t xml:space="preserve"> corresponde a um acordo vinculante entre uma entidade concedente e um concessionário em que:</w:t>
      </w:r>
    </w:p>
    <w:p w:rsidR="00566431" w:rsidRPr="00327951" w:rsidRDefault="00566431" w:rsidP="000A7D72">
      <w:pPr>
        <w:ind w:left="502"/>
        <w:jc w:val="both"/>
      </w:pPr>
    </w:p>
    <w:p w:rsidR="00566431" w:rsidRPr="00327951" w:rsidRDefault="00566431" w:rsidP="00566431">
      <w:pPr>
        <w:numPr>
          <w:ilvl w:val="0"/>
          <w:numId w:val="7"/>
        </w:numPr>
        <w:jc w:val="both"/>
        <w:rPr>
          <w:b/>
        </w:rPr>
      </w:pPr>
      <w:r w:rsidRPr="00327951">
        <w:rPr>
          <w:b/>
        </w:rPr>
        <w:t xml:space="preserve">O concessionário usa o ativo da concessão, por um prazo determinado, para prover serviços públicos em nome da concedente; </w:t>
      </w:r>
      <w:proofErr w:type="gramStart"/>
      <w:r w:rsidRPr="00327951">
        <w:rPr>
          <w:b/>
        </w:rPr>
        <w:t>e</w:t>
      </w:r>
      <w:proofErr w:type="gramEnd"/>
    </w:p>
    <w:p w:rsidR="00566431" w:rsidRPr="00327951" w:rsidRDefault="00566431" w:rsidP="00566431">
      <w:pPr>
        <w:ind w:left="1211"/>
        <w:jc w:val="both"/>
        <w:rPr>
          <w:b/>
        </w:rPr>
      </w:pPr>
    </w:p>
    <w:p w:rsidR="00566431" w:rsidRPr="00327951" w:rsidRDefault="00566431" w:rsidP="00566431">
      <w:pPr>
        <w:numPr>
          <w:ilvl w:val="0"/>
          <w:numId w:val="7"/>
        </w:numPr>
        <w:jc w:val="both"/>
        <w:rPr>
          <w:b/>
        </w:rPr>
      </w:pPr>
      <w:r w:rsidRPr="00327951">
        <w:rPr>
          <w:b/>
        </w:rPr>
        <w:t>O concessionário é compensado por seus serviços durante o período da concessão.</w:t>
      </w:r>
    </w:p>
    <w:p w:rsidR="00566431" w:rsidRPr="00327951" w:rsidRDefault="00566431" w:rsidP="00566431">
      <w:pPr>
        <w:ind w:left="851"/>
        <w:jc w:val="both"/>
        <w:rPr>
          <w:b/>
        </w:rPr>
      </w:pPr>
    </w:p>
    <w:p w:rsidR="00566431" w:rsidRPr="00327951" w:rsidRDefault="00566431" w:rsidP="00566431">
      <w:pPr>
        <w:ind w:left="851"/>
        <w:jc w:val="both"/>
        <w:rPr>
          <w:b/>
        </w:rPr>
      </w:pPr>
    </w:p>
    <w:p w:rsidR="00566431" w:rsidRPr="00327951" w:rsidRDefault="00566431" w:rsidP="00566431">
      <w:pPr>
        <w:ind w:left="567"/>
        <w:jc w:val="both"/>
        <w:rPr>
          <w:b/>
        </w:rPr>
      </w:pPr>
      <w:r w:rsidRPr="00327951">
        <w:rPr>
          <w:b/>
        </w:rPr>
        <w:lastRenderedPageBreak/>
        <w:t xml:space="preserve">Um </w:t>
      </w:r>
      <w:r w:rsidRPr="00327951">
        <w:rPr>
          <w:b/>
          <w:u w:val="single"/>
        </w:rPr>
        <w:t>ativo da concessão de serviços</w:t>
      </w:r>
      <w:r w:rsidRPr="00327951">
        <w:rPr>
          <w:b/>
        </w:rPr>
        <w:t xml:space="preserve"> é um ativo usado para prover serviços públicos em um acordo de concessão de serviços que:</w:t>
      </w:r>
    </w:p>
    <w:p w:rsidR="00566431" w:rsidRPr="00327951" w:rsidRDefault="00566431" w:rsidP="00566431">
      <w:pPr>
        <w:ind w:left="851"/>
        <w:jc w:val="both"/>
        <w:rPr>
          <w:b/>
        </w:rPr>
      </w:pPr>
    </w:p>
    <w:p w:rsidR="00566431" w:rsidRPr="00327951" w:rsidRDefault="00566431" w:rsidP="00566431">
      <w:pPr>
        <w:numPr>
          <w:ilvl w:val="0"/>
          <w:numId w:val="15"/>
        </w:numPr>
        <w:jc w:val="both"/>
        <w:rPr>
          <w:b/>
        </w:rPr>
      </w:pPr>
      <w:r w:rsidRPr="00327951">
        <w:rPr>
          <w:b/>
        </w:rPr>
        <w:t xml:space="preserve">É fornecido pelo concessionário, </w:t>
      </w:r>
      <w:r w:rsidR="007A466F" w:rsidRPr="00327951">
        <w:rPr>
          <w:b/>
        </w:rPr>
        <w:t xml:space="preserve">sendo </w:t>
      </w:r>
      <w:r w:rsidRPr="00327951">
        <w:rPr>
          <w:b/>
        </w:rPr>
        <w:t>que:</w:t>
      </w:r>
    </w:p>
    <w:p w:rsidR="00566431" w:rsidRPr="00327951" w:rsidRDefault="00566431" w:rsidP="00566431">
      <w:pPr>
        <w:ind w:left="1211"/>
        <w:jc w:val="both"/>
        <w:rPr>
          <w:b/>
        </w:rPr>
      </w:pPr>
    </w:p>
    <w:p w:rsidR="00566431" w:rsidRPr="00327951" w:rsidRDefault="00566431" w:rsidP="00566431">
      <w:pPr>
        <w:numPr>
          <w:ilvl w:val="1"/>
          <w:numId w:val="15"/>
        </w:numPr>
        <w:jc w:val="both"/>
        <w:rPr>
          <w:b/>
        </w:rPr>
      </w:pPr>
      <w:r w:rsidRPr="00327951">
        <w:rPr>
          <w:b/>
        </w:rPr>
        <w:t xml:space="preserve">Constrói, desenvolve ou adquire o ativo de um terceiro; </w:t>
      </w:r>
      <w:proofErr w:type="gramStart"/>
      <w:r w:rsidRPr="00327951">
        <w:rPr>
          <w:b/>
        </w:rPr>
        <w:t>ou</w:t>
      </w:r>
      <w:proofErr w:type="gramEnd"/>
    </w:p>
    <w:p w:rsidR="00566431" w:rsidRPr="00327951" w:rsidRDefault="00566431" w:rsidP="00566431">
      <w:pPr>
        <w:ind w:left="1931"/>
        <w:jc w:val="both"/>
        <w:rPr>
          <w:b/>
        </w:rPr>
      </w:pPr>
    </w:p>
    <w:p w:rsidR="00566431" w:rsidRPr="00327951" w:rsidRDefault="00566431" w:rsidP="00566431">
      <w:pPr>
        <w:numPr>
          <w:ilvl w:val="1"/>
          <w:numId w:val="15"/>
        </w:numPr>
        <w:jc w:val="both"/>
        <w:rPr>
          <w:b/>
        </w:rPr>
      </w:pPr>
      <w:r w:rsidRPr="00327951">
        <w:rPr>
          <w:b/>
        </w:rPr>
        <w:t>É um ativo do concessionário já previamente existente.</w:t>
      </w:r>
    </w:p>
    <w:p w:rsidR="00566431" w:rsidRPr="00327951" w:rsidRDefault="00566431" w:rsidP="00566431">
      <w:pPr>
        <w:ind w:left="1211"/>
        <w:jc w:val="both"/>
        <w:rPr>
          <w:b/>
        </w:rPr>
      </w:pPr>
    </w:p>
    <w:p w:rsidR="00566431" w:rsidRPr="00327951" w:rsidRDefault="00566431" w:rsidP="00566431">
      <w:pPr>
        <w:numPr>
          <w:ilvl w:val="0"/>
          <w:numId w:val="15"/>
        </w:numPr>
        <w:jc w:val="both"/>
        <w:rPr>
          <w:b/>
        </w:rPr>
      </w:pPr>
      <w:r w:rsidRPr="00327951">
        <w:rPr>
          <w:b/>
        </w:rPr>
        <w:t xml:space="preserve">É fornecido pela concedente, </w:t>
      </w:r>
      <w:r w:rsidR="007A466F" w:rsidRPr="00327951">
        <w:rPr>
          <w:b/>
        </w:rPr>
        <w:t xml:space="preserve">sendo </w:t>
      </w:r>
      <w:r w:rsidRPr="00327951">
        <w:rPr>
          <w:b/>
        </w:rPr>
        <w:t>que:</w:t>
      </w:r>
    </w:p>
    <w:p w:rsidR="00566431" w:rsidRPr="00327951" w:rsidRDefault="00566431" w:rsidP="00566431">
      <w:pPr>
        <w:ind w:left="1211"/>
        <w:jc w:val="both"/>
        <w:rPr>
          <w:b/>
        </w:rPr>
      </w:pPr>
    </w:p>
    <w:p w:rsidR="00566431" w:rsidRPr="00327951" w:rsidRDefault="00566431" w:rsidP="00566431">
      <w:pPr>
        <w:numPr>
          <w:ilvl w:val="1"/>
          <w:numId w:val="15"/>
        </w:numPr>
        <w:jc w:val="both"/>
        <w:rPr>
          <w:b/>
        </w:rPr>
      </w:pPr>
      <w:r w:rsidRPr="00327951">
        <w:rPr>
          <w:b/>
        </w:rPr>
        <w:t xml:space="preserve">É um ativo </w:t>
      </w:r>
      <w:proofErr w:type="gramStart"/>
      <w:r w:rsidRPr="00327951">
        <w:rPr>
          <w:b/>
        </w:rPr>
        <w:t>do concedente</w:t>
      </w:r>
      <w:proofErr w:type="gramEnd"/>
      <w:r w:rsidRPr="00327951">
        <w:rPr>
          <w:b/>
        </w:rPr>
        <w:t xml:space="preserve"> já previamente existente; ou</w:t>
      </w:r>
    </w:p>
    <w:p w:rsidR="00566431" w:rsidRPr="00327951" w:rsidRDefault="00566431" w:rsidP="00566431">
      <w:pPr>
        <w:ind w:left="1931"/>
        <w:jc w:val="both"/>
        <w:rPr>
          <w:b/>
        </w:rPr>
      </w:pPr>
    </w:p>
    <w:p w:rsidR="00566431" w:rsidRPr="00327951" w:rsidRDefault="007A466F" w:rsidP="00566431">
      <w:pPr>
        <w:numPr>
          <w:ilvl w:val="1"/>
          <w:numId w:val="15"/>
        </w:numPr>
        <w:jc w:val="both"/>
        <w:rPr>
          <w:b/>
        </w:rPr>
      </w:pPr>
      <w:r w:rsidRPr="00327951">
        <w:rPr>
          <w:b/>
        </w:rPr>
        <w:t>Corresponde a</w:t>
      </w:r>
      <w:r w:rsidR="00566431" w:rsidRPr="00327951">
        <w:rPr>
          <w:b/>
        </w:rPr>
        <w:t xml:space="preserve"> uma melhoria em um ativo </w:t>
      </w:r>
      <w:proofErr w:type="gramStart"/>
      <w:r w:rsidR="00566431" w:rsidRPr="00327951">
        <w:rPr>
          <w:b/>
        </w:rPr>
        <w:t>do concedente</w:t>
      </w:r>
      <w:proofErr w:type="gramEnd"/>
      <w:r w:rsidR="00566431" w:rsidRPr="00327951">
        <w:rPr>
          <w:b/>
        </w:rPr>
        <w:t xml:space="preserve"> já previamente existente.</w:t>
      </w:r>
    </w:p>
    <w:p w:rsidR="000A7D72" w:rsidRPr="00327951" w:rsidRDefault="000A7D72" w:rsidP="000A7D72">
      <w:pPr>
        <w:ind w:left="502"/>
        <w:jc w:val="both"/>
        <w:rPr>
          <w:b/>
        </w:rPr>
      </w:pPr>
    </w:p>
    <w:p w:rsidR="000A7D72" w:rsidRPr="00327951" w:rsidRDefault="000A7D72" w:rsidP="000A7D72">
      <w:pPr>
        <w:jc w:val="both"/>
      </w:pPr>
    </w:p>
    <w:p w:rsidR="000A7D72" w:rsidRPr="00327951" w:rsidRDefault="00566431" w:rsidP="000A7D72">
      <w:pPr>
        <w:jc w:val="both"/>
        <w:rPr>
          <w:b/>
        </w:rPr>
      </w:pPr>
      <w:r w:rsidRPr="00327951">
        <w:rPr>
          <w:b/>
        </w:rPr>
        <w:t>Reconhecimento e Mensuração de um Ativo da Concessão de Serviço</w:t>
      </w:r>
    </w:p>
    <w:p w:rsidR="000A7D72" w:rsidRPr="00327951" w:rsidRDefault="000A7D72" w:rsidP="000A7D72">
      <w:pPr>
        <w:jc w:val="both"/>
      </w:pPr>
    </w:p>
    <w:p w:rsidR="000A7D72" w:rsidRPr="00327951" w:rsidRDefault="00566431" w:rsidP="00566431">
      <w:pPr>
        <w:numPr>
          <w:ilvl w:val="0"/>
          <w:numId w:val="2"/>
        </w:numPr>
        <w:jc w:val="both"/>
        <w:rPr>
          <w:b/>
        </w:rPr>
      </w:pPr>
      <w:r w:rsidRPr="00327951">
        <w:rPr>
          <w:b/>
        </w:rPr>
        <w:t xml:space="preserve">A </w:t>
      </w:r>
      <w:r w:rsidR="007A466F" w:rsidRPr="00327951">
        <w:rPr>
          <w:b/>
        </w:rPr>
        <w:t xml:space="preserve">entidade </w:t>
      </w:r>
      <w:r w:rsidRPr="00327951">
        <w:rPr>
          <w:b/>
        </w:rPr>
        <w:t>concedente deve reconhecer uma melh</w:t>
      </w:r>
      <w:r w:rsidR="007A466F" w:rsidRPr="00327951">
        <w:rPr>
          <w:b/>
        </w:rPr>
        <w:t xml:space="preserve">oria em um de seus ativos preexistentes e/ou um ativo fornecido pelo concessionário </w:t>
      </w:r>
      <w:r w:rsidRPr="00327951">
        <w:rPr>
          <w:b/>
        </w:rPr>
        <w:t>como um ativo da concessão de serviço se:</w:t>
      </w:r>
    </w:p>
    <w:p w:rsidR="00566431" w:rsidRPr="00327951" w:rsidRDefault="00566431" w:rsidP="00566431">
      <w:pPr>
        <w:ind w:left="502"/>
        <w:jc w:val="both"/>
      </w:pPr>
    </w:p>
    <w:p w:rsidR="00566431" w:rsidRPr="00327951" w:rsidRDefault="00566431" w:rsidP="00566431">
      <w:pPr>
        <w:numPr>
          <w:ilvl w:val="0"/>
          <w:numId w:val="16"/>
        </w:numPr>
        <w:jc w:val="both"/>
        <w:rPr>
          <w:b/>
        </w:rPr>
      </w:pPr>
      <w:r w:rsidRPr="00327951">
        <w:rPr>
          <w:b/>
        </w:rPr>
        <w:t xml:space="preserve">A concedente controla ou regula os serviços que o concessionário deve fornecer com o ativo, a quem ele deve entregar os serviços e por qual preço; </w:t>
      </w:r>
      <w:proofErr w:type="gramStart"/>
      <w:r w:rsidRPr="00327951">
        <w:rPr>
          <w:b/>
        </w:rPr>
        <w:t>e</w:t>
      </w:r>
      <w:proofErr w:type="gramEnd"/>
    </w:p>
    <w:p w:rsidR="00566431" w:rsidRPr="00327951" w:rsidRDefault="00566431" w:rsidP="00566431">
      <w:pPr>
        <w:ind w:left="1211"/>
        <w:jc w:val="both"/>
        <w:rPr>
          <w:b/>
        </w:rPr>
      </w:pPr>
    </w:p>
    <w:p w:rsidR="00566431" w:rsidRPr="00327951" w:rsidRDefault="00566431" w:rsidP="00566431">
      <w:pPr>
        <w:numPr>
          <w:ilvl w:val="0"/>
          <w:numId w:val="16"/>
        </w:numPr>
        <w:jc w:val="both"/>
        <w:rPr>
          <w:b/>
        </w:rPr>
      </w:pPr>
      <w:r w:rsidRPr="00327951">
        <w:rPr>
          <w:b/>
        </w:rPr>
        <w:t>A concedente controla - por meio da propriedade, usufruto ou de alguma outra forma - qualquer participação residual significativa no ativo ao final do prazo da concessão.</w:t>
      </w:r>
    </w:p>
    <w:p w:rsidR="00566431" w:rsidRPr="00327951" w:rsidRDefault="00566431" w:rsidP="00566431">
      <w:pPr>
        <w:ind w:left="851"/>
        <w:jc w:val="both"/>
        <w:rPr>
          <w:b/>
        </w:rPr>
      </w:pPr>
    </w:p>
    <w:p w:rsidR="00566431" w:rsidRPr="00327951" w:rsidRDefault="00566431" w:rsidP="00566431">
      <w:pPr>
        <w:numPr>
          <w:ilvl w:val="0"/>
          <w:numId w:val="2"/>
        </w:numPr>
        <w:jc w:val="both"/>
        <w:rPr>
          <w:b/>
        </w:rPr>
      </w:pPr>
      <w:r w:rsidRPr="00327951">
        <w:rPr>
          <w:b/>
        </w:rPr>
        <w:t>Esta Norma se aplica a um ativo usado em um acordo de concessão de serviços por toda a sua vida útil se as condições do parágrafo 9 forem satisfeitas.</w:t>
      </w:r>
    </w:p>
    <w:p w:rsidR="000A7D72" w:rsidRPr="00327951" w:rsidRDefault="000A7D72" w:rsidP="000A7D72">
      <w:pPr>
        <w:ind w:left="502"/>
        <w:jc w:val="both"/>
      </w:pPr>
    </w:p>
    <w:p w:rsidR="000A7D72" w:rsidRPr="00327951" w:rsidRDefault="00566431" w:rsidP="00566431">
      <w:pPr>
        <w:numPr>
          <w:ilvl w:val="0"/>
          <w:numId w:val="2"/>
        </w:numPr>
        <w:jc w:val="both"/>
        <w:rPr>
          <w:b/>
        </w:rPr>
      </w:pPr>
      <w:r w:rsidRPr="00327951">
        <w:rPr>
          <w:b/>
        </w:rPr>
        <w:t xml:space="preserve">Os ativos da concessão de serviços reconhecidos conforme o parágrafo 9 devem inicialmente ser </w:t>
      </w:r>
      <w:proofErr w:type="gramStart"/>
      <w:r w:rsidRPr="00327951">
        <w:rPr>
          <w:b/>
        </w:rPr>
        <w:t>mensurados</w:t>
      </w:r>
      <w:proofErr w:type="gramEnd"/>
      <w:r w:rsidRPr="00327951">
        <w:rPr>
          <w:b/>
        </w:rPr>
        <w:t xml:space="preserve"> pela concedente por meio do valor justo, exceto quando se enquadrarem nas condições do parágrafo 12</w:t>
      </w:r>
      <w:r w:rsidR="000A7D72" w:rsidRPr="00327951">
        <w:rPr>
          <w:b/>
        </w:rPr>
        <w:t>.</w:t>
      </w:r>
    </w:p>
    <w:p w:rsidR="00566431" w:rsidRPr="00327951" w:rsidRDefault="00566431" w:rsidP="00566431">
      <w:pPr>
        <w:ind w:left="502"/>
        <w:jc w:val="both"/>
        <w:rPr>
          <w:b/>
        </w:rPr>
      </w:pPr>
    </w:p>
    <w:p w:rsidR="00566431" w:rsidRPr="00327951" w:rsidRDefault="00566431" w:rsidP="00566431">
      <w:pPr>
        <w:numPr>
          <w:ilvl w:val="0"/>
          <w:numId w:val="2"/>
        </w:numPr>
        <w:jc w:val="both"/>
        <w:rPr>
          <w:b/>
        </w:rPr>
      </w:pPr>
      <w:r w:rsidRPr="00327951">
        <w:rPr>
          <w:b/>
        </w:rPr>
        <w:t xml:space="preserve">Sempre que um ativo preexistente </w:t>
      </w:r>
      <w:proofErr w:type="gramStart"/>
      <w:r w:rsidRPr="00327951">
        <w:rPr>
          <w:b/>
        </w:rPr>
        <w:t>do concedente</w:t>
      </w:r>
      <w:proofErr w:type="gramEnd"/>
      <w:r w:rsidRPr="00327951">
        <w:rPr>
          <w:b/>
        </w:rPr>
        <w:t xml:space="preserve"> atender as condições especificadas nos parágrafos 9 ou 10, o concedente deve reclassificar o ativo para um "ativo de concessão de serviços".</w:t>
      </w:r>
    </w:p>
    <w:p w:rsidR="00566431" w:rsidRPr="00327951" w:rsidRDefault="00566431" w:rsidP="00566431">
      <w:pPr>
        <w:ind w:left="502"/>
        <w:jc w:val="both"/>
        <w:rPr>
          <w:b/>
        </w:rPr>
      </w:pPr>
    </w:p>
    <w:p w:rsidR="00566431" w:rsidRPr="00327951" w:rsidRDefault="00566431" w:rsidP="00566431">
      <w:pPr>
        <w:numPr>
          <w:ilvl w:val="0"/>
          <w:numId w:val="2"/>
        </w:numPr>
        <w:jc w:val="both"/>
        <w:rPr>
          <w:b/>
        </w:rPr>
      </w:pPr>
      <w:r w:rsidRPr="00327951">
        <w:rPr>
          <w:b/>
        </w:rPr>
        <w:t>Posteriormente ao reconhecimento ou à reclassificação inicial, os ativos da concessão de serviços devem ser contabilizados como uma classe separada de ativos.</w:t>
      </w:r>
    </w:p>
    <w:p w:rsidR="000A7D72" w:rsidRPr="00327951" w:rsidRDefault="000A7D72" w:rsidP="000A7D72">
      <w:pPr>
        <w:ind w:left="142"/>
        <w:jc w:val="both"/>
      </w:pPr>
    </w:p>
    <w:p w:rsidR="000A7D72" w:rsidRPr="00327951" w:rsidRDefault="000A7D72" w:rsidP="000A7D72">
      <w:pPr>
        <w:ind w:left="142"/>
        <w:jc w:val="both"/>
      </w:pPr>
    </w:p>
    <w:p w:rsidR="000A7D72" w:rsidRPr="00327951" w:rsidRDefault="00566431" w:rsidP="00530853">
      <w:pPr>
        <w:jc w:val="both"/>
        <w:rPr>
          <w:b/>
        </w:rPr>
      </w:pPr>
      <w:r w:rsidRPr="00327951">
        <w:rPr>
          <w:b/>
        </w:rPr>
        <w:t xml:space="preserve">Reconhecimento e </w:t>
      </w:r>
      <w:r w:rsidR="000A7D72" w:rsidRPr="00327951">
        <w:rPr>
          <w:b/>
        </w:rPr>
        <w:t>Mensuração d</w:t>
      </w:r>
      <w:r w:rsidRPr="00327951">
        <w:rPr>
          <w:b/>
        </w:rPr>
        <w:t>e Passivos</w:t>
      </w:r>
    </w:p>
    <w:p w:rsidR="000A7D72" w:rsidRPr="00327951" w:rsidRDefault="000A7D72" w:rsidP="000A7D72">
      <w:pPr>
        <w:ind w:left="142"/>
        <w:jc w:val="both"/>
      </w:pPr>
    </w:p>
    <w:p w:rsidR="000A7D72" w:rsidRPr="00327951" w:rsidRDefault="00566431" w:rsidP="00566431">
      <w:pPr>
        <w:numPr>
          <w:ilvl w:val="0"/>
          <w:numId w:val="2"/>
        </w:numPr>
        <w:jc w:val="both"/>
        <w:rPr>
          <w:b/>
        </w:rPr>
      </w:pPr>
      <w:r w:rsidRPr="00327951">
        <w:rPr>
          <w:b/>
        </w:rPr>
        <w:t>Sempre que a concedente reconhecer o ativo da concessão de serviços em conformidade com os parágrafos 9 ou 10, também deverá ser reconhecido um passivo. A concedente não deve reconhecer um passivo quando um ativo seu preexistente for reclassificado como um ativo de concessão de serviço em conformidade com o parágrafo 12, exceto em circunstâncias em que considerações adicionais sejam fornecidas pelo concessionário, conforme destacado no parágrafo 15.</w:t>
      </w:r>
    </w:p>
    <w:p w:rsidR="000A7D72" w:rsidRPr="00327951" w:rsidRDefault="000A7D72" w:rsidP="000A7D72">
      <w:pPr>
        <w:ind w:left="502"/>
        <w:jc w:val="both"/>
      </w:pPr>
    </w:p>
    <w:p w:rsidR="000A7D72" w:rsidRPr="00327951" w:rsidRDefault="00DC5396" w:rsidP="00DC5396">
      <w:pPr>
        <w:numPr>
          <w:ilvl w:val="0"/>
          <w:numId w:val="2"/>
        </w:numPr>
        <w:jc w:val="both"/>
        <w:rPr>
          <w:b/>
        </w:rPr>
      </w:pPr>
      <w:r w:rsidRPr="00327951">
        <w:rPr>
          <w:b/>
        </w:rPr>
        <w:t>O passivo reconhecido de acordo com o parágrafo 14 deve ser inicialmente mensurado pelo mesmo valor que o ativo da concessão de serviço mensurado de acordo com o parágrafo 11, ajustado por qualquer outro valor transferido da concedente ao concessionário, ou do concessionário para a concedente</w:t>
      </w:r>
      <w:r w:rsidR="000A7D72" w:rsidRPr="00327951">
        <w:rPr>
          <w:b/>
        </w:rPr>
        <w:t>.</w:t>
      </w:r>
    </w:p>
    <w:p w:rsidR="000A7D72" w:rsidRPr="00327951" w:rsidRDefault="000A7D72" w:rsidP="000A7D72">
      <w:pPr>
        <w:ind w:left="502"/>
        <w:jc w:val="both"/>
      </w:pPr>
    </w:p>
    <w:p w:rsidR="000A7D72" w:rsidRPr="00327951" w:rsidRDefault="00DC5396" w:rsidP="00DC5396">
      <w:pPr>
        <w:numPr>
          <w:ilvl w:val="0"/>
          <w:numId w:val="2"/>
        </w:numPr>
        <w:jc w:val="both"/>
      </w:pPr>
      <w:r w:rsidRPr="00327951">
        <w:t>A natureza do passivo reconhecido é baseada na natureza da transação entre a concedente e o ente concessionário. A natureza do negócio entregue pela concedente ao concessionário é determinada com referência nos termos do acordo vinculante e, quando relevante, do direito dos contratos.</w:t>
      </w:r>
    </w:p>
    <w:p w:rsidR="00DC5396" w:rsidRPr="00327951" w:rsidRDefault="00DC5396" w:rsidP="00DC5396">
      <w:pPr>
        <w:ind w:left="502"/>
        <w:jc w:val="both"/>
      </w:pPr>
    </w:p>
    <w:p w:rsidR="00DC5396" w:rsidRPr="00327951" w:rsidRDefault="00DC5396" w:rsidP="00DC5396">
      <w:pPr>
        <w:numPr>
          <w:ilvl w:val="0"/>
          <w:numId w:val="2"/>
        </w:numPr>
        <w:jc w:val="both"/>
      </w:pPr>
      <w:r w:rsidRPr="00327951">
        <w:t>Na troca pelo ativo da concessão do serviço, a concedente pode compensar o concessionário pelo ativo da concessão do serviço por meio de qualquer combinação dentre:</w:t>
      </w:r>
    </w:p>
    <w:p w:rsidR="00DC5396" w:rsidRPr="00327951" w:rsidRDefault="00DC5396" w:rsidP="00DC5396">
      <w:pPr>
        <w:ind w:left="502"/>
        <w:jc w:val="both"/>
      </w:pPr>
    </w:p>
    <w:p w:rsidR="00DC5396" w:rsidRPr="00327951" w:rsidRDefault="00DC5396" w:rsidP="00DC5396">
      <w:pPr>
        <w:numPr>
          <w:ilvl w:val="0"/>
          <w:numId w:val="17"/>
        </w:numPr>
        <w:jc w:val="both"/>
      </w:pPr>
      <w:r w:rsidRPr="00327951">
        <w:t>A realização de pagamentos ao concessionário (modelo de "financiamento de passivos");</w:t>
      </w:r>
    </w:p>
    <w:p w:rsidR="00DC5396" w:rsidRPr="00327951" w:rsidRDefault="00DC5396" w:rsidP="00DC5396">
      <w:pPr>
        <w:ind w:left="1211"/>
        <w:jc w:val="both"/>
      </w:pPr>
    </w:p>
    <w:p w:rsidR="00DC5396" w:rsidRPr="00327951" w:rsidRDefault="00DC5396" w:rsidP="00DC5396">
      <w:pPr>
        <w:numPr>
          <w:ilvl w:val="0"/>
          <w:numId w:val="17"/>
        </w:numPr>
        <w:jc w:val="both"/>
      </w:pPr>
      <w:r w:rsidRPr="00327951">
        <w:t>A compensação ao concessionário por quaisquer outros meios (modelo de "concessão de direitos ao concessionário"), como:</w:t>
      </w:r>
    </w:p>
    <w:p w:rsidR="00DC5396" w:rsidRPr="00327951" w:rsidRDefault="00DC5396" w:rsidP="00DC5396">
      <w:pPr>
        <w:ind w:left="1211"/>
        <w:jc w:val="both"/>
      </w:pPr>
    </w:p>
    <w:p w:rsidR="00DC5396" w:rsidRPr="00327951" w:rsidRDefault="00DC5396" w:rsidP="00DC5396">
      <w:pPr>
        <w:numPr>
          <w:ilvl w:val="1"/>
          <w:numId w:val="17"/>
        </w:numPr>
        <w:jc w:val="both"/>
      </w:pPr>
      <w:r w:rsidRPr="00327951">
        <w:t xml:space="preserve">Conceder ao concessionário o direito de gerar receitas de usuários dos ativos da concessão; </w:t>
      </w:r>
      <w:proofErr w:type="gramStart"/>
      <w:r w:rsidRPr="00327951">
        <w:t>ou</w:t>
      </w:r>
      <w:proofErr w:type="gramEnd"/>
    </w:p>
    <w:p w:rsidR="00DC5396" w:rsidRPr="00327951" w:rsidRDefault="00DC5396" w:rsidP="00DC5396">
      <w:pPr>
        <w:ind w:left="1931"/>
        <w:jc w:val="both"/>
      </w:pPr>
    </w:p>
    <w:p w:rsidR="00DC5396" w:rsidRPr="00327951" w:rsidRDefault="00DC5396" w:rsidP="00DC5396">
      <w:pPr>
        <w:numPr>
          <w:ilvl w:val="1"/>
          <w:numId w:val="17"/>
        </w:numPr>
        <w:jc w:val="both"/>
      </w:pPr>
      <w:r w:rsidRPr="00327951">
        <w:t xml:space="preserve">Conceder ao usuário acesso para uso de outro ativo gerador de receita (ex. uma ala de um hospital em que das demais partes são usadas pela concedente para tratar pacientes, ou um estacionamento adjacente a um lugar em que se </w:t>
      </w:r>
      <w:proofErr w:type="gramStart"/>
      <w:r w:rsidRPr="00327951">
        <w:t>presta</w:t>
      </w:r>
      <w:proofErr w:type="gramEnd"/>
      <w:r w:rsidRPr="00327951">
        <w:t xml:space="preserve"> serviços públicos).</w:t>
      </w:r>
    </w:p>
    <w:p w:rsidR="00DC5396" w:rsidRPr="00327951" w:rsidRDefault="00DC5396" w:rsidP="00DC5396">
      <w:pPr>
        <w:ind w:left="502"/>
        <w:jc w:val="both"/>
      </w:pPr>
    </w:p>
    <w:p w:rsidR="00DC5396" w:rsidRPr="00327951" w:rsidRDefault="00DC5396" w:rsidP="008578A2">
      <w:pPr>
        <w:jc w:val="both"/>
        <w:rPr>
          <w:b/>
        </w:rPr>
      </w:pPr>
    </w:p>
    <w:p w:rsidR="008578A2" w:rsidRPr="00327951" w:rsidRDefault="00DC5396" w:rsidP="008578A2">
      <w:pPr>
        <w:jc w:val="both"/>
        <w:rPr>
          <w:b/>
        </w:rPr>
      </w:pPr>
      <w:r w:rsidRPr="00327951">
        <w:rPr>
          <w:b/>
        </w:rPr>
        <w:t>Modelo de Financiamento de Passivos</w:t>
      </w:r>
    </w:p>
    <w:p w:rsidR="008578A2" w:rsidRPr="00327951" w:rsidRDefault="008578A2" w:rsidP="008578A2">
      <w:pPr>
        <w:ind w:left="502"/>
        <w:jc w:val="both"/>
      </w:pPr>
    </w:p>
    <w:p w:rsidR="008578A2" w:rsidRPr="00327951" w:rsidRDefault="00DC5396" w:rsidP="00DC5396">
      <w:pPr>
        <w:numPr>
          <w:ilvl w:val="0"/>
          <w:numId w:val="2"/>
        </w:numPr>
        <w:jc w:val="both"/>
      </w:pPr>
      <w:r w:rsidRPr="00327951">
        <w:rPr>
          <w:b/>
        </w:rPr>
        <w:t>Sempre que a concedente tiver uma obrigação incondicional de pagamento ao concessionário, em espécie ou por meio de qualquer outro ativo financeiro, decorrente da construção, desenvolvimento, aquisição ou melhoria do ativo da concessão do serviço, a concedente deve contabilizar o passivo reconhecido conforme o parágrafo 14 como um passivo de um financiamento.</w:t>
      </w:r>
      <w:r w:rsidR="002D6A45" w:rsidRPr="00327951">
        <w:t xml:space="preserve"> </w:t>
      </w:r>
    </w:p>
    <w:p w:rsidR="002D6A45" w:rsidRPr="00327951" w:rsidRDefault="002D6A45" w:rsidP="002D6A45">
      <w:pPr>
        <w:ind w:left="502"/>
        <w:jc w:val="both"/>
      </w:pPr>
    </w:p>
    <w:p w:rsidR="002D6A45" w:rsidRPr="00327951" w:rsidRDefault="00DC5396" w:rsidP="00DC5396">
      <w:pPr>
        <w:numPr>
          <w:ilvl w:val="0"/>
          <w:numId w:val="2"/>
        </w:numPr>
        <w:jc w:val="both"/>
      </w:pPr>
      <w:r w:rsidRPr="00327951">
        <w:t>A concedente tem uma obrigação incondicional de pagar em dinheiro se for garantido ao concessionário:</w:t>
      </w:r>
    </w:p>
    <w:p w:rsidR="00DC5396" w:rsidRPr="00327951" w:rsidRDefault="00DC5396" w:rsidP="00DC5396">
      <w:pPr>
        <w:ind w:left="502"/>
        <w:jc w:val="both"/>
      </w:pPr>
    </w:p>
    <w:p w:rsidR="00DC5396" w:rsidRPr="00327951" w:rsidRDefault="00DC5396" w:rsidP="00DC5396">
      <w:pPr>
        <w:numPr>
          <w:ilvl w:val="0"/>
          <w:numId w:val="18"/>
        </w:numPr>
        <w:jc w:val="both"/>
      </w:pPr>
      <w:r w:rsidRPr="00327951">
        <w:t xml:space="preserve">Valores determinados; </w:t>
      </w:r>
      <w:proofErr w:type="gramStart"/>
      <w:r w:rsidRPr="00327951">
        <w:t>ou</w:t>
      </w:r>
      <w:proofErr w:type="gramEnd"/>
    </w:p>
    <w:p w:rsidR="00DC5396" w:rsidRPr="00327951" w:rsidRDefault="00DC5396" w:rsidP="00DC5396">
      <w:pPr>
        <w:ind w:left="1211"/>
        <w:jc w:val="both"/>
      </w:pPr>
    </w:p>
    <w:p w:rsidR="00DC5396" w:rsidRPr="00327951" w:rsidRDefault="00DC5396" w:rsidP="00DC5396">
      <w:pPr>
        <w:numPr>
          <w:ilvl w:val="0"/>
          <w:numId w:val="18"/>
        </w:numPr>
        <w:jc w:val="both"/>
      </w:pPr>
      <w:r w:rsidRPr="00327951">
        <w:t>A subvenção ao usuário, se houver, correspondendo à diferença entre os montantes recebidos dos usuários do serviço público e qualquer valor determinado conforme o parágrafo 19(a), mesmo que o pagamento esteja dependente de que o concessionário assegure que o ativo da concessão de serviços atenda a certos requisitos de qualidade ou eficiência.</w:t>
      </w:r>
    </w:p>
    <w:p w:rsidR="00DC5396" w:rsidRPr="00327951" w:rsidRDefault="00DC5396" w:rsidP="00DC5396">
      <w:pPr>
        <w:ind w:left="502"/>
        <w:jc w:val="both"/>
      </w:pPr>
    </w:p>
    <w:p w:rsidR="00DC5396" w:rsidRPr="00327951" w:rsidRDefault="00DC5396" w:rsidP="00DC5396">
      <w:pPr>
        <w:numPr>
          <w:ilvl w:val="0"/>
          <w:numId w:val="2"/>
        </w:numPr>
        <w:jc w:val="both"/>
      </w:pPr>
      <w:r w:rsidRPr="00327951">
        <w:t>(</w:t>
      </w:r>
      <w:r w:rsidRPr="00327951">
        <w:rPr>
          <w:i/>
        </w:rPr>
        <w:t>não convergido</w:t>
      </w:r>
      <w:r w:rsidRPr="00327951">
        <w:t>).</w:t>
      </w:r>
    </w:p>
    <w:p w:rsidR="00DC5396" w:rsidRPr="00327951" w:rsidRDefault="00DC5396" w:rsidP="00DC5396">
      <w:pPr>
        <w:ind w:left="502"/>
        <w:jc w:val="both"/>
      </w:pPr>
    </w:p>
    <w:p w:rsidR="00DC5396" w:rsidRPr="00327951" w:rsidRDefault="00DC5396" w:rsidP="00DC5396">
      <w:pPr>
        <w:numPr>
          <w:ilvl w:val="0"/>
          <w:numId w:val="2"/>
        </w:numPr>
        <w:jc w:val="both"/>
        <w:rPr>
          <w:b/>
        </w:rPr>
      </w:pPr>
      <w:r w:rsidRPr="00327951">
        <w:rPr>
          <w:b/>
        </w:rPr>
        <w:t xml:space="preserve">A concedente deve separar os pagamentos ao concessionário de acordo com sua substância, sendo parte como um encargo financeiro relacionado a uma redução do </w:t>
      </w:r>
      <w:r w:rsidRPr="00327951">
        <w:rPr>
          <w:b/>
        </w:rPr>
        <w:lastRenderedPageBreak/>
        <w:t>passivo reconhecido em conformidade com o parágrafo 14, e outra parte como uma taxa por serviços prestados pelo concessionário.</w:t>
      </w:r>
    </w:p>
    <w:p w:rsidR="00DC5396" w:rsidRPr="00327951" w:rsidRDefault="00DC5396" w:rsidP="00DC5396">
      <w:pPr>
        <w:ind w:left="502"/>
        <w:jc w:val="both"/>
        <w:rPr>
          <w:b/>
        </w:rPr>
      </w:pPr>
    </w:p>
    <w:p w:rsidR="00DC5396" w:rsidRPr="00327951" w:rsidRDefault="00DC5396" w:rsidP="00DC5396">
      <w:pPr>
        <w:numPr>
          <w:ilvl w:val="0"/>
          <w:numId w:val="2"/>
        </w:numPr>
        <w:jc w:val="both"/>
        <w:rPr>
          <w:b/>
        </w:rPr>
      </w:pPr>
      <w:r w:rsidRPr="00327951">
        <w:rPr>
          <w:b/>
        </w:rPr>
        <w:t xml:space="preserve">O encargo financeiro e a taxa pelos serviços prestados pelo concessionário em um acordo de concessão de serviços determinados conforme o parágrafo 21 </w:t>
      </w:r>
      <w:proofErr w:type="gramStart"/>
      <w:r w:rsidRPr="00327951">
        <w:rPr>
          <w:b/>
        </w:rPr>
        <w:t>devem ser contabilizados</w:t>
      </w:r>
      <w:proofErr w:type="gramEnd"/>
      <w:r w:rsidRPr="00327951">
        <w:rPr>
          <w:b/>
        </w:rPr>
        <w:t xml:space="preserve"> como despesas.</w:t>
      </w:r>
    </w:p>
    <w:p w:rsidR="00DC5396" w:rsidRPr="00327951" w:rsidRDefault="00DC5396" w:rsidP="00DC5396">
      <w:pPr>
        <w:ind w:left="502"/>
        <w:jc w:val="both"/>
        <w:rPr>
          <w:b/>
        </w:rPr>
      </w:pPr>
    </w:p>
    <w:p w:rsidR="00DC5396" w:rsidRPr="00327951" w:rsidRDefault="00DC5396" w:rsidP="00DC5396">
      <w:pPr>
        <w:numPr>
          <w:ilvl w:val="0"/>
          <w:numId w:val="2"/>
        </w:numPr>
        <w:jc w:val="both"/>
        <w:rPr>
          <w:b/>
        </w:rPr>
      </w:pPr>
      <w:r w:rsidRPr="00327951">
        <w:rPr>
          <w:b/>
        </w:rPr>
        <w:t>Quando o ativo e o serviço de um acordo de concessão de serviços forem identificáveis separadamente, o pagamento pelos serviços prestados pelo concessionário e o pagamento pelo ativo devem ter por referência o valor justo. Quando o ativo e o serviço não forem identificáveis separadamente, a parcela dos serviços relacionada aos pagamentos da concedente ao concessionário deve ser determinada por meio de técnicas de estimação.</w:t>
      </w:r>
    </w:p>
    <w:p w:rsidR="00DC5396" w:rsidRPr="00327951" w:rsidRDefault="00DC5396" w:rsidP="00DC5396">
      <w:pPr>
        <w:ind w:left="142"/>
        <w:jc w:val="both"/>
        <w:rPr>
          <w:b/>
        </w:rPr>
      </w:pPr>
    </w:p>
    <w:p w:rsidR="00DC5396" w:rsidRPr="00327951" w:rsidRDefault="00DC5396" w:rsidP="00DC5396">
      <w:pPr>
        <w:ind w:left="142"/>
        <w:jc w:val="both"/>
        <w:rPr>
          <w:b/>
        </w:rPr>
      </w:pPr>
    </w:p>
    <w:p w:rsidR="00DC5396" w:rsidRPr="00327951" w:rsidRDefault="00DC5396" w:rsidP="00530853">
      <w:pPr>
        <w:jc w:val="both"/>
        <w:rPr>
          <w:b/>
        </w:rPr>
      </w:pPr>
      <w:r w:rsidRPr="00327951">
        <w:rPr>
          <w:b/>
        </w:rPr>
        <w:t>Modelo de Concessão de Direitos ao Concessionário</w:t>
      </w:r>
    </w:p>
    <w:p w:rsidR="00DC5396" w:rsidRPr="00327951" w:rsidRDefault="00DC5396" w:rsidP="00DC5396">
      <w:pPr>
        <w:ind w:left="142"/>
        <w:jc w:val="both"/>
        <w:rPr>
          <w:b/>
        </w:rPr>
      </w:pPr>
    </w:p>
    <w:p w:rsidR="00DC5396" w:rsidRPr="00327951" w:rsidRDefault="00DC5396" w:rsidP="00DC5396">
      <w:pPr>
        <w:numPr>
          <w:ilvl w:val="0"/>
          <w:numId w:val="2"/>
        </w:numPr>
        <w:jc w:val="both"/>
        <w:rPr>
          <w:b/>
        </w:rPr>
      </w:pPr>
      <w:r w:rsidRPr="00327951">
        <w:rPr>
          <w:b/>
        </w:rPr>
        <w:t xml:space="preserve">Quando a concedente não tem uma obrigação incondicional de pagar em espécie ou em qualquer outro ativo financeiro ao concessionário pela construção, desenvolvimento, aquisição, ou melhoria do ativo da concessão do serviço, e concede ao concessionário o direito de obter </w:t>
      </w:r>
      <w:r w:rsidR="007A466F" w:rsidRPr="00327951">
        <w:rPr>
          <w:b/>
        </w:rPr>
        <w:t>receita</w:t>
      </w:r>
      <w:r w:rsidRPr="00327951">
        <w:rPr>
          <w:b/>
        </w:rPr>
        <w:t xml:space="preserve"> dos usuários, a concedente deve contabilizar o passivo reconhecido de acordo com o parágrafo 14 como o montante não realizado das receitas decorrentes da troca de ativos entre a concedente e o concessionário.</w:t>
      </w:r>
    </w:p>
    <w:p w:rsidR="00DC5396" w:rsidRPr="00327951" w:rsidRDefault="00DC5396" w:rsidP="00DC5396">
      <w:pPr>
        <w:ind w:left="502"/>
        <w:jc w:val="both"/>
        <w:rPr>
          <w:b/>
        </w:rPr>
      </w:pPr>
    </w:p>
    <w:p w:rsidR="00825E33" w:rsidRPr="00327951" w:rsidRDefault="00825E33" w:rsidP="00825E33">
      <w:pPr>
        <w:numPr>
          <w:ilvl w:val="0"/>
          <w:numId w:val="2"/>
        </w:numPr>
        <w:jc w:val="both"/>
        <w:rPr>
          <w:b/>
        </w:rPr>
      </w:pPr>
      <w:r w:rsidRPr="00327951">
        <w:rPr>
          <w:b/>
        </w:rPr>
        <w:t>A concedente deve reconhecer a receita e reduzir o passivo reconhecido conforme o parágrafo 24 de acordo com a substância econômica do acordo da concessão de serviço.</w:t>
      </w:r>
    </w:p>
    <w:p w:rsidR="00825E33" w:rsidRPr="00327951" w:rsidRDefault="00825E33" w:rsidP="00825E33">
      <w:pPr>
        <w:ind w:left="502"/>
        <w:jc w:val="both"/>
        <w:rPr>
          <w:b/>
        </w:rPr>
      </w:pPr>
    </w:p>
    <w:p w:rsidR="00825E33" w:rsidRPr="00327951" w:rsidRDefault="00825E33" w:rsidP="00825E33">
      <w:pPr>
        <w:numPr>
          <w:ilvl w:val="0"/>
          <w:numId w:val="2"/>
        </w:numPr>
        <w:jc w:val="both"/>
        <w:rPr>
          <w:b/>
        </w:rPr>
      </w:pPr>
      <w:r w:rsidRPr="00327951">
        <w:rPr>
          <w:b/>
        </w:rPr>
        <w:t xml:space="preserve">Quando a concedente compensa o concessionário por meio da entrega do direito de obter receitas dos usuários da concessão, a transação é qualificada como uma transação que gera receita. Como o direito concedido ao concessionário é efetivo para o período do acordo da concessão de serviço, a concedente não reconhece a receita da transação imediatamente. Ao invés disso, é reconhecido um passivo para qualquer parcela da receita ainda não realizada. A receita é realizada de acordo com a substância econômica do acordo de concessão de serviço, e o passivo é reduzido concomitantemente ao reconhecimento da receita.  </w:t>
      </w:r>
    </w:p>
    <w:p w:rsidR="00825E33" w:rsidRPr="00327951" w:rsidRDefault="00825E33" w:rsidP="00825E33">
      <w:pPr>
        <w:ind w:left="142"/>
        <w:jc w:val="both"/>
        <w:rPr>
          <w:b/>
        </w:rPr>
      </w:pPr>
    </w:p>
    <w:p w:rsidR="00825E33" w:rsidRPr="00327951" w:rsidRDefault="00825E33" w:rsidP="00825E33">
      <w:pPr>
        <w:ind w:left="142"/>
        <w:jc w:val="both"/>
        <w:rPr>
          <w:b/>
        </w:rPr>
      </w:pPr>
    </w:p>
    <w:p w:rsidR="00825E33" w:rsidRPr="00327951" w:rsidRDefault="00825E33" w:rsidP="00530853">
      <w:pPr>
        <w:jc w:val="both"/>
        <w:rPr>
          <w:b/>
        </w:rPr>
      </w:pPr>
      <w:r w:rsidRPr="00327951">
        <w:rPr>
          <w:b/>
        </w:rPr>
        <w:t>Partes do Acordo</w:t>
      </w:r>
    </w:p>
    <w:p w:rsidR="00825E33" w:rsidRPr="00327951" w:rsidRDefault="00825E33" w:rsidP="00825E33">
      <w:pPr>
        <w:jc w:val="both"/>
        <w:rPr>
          <w:b/>
        </w:rPr>
      </w:pPr>
    </w:p>
    <w:p w:rsidR="00825E33" w:rsidRPr="00327951" w:rsidRDefault="00825E33" w:rsidP="00825E33">
      <w:pPr>
        <w:numPr>
          <w:ilvl w:val="0"/>
          <w:numId w:val="2"/>
        </w:numPr>
        <w:jc w:val="both"/>
        <w:rPr>
          <w:b/>
        </w:rPr>
      </w:pPr>
      <w:r w:rsidRPr="00327951">
        <w:rPr>
          <w:b/>
        </w:rPr>
        <w:t>Se a concedente paga pela construção, desenvolvimento, aquisição, ou melhoria de um ativo da concessão de serviço, em parte por meio da assunção de um passivo financeiro e em parte pela concessão de um direito ao concessionário, é necessário contabilizar separadamente cada parte do passivo, conforme o parágrafo 14. O montante inicialmente reconhecido para o passivo total deve ser o mesmo que aquele especificado no parágrafo 15.</w:t>
      </w:r>
    </w:p>
    <w:p w:rsidR="00825E33" w:rsidRPr="00327951" w:rsidRDefault="00825E33" w:rsidP="00825E33">
      <w:pPr>
        <w:ind w:left="502"/>
        <w:jc w:val="both"/>
        <w:rPr>
          <w:b/>
        </w:rPr>
      </w:pPr>
    </w:p>
    <w:p w:rsidR="00825E33" w:rsidRPr="00327951" w:rsidRDefault="00825E33" w:rsidP="00825E33">
      <w:pPr>
        <w:numPr>
          <w:ilvl w:val="0"/>
          <w:numId w:val="2"/>
        </w:numPr>
        <w:jc w:val="both"/>
        <w:rPr>
          <w:b/>
        </w:rPr>
      </w:pPr>
      <w:r w:rsidRPr="00327951">
        <w:rPr>
          <w:b/>
        </w:rPr>
        <w:t>A concedente deve contabilizar cada parte do passivo referente ao parágrafo 27 de acordo com os parágrafos 18-26.</w:t>
      </w:r>
    </w:p>
    <w:p w:rsidR="00825E33" w:rsidRPr="00327951" w:rsidRDefault="00825E33" w:rsidP="00825E33">
      <w:pPr>
        <w:ind w:left="142"/>
        <w:jc w:val="both"/>
        <w:rPr>
          <w:b/>
        </w:rPr>
      </w:pPr>
    </w:p>
    <w:p w:rsidR="00825E33" w:rsidRPr="00327951" w:rsidRDefault="00825E33" w:rsidP="00825E33">
      <w:pPr>
        <w:ind w:left="142"/>
        <w:jc w:val="both"/>
        <w:rPr>
          <w:b/>
        </w:rPr>
      </w:pPr>
    </w:p>
    <w:p w:rsidR="00825E33" w:rsidRPr="00327951" w:rsidRDefault="00825E33" w:rsidP="00530853">
      <w:pPr>
        <w:jc w:val="both"/>
        <w:rPr>
          <w:b/>
        </w:rPr>
      </w:pPr>
      <w:r w:rsidRPr="00327951">
        <w:rPr>
          <w:b/>
        </w:rPr>
        <w:t xml:space="preserve">Outros passivos, compromissos, passivos contingentes e ativos </w:t>
      </w:r>
      <w:proofErr w:type="gramStart"/>
      <w:r w:rsidRPr="00327951">
        <w:rPr>
          <w:b/>
        </w:rPr>
        <w:t>contingentes</w:t>
      </w:r>
      <w:proofErr w:type="gramEnd"/>
    </w:p>
    <w:p w:rsidR="00825E33" w:rsidRPr="00327951" w:rsidRDefault="00825E33" w:rsidP="00825E33">
      <w:pPr>
        <w:ind w:left="142"/>
        <w:jc w:val="both"/>
        <w:rPr>
          <w:b/>
        </w:rPr>
      </w:pPr>
    </w:p>
    <w:p w:rsidR="00825E33" w:rsidRPr="00327951" w:rsidRDefault="00825E33" w:rsidP="00825E33">
      <w:pPr>
        <w:numPr>
          <w:ilvl w:val="0"/>
          <w:numId w:val="2"/>
        </w:numPr>
        <w:jc w:val="both"/>
        <w:rPr>
          <w:b/>
        </w:rPr>
      </w:pPr>
      <w:r w:rsidRPr="00327951">
        <w:rPr>
          <w:b/>
        </w:rPr>
        <w:lastRenderedPageBreak/>
        <w:t xml:space="preserve">A concedente deve contabilizar outros passivos, compromissos, passivos contingentes e ativos contingentes resultantes de um acordo da concessão de serviços em conformidade com a NBC TSP </w:t>
      </w:r>
      <w:proofErr w:type="gramStart"/>
      <w:r w:rsidRPr="00327951">
        <w:rPr>
          <w:b/>
        </w:rPr>
        <w:t>3</w:t>
      </w:r>
      <w:proofErr w:type="gramEnd"/>
      <w:r w:rsidRPr="00327951">
        <w:rPr>
          <w:b/>
        </w:rPr>
        <w:t>, Provisões, Passivos Contingentes e Ativos Contingentes.</w:t>
      </w:r>
    </w:p>
    <w:p w:rsidR="00825E33" w:rsidRPr="00327951" w:rsidRDefault="00825E33" w:rsidP="00530853">
      <w:pPr>
        <w:ind w:left="142"/>
        <w:jc w:val="both"/>
        <w:rPr>
          <w:b/>
        </w:rPr>
      </w:pPr>
    </w:p>
    <w:p w:rsidR="00530853" w:rsidRPr="00327951" w:rsidRDefault="00530853" w:rsidP="00530853">
      <w:pPr>
        <w:ind w:left="142"/>
        <w:jc w:val="both"/>
        <w:rPr>
          <w:b/>
        </w:rPr>
      </w:pPr>
    </w:p>
    <w:p w:rsidR="00530853" w:rsidRPr="00327951" w:rsidRDefault="00530853" w:rsidP="00530853">
      <w:pPr>
        <w:jc w:val="both"/>
        <w:rPr>
          <w:b/>
        </w:rPr>
      </w:pPr>
      <w:r w:rsidRPr="00327951">
        <w:rPr>
          <w:b/>
        </w:rPr>
        <w:t>Outras Receitas</w:t>
      </w:r>
    </w:p>
    <w:p w:rsidR="00530853" w:rsidRPr="00327951" w:rsidRDefault="00530853" w:rsidP="00530853">
      <w:pPr>
        <w:ind w:left="142"/>
        <w:jc w:val="both"/>
        <w:rPr>
          <w:b/>
        </w:rPr>
      </w:pPr>
    </w:p>
    <w:p w:rsidR="00825E33" w:rsidRPr="00327951" w:rsidRDefault="00825E33" w:rsidP="00825E33">
      <w:pPr>
        <w:numPr>
          <w:ilvl w:val="0"/>
          <w:numId w:val="2"/>
        </w:numPr>
        <w:jc w:val="both"/>
        <w:rPr>
          <w:b/>
        </w:rPr>
      </w:pPr>
      <w:r w:rsidRPr="00327951">
        <w:rPr>
          <w:b/>
        </w:rPr>
        <w:t xml:space="preserve">A concedente deve contabilizar as receitas de um acordo de concessão de serviços, exceto as referidas nos parágrafos 24-26, de acordo com a NBC TSP </w:t>
      </w:r>
      <w:proofErr w:type="gramStart"/>
      <w:r w:rsidRPr="00327951">
        <w:rPr>
          <w:b/>
        </w:rPr>
        <w:t>2</w:t>
      </w:r>
      <w:proofErr w:type="gramEnd"/>
      <w:r w:rsidRPr="00327951">
        <w:rPr>
          <w:b/>
        </w:rPr>
        <w:t>, Receitas de Transferências com Contraprestação.</w:t>
      </w:r>
    </w:p>
    <w:p w:rsidR="00825E33" w:rsidRPr="00327951" w:rsidRDefault="00825E33" w:rsidP="00825E33">
      <w:pPr>
        <w:ind w:left="502"/>
        <w:jc w:val="both"/>
        <w:rPr>
          <w:b/>
        </w:rPr>
      </w:pPr>
    </w:p>
    <w:p w:rsidR="00825E33" w:rsidRPr="00327951" w:rsidRDefault="00825E33" w:rsidP="00825E33">
      <w:pPr>
        <w:ind w:left="502"/>
        <w:jc w:val="both"/>
        <w:rPr>
          <w:b/>
        </w:rPr>
      </w:pPr>
    </w:p>
    <w:p w:rsidR="00825E33" w:rsidRPr="00327951" w:rsidRDefault="00825E33" w:rsidP="00825E33">
      <w:pPr>
        <w:jc w:val="both"/>
        <w:rPr>
          <w:b/>
        </w:rPr>
      </w:pPr>
      <w:r w:rsidRPr="00327951">
        <w:rPr>
          <w:b/>
        </w:rPr>
        <w:t>Apresentação e Divulgação</w:t>
      </w:r>
    </w:p>
    <w:p w:rsidR="00825E33" w:rsidRPr="00327951" w:rsidRDefault="00825E33" w:rsidP="00825E33">
      <w:pPr>
        <w:jc w:val="both"/>
        <w:rPr>
          <w:b/>
        </w:rPr>
      </w:pPr>
    </w:p>
    <w:p w:rsidR="00825E33" w:rsidRPr="00327951" w:rsidRDefault="00825E33" w:rsidP="00825E33">
      <w:pPr>
        <w:numPr>
          <w:ilvl w:val="0"/>
          <w:numId w:val="2"/>
        </w:numPr>
        <w:jc w:val="both"/>
        <w:rPr>
          <w:b/>
        </w:rPr>
      </w:pPr>
      <w:r w:rsidRPr="00327951">
        <w:t>(</w:t>
      </w:r>
      <w:r w:rsidRPr="00327951">
        <w:rPr>
          <w:i/>
        </w:rPr>
        <w:t>não convergido</w:t>
      </w:r>
      <w:r w:rsidRPr="00327951">
        <w:t>).</w:t>
      </w:r>
    </w:p>
    <w:p w:rsidR="00825E33" w:rsidRPr="00327951" w:rsidRDefault="00825E33" w:rsidP="00825E33">
      <w:pPr>
        <w:ind w:left="502"/>
        <w:jc w:val="both"/>
        <w:rPr>
          <w:b/>
        </w:rPr>
      </w:pPr>
    </w:p>
    <w:p w:rsidR="00825E33" w:rsidRPr="00327951" w:rsidRDefault="00825E33" w:rsidP="00825E33">
      <w:pPr>
        <w:numPr>
          <w:ilvl w:val="0"/>
          <w:numId w:val="2"/>
        </w:numPr>
        <w:jc w:val="both"/>
        <w:rPr>
          <w:b/>
        </w:rPr>
      </w:pPr>
      <w:r w:rsidRPr="00327951">
        <w:rPr>
          <w:b/>
        </w:rPr>
        <w:t xml:space="preserve">Todos os aspectos de um acordo de concessão de serviços devem ser considerados ao se determinar as divulgações adequadas nas notas explicativas. Em cada exercício financeiro, a concedente deve evidenciar as seguintes informações com relação aos acordos de </w:t>
      </w:r>
      <w:r w:rsidR="00530853" w:rsidRPr="00327951">
        <w:rPr>
          <w:b/>
        </w:rPr>
        <w:t>concessão de serviços:</w:t>
      </w:r>
    </w:p>
    <w:p w:rsidR="00825E33" w:rsidRPr="00327951" w:rsidRDefault="00825E33" w:rsidP="00825E33">
      <w:pPr>
        <w:ind w:left="502"/>
        <w:jc w:val="both"/>
        <w:rPr>
          <w:b/>
        </w:rPr>
      </w:pPr>
    </w:p>
    <w:p w:rsidR="00530853" w:rsidRPr="00327951" w:rsidRDefault="00530853" w:rsidP="00530853">
      <w:pPr>
        <w:numPr>
          <w:ilvl w:val="0"/>
          <w:numId w:val="19"/>
        </w:numPr>
        <w:jc w:val="both"/>
        <w:rPr>
          <w:b/>
        </w:rPr>
      </w:pPr>
      <w:r w:rsidRPr="00327951">
        <w:rPr>
          <w:b/>
        </w:rPr>
        <w:t>Concessão de serviço;</w:t>
      </w:r>
    </w:p>
    <w:p w:rsidR="00530853" w:rsidRPr="00327951" w:rsidRDefault="00530853" w:rsidP="00530853">
      <w:pPr>
        <w:ind w:left="1211"/>
        <w:jc w:val="both"/>
        <w:rPr>
          <w:b/>
        </w:rPr>
      </w:pPr>
    </w:p>
    <w:p w:rsidR="00530853" w:rsidRPr="00327951" w:rsidRDefault="00530853" w:rsidP="00530853">
      <w:pPr>
        <w:numPr>
          <w:ilvl w:val="0"/>
          <w:numId w:val="19"/>
        </w:numPr>
        <w:jc w:val="both"/>
        <w:rPr>
          <w:b/>
        </w:rPr>
      </w:pPr>
      <w:r w:rsidRPr="00327951">
        <w:rPr>
          <w:b/>
        </w:rPr>
        <w:t xml:space="preserve">Termos significativos do acordo, que possam afetar seu montante, calendário, e estimativas dos seus fluxos de caixa futuros (ex. o prazo da concessão, datas de revisão/renegociação de valores, e as bases nas quais as revisões de valores e/ou renegociações sejam determinadas); </w:t>
      </w:r>
    </w:p>
    <w:p w:rsidR="00530853" w:rsidRPr="00327951" w:rsidRDefault="00530853" w:rsidP="00530853">
      <w:pPr>
        <w:ind w:left="1211"/>
        <w:jc w:val="both"/>
        <w:rPr>
          <w:b/>
        </w:rPr>
      </w:pPr>
    </w:p>
    <w:p w:rsidR="00530853" w:rsidRPr="00327951" w:rsidRDefault="00530853" w:rsidP="00530853">
      <w:pPr>
        <w:numPr>
          <w:ilvl w:val="0"/>
          <w:numId w:val="19"/>
        </w:numPr>
        <w:jc w:val="both"/>
        <w:rPr>
          <w:b/>
        </w:rPr>
      </w:pPr>
      <w:r w:rsidRPr="00327951">
        <w:rPr>
          <w:b/>
        </w:rPr>
        <w:t>A natureza e a extensão (ex. quantidade, prazo ou montante, quando apropriado) de:</w:t>
      </w:r>
    </w:p>
    <w:p w:rsidR="00530853" w:rsidRPr="00327951" w:rsidRDefault="00530853" w:rsidP="00530853">
      <w:pPr>
        <w:ind w:left="1211"/>
        <w:jc w:val="both"/>
        <w:rPr>
          <w:b/>
        </w:rPr>
      </w:pPr>
    </w:p>
    <w:p w:rsidR="00530853" w:rsidRPr="00327951" w:rsidRDefault="00530853" w:rsidP="00530853">
      <w:pPr>
        <w:numPr>
          <w:ilvl w:val="1"/>
          <w:numId w:val="19"/>
        </w:numPr>
        <w:jc w:val="both"/>
        <w:rPr>
          <w:b/>
        </w:rPr>
      </w:pPr>
      <w:r w:rsidRPr="00327951">
        <w:rPr>
          <w:b/>
        </w:rPr>
        <w:t>Direitos de uso de ativos específicos;</w:t>
      </w:r>
    </w:p>
    <w:p w:rsidR="00530853" w:rsidRPr="00327951" w:rsidRDefault="00530853" w:rsidP="00530853">
      <w:pPr>
        <w:ind w:left="1931"/>
        <w:jc w:val="both"/>
        <w:rPr>
          <w:b/>
        </w:rPr>
      </w:pPr>
    </w:p>
    <w:p w:rsidR="00530853" w:rsidRPr="00327951" w:rsidRDefault="00530853" w:rsidP="00530853">
      <w:pPr>
        <w:numPr>
          <w:ilvl w:val="1"/>
          <w:numId w:val="19"/>
        </w:numPr>
        <w:jc w:val="both"/>
        <w:rPr>
          <w:b/>
        </w:rPr>
      </w:pPr>
      <w:r w:rsidRPr="00327951">
        <w:rPr>
          <w:b/>
        </w:rPr>
        <w:t xml:space="preserve">Direitos esperados </w:t>
      </w:r>
      <w:proofErr w:type="gramStart"/>
      <w:r w:rsidRPr="00327951">
        <w:rPr>
          <w:b/>
        </w:rPr>
        <w:t>de que</w:t>
      </w:r>
      <w:proofErr w:type="gramEnd"/>
      <w:r w:rsidRPr="00327951">
        <w:rPr>
          <w:b/>
        </w:rPr>
        <w:t xml:space="preserve"> o concessionário forneça serviços específicos em relação ao acordo de concessão de serviço;</w:t>
      </w:r>
    </w:p>
    <w:p w:rsidR="00530853" w:rsidRPr="00327951" w:rsidRDefault="00530853" w:rsidP="00530853">
      <w:pPr>
        <w:ind w:left="1931"/>
        <w:jc w:val="both"/>
        <w:rPr>
          <w:b/>
        </w:rPr>
      </w:pPr>
    </w:p>
    <w:p w:rsidR="00530853" w:rsidRPr="00327951" w:rsidRDefault="00530853" w:rsidP="00530853">
      <w:pPr>
        <w:numPr>
          <w:ilvl w:val="1"/>
          <w:numId w:val="19"/>
        </w:numPr>
        <w:jc w:val="both"/>
        <w:rPr>
          <w:b/>
        </w:rPr>
      </w:pPr>
      <w:r w:rsidRPr="00327951">
        <w:rPr>
          <w:b/>
        </w:rPr>
        <w:t xml:space="preserve">Ativos de concessão de serviços reconhecidos como ativos no exercício financeiro, incluindo ativos existentes </w:t>
      </w:r>
      <w:proofErr w:type="gramStart"/>
      <w:r w:rsidRPr="00327951">
        <w:rPr>
          <w:b/>
        </w:rPr>
        <w:t>do concedente</w:t>
      </w:r>
      <w:proofErr w:type="gramEnd"/>
      <w:r w:rsidRPr="00327951">
        <w:rPr>
          <w:b/>
        </w:rPr>
        <w:t xml:space="preserve"> reclassificados como ativos da concessão de serviços;</w:t>
      </w:r>
    </w:p>
    <w:p w:rsidR="00530853" w:rsidRPr="00327951" w:rsidRDefault="00530853" w:rsidP="00530853">
      <w:pPr>
        <w:ind w:left="1931"/>
        <w:jc w:val="both"/>
        <w:rPr>
          <w:b/>
        </w:rPr>
      </w:pPr>
    </w:p>
    <w:p w:rsidR="00530853" w:rsidRPr="00327951" w:rsidRDefault="00530853" w:rsidP="00530853">
      <w:pPr>
        <w:numPr>
          <w:ilvl w:val="1"/>
          <w:numId w:val="19"/>
        </w:numPr>
        <w:jc w:val="both"/>
        <w:rPr>
          <w:b/>
        </w:rPr>
      </w:pPr>
      <w:r w:rsidRPr="00327951">
        <w:rPr>
          <w:b/>
        </w:rPr>
        <w:t>Direitos de recebimento de ativos específicos ao final do acordo de concessão de serviços;</w:t>
      </w:r>
    </w:p>
    <w:p w:rsidR="00530853" w:rsidRPr="00327951" w:rsidRDefault="00530853" w:rsidP="00530853">
      <w:pPr>
        <w:ind w:left="1931"/>
        <w:jc w:val="both"/>
        <w:rPr>
          <w:b/>
        </w:rPr>
      </w:pPr>
    </w:p>
    <w:p w:rsidR="00530853" w:rsidRPr="00327951" w:rsidRDefault="00530853" w:rsidP="00530853">
      <w:pPr>
        <w:numPr>
          <w:ilvl w:val="1"/>
          <w:numId w:val="19"/>
        </w:numPr>
        <w:jc w:val="both"/>
        <w:rPr>
          <w:b/>
        </w:rPr>
      </w:pPr>
      <w:r w:rsidRPr="00327951">
        <w:rPr>
          <w:b/>
        </w:rPr>
        <w:t>Opções de renovação e conclusão do acordo de concessão de serviços;</w:t>
      </w:r>
    </w:p>
    <w:p w:rsidR="00530853" w:rsidRPr="00327951" w:rsidRDefault="00530853" w:rsidP="00530853">
      <w:pPr>
        <w:ind w:left="1931"/>
        <w:jc w:val="both"/>
        <w:rPr>
          <w:b/>
        </w:rPr>
      </w:pPr>
    </w:p>
    <w:p w:rsidR="00530853" w:rsidRPr="00327951" w:rsidRDefault="00530853" w:rsidP="00530853">
      <w:pPr>
        <w:numPr>
          <w:ilvl w:val="1"/>
          <w:numId w:val="19"/>
        </w:numPr>
        <w:jc w:val="both"/>
        <w:rPr>
          <w:b/>
        </w:rPr>
      </w:pPr>
      <w:r w:rsidRPr="00327951">
        <w:rPr>
          <w:b/>
        </w:rPr>
        <w:t xml:space="preserve">Outros direitos e obrigações (ex. reparação geral dos ativos da concessão de serviços); </w:t>
      </w:r>
      <w:proofErr w:type="gramStart"/>
      <w:r w:rsidRPr="00327951">
        <w:rPr>
          <w:b/>
        </w:rPr>
        <w:t>e</w:t>
      </w:r>
      <w:proofErr w:type="gramEnd"/>
    </w:p>
    <w:p w:rsidR="00530853" w:rsidRPr="00327951" w:rsidRDefault="00530853" w:rsidP="00530853">
      <w:pPr>
        <w:ind w:left="1931"/>
        <w:jc w:val="both"/>
        <w:rPr>
          <w:b/>
        </w:rPr>
      </w:pPr>
    </w:p>
    <w:p w:rsidR="00530853" w:rsidRPr="00327951" w:rsidRDefault="00530853" w:rsidP="00530853">
      <w:pPr>
        <w:numPr>
          <w:ilvl w:val="1"/>
          <w:numId w:val="19"/>
        </w:numPr>
        <w:jc w:val="both"/>
        <w:rPr>
          <w:b/>
        </w:rPr>
      </w:pPr>
      <w:r w:rsidRPr="00327951">
        <w:rPr>
          <w:b/>
        </w:rPr>
        <w:t xml:space="preserve">Obrigações de fornecer ao concessionário </w:t>
      </w:r>
      <w:proofErr w:type="gramStart"/>
      <w:r w:rsidRPr="00327951">
        <w:rPr>
          <w:b/>
        </w:rPr>
        <w:t>acesso</w:t>
      </w:r>
      <w:proofErr w:type="gramEnd"/>
      <w:r w:rsidRPr="00327951">
        <w:rPr>
          <w:b/>
        </w:rPr>
        <w:t xml:space="preserve"> a ativos de concessão de serviços ou outros ativos geradores de </w:t>
      </w:r>
      <w:proofErr w:type="spellStart"/>
      <w:r w:rsidRPr="00327951">
        <w:rPr>
          <w:b/>
        </w:rPr>
        <w:t>VPAs</w:t>
      </w:r>
      <w:proofErr w:type="spellEnd"/>
      <w:r w:rsidRPr="00327951">
        <w:rPr>
          <w:b/>
        </w:rPr>
        <w:t>; e</w:t>
      </w:r>
    </w:p>
    <w:p w:rsidR="00530853" w:rsidRPr="00327951" w:rsidRDefault="00530853" w:rsidP="00825E33">
      <w:pPr>
        <w:ind w:left="502"/>
        <w:jc w:val="both"/>
        <w:rPr>
          <w:b/>
        </w:rPr>
      </w:pPr>
    </w:p>
    <w:p w:rsidR="00530853" w:rsidRPr="00327951" w:rsidRDefault="00530853" w:rsidP="00530853">
      <w:pPr>
        <w:numPr>
          <w:ilvl w:val="0"/>
          <w:numId w:val="19"/>
        </w:numPr>
        <w:jc w:val="both"/>
        <w:rPr>
          <w:b/>
        </w:rPr>
      </w:pPr>
      <w:r w:rsidRPr="00327951">
        <w:rPr>
          <w:b/>
        </w:rPr>
        <w:t>Mudanças no acordo ocorridas durante o exercício financeiro.</w:t>
      </w:r>
    </w:p>
    <w:p w:rsidR="00530853" w:rsidRPr="00327951" w:rsidRDefault="00530853" w:rsidP="00825E33">
      <w:pPr>
        <w:ind w:left="502"/>
        <w:jc w:val="both"/>
        <w:rPr>
          <w:b/>
        </w:rPr>
      </w:pPr>
    </w:p>
    <w:p w:rsidR="00530853" w:rsidRPr="00327951" w:rsidRDefault="00530853" w:rsidP="00530853">
      <w:pPr>
        <w:numPr>
          <w:ilvl w:val="0"/>
          <w:numId w:val="2"/>
        </w:numPr>
        <w:jc w:val="both"/>
      </w:pPr>
      <w:r w:rsidRPr="00327951">
        <w:t xml:space="preserve">As evidenciações exigidas conforme o parágrafo 32 são fornecidas individualmente para cada acordo de concessão de </w:t>
      </w:r>
      <w:proofErr w:type="gramStart"/>
      <w:r w:rsidRPr="00327951">
        <w:t>serviços significativo</w:t>
      </w:r>
      <w:proofErr w:type="gramEnd"/>
      <w:r w:rsidRPr="00327951">
        <w:t>, ou de modo agregado para cada classe de acordo de concessão de serviços. Uma classe é um agrupamento de acordos de concessão de serviços envolvendo serviços de natureza similar (ex. serviços de pedágio, telecomunicações ou de água e esgoto). Esta evidenciação por classe de ativos de concessão de serviços soma-se à por classe de ativo, exigida no parágrafo 13. Por exemplo, para os propósitos do parágrafo 13, um pedágio em uma ponte pode estar agrupado com outras pontes. Para o propósito deste parágrafo, o pedágio na ponte deve estar agrupado com pedágios nas estradas.</w:t>
      </w:r>
    </w:p>
    <w:p w:rsidR="00530853" w:rsidRPr="00327951" w:rsidRDefault="00530853" w:rsidP="00530853">
      <w:pPr>
        <w:jc w:val="both"/>
        <w:rPr>
          <w:b/>
        </w:rPr>
      </w:pPr>
    </w:p>
    <w:p w:rsidR="00530853" w:rsidRPr="00327951" w:rsidRDefault="00530853" w:rsidP="00530853">
      <w:pPr>
        <w:jc w:val="both"/>
        <w:rPr>
          <w:b/>
        </w:rPr>
      </w:pPr>
    </w:p>
    <w:p w:rsidR="00530853" w:rsidRPr="00327951" w:rsidRDefault="00530853" w:rsidP="00530853">
      <w:pPr>
        <w:jc w:val="both"/>
        <w:rPr>
          <w:b/>
        </w:rPr>
      </w:pPr>
      <w:r w:rsidRPr="00327951">
        <w:rPr>
          <w:b/>
        </w:rPr>
        <w:t>Transição</w:t>
      </w:r>
    </w:p>
    <w:p w:rsidR="00530853" w:rsidRPr="00327951" w:rsidRDefault="00530853" w:rsidP="00530853">
      <w:pPr>
        <w:jc w:val="both"/>
        <w:rPr>
          <w:b/>
        </w:rPr>
      </w:pPr>
    </w:p>
    <w:p w:rsidR="00530853" w:rsidRPr="00327951" w:rsidRDefault="00530853" w:rsidP="00530853">
      <w:pPr>
        <w:numPr>
          <w:ilvl w:val="0"/>
          <w:numId w:val="2"/>
        </w:numPr>
        <w:jc w:val="both"/>
        <w:rPr>
          <w:b/>
        </w:rPr>
      </w:pPr>
      <w:r w:rsidRPr="00327951">
        <w:rPr>
          <w:b/>
        </w:rPr>
        <w:t xml:space="preserve">Uma entidade concedente que reconheceu anteriormente o ativo da concessão de serviços e seus passivos, receitas e despesas </w:t>
      </w:r>
      <w:proofErr w:type="gramStart"/>
      <w:r w:rsidRPr="00327951">
        <w:rPr>
          <w:b/>
        </w:rPr>
        <w:t>correlatos</w:t>
      </w:r>
      <w:proofErr w:type="gramEnd"/>
      <w:r w:rsidRPr="00327951">
        <w:rPr>
          <w:b/>
        </w:rPr>
        <w:t xml:space="preserve"> deve aplicar esta Norma retrospectivamente.</w:t>
      </w:r>
    </w:p>
    <w:p w:rsidR="00530853" w:rsidRPr="00327951" w:rsidRDefault="00530853" w:rsidP="00530853">
      <w:pPr>
        <w:ind w:left="502"/>
        <w:jc w:val="both"/>
        <w:rPr>
          <w:b/>
        </w:rPr>
      </w:pPr>
    </w:p>
    <w:p w:rsidR="00530853" w:rsidRPr="00327951" w:rsidRDefault="00530853" w:rsidP="00530853">
      <w:pPr>
        <w:numPr>
          <w:ilvl w:val="0"/>
          <w:numId w:val="2"/>
        </w:numPr>
        <w:jc w:val="both"/>
        <w:rPr>
          <w:b/>
        </w:rPr>
      </w:pPr>
      <w:r w:rsidRPr="00327951">
        <w:rPr>
          <w:b/>
        </w:rPr>
        <w:t xml:space="preserve">Uma entidade concedente que não reconheceu previamente o ativo da concessão de serviços e seus passivos, receitas e despesas correlatos </w:t>
      </w:r>
      <w:proofErr w:type="gramStart"/>
      <w:r w:rsidRPr="00327951">
        <w:rPr>
          <w:b/>
        </w:rPr>
        <w:t>deve</w:t>
      </w:r>
      <w:proofErr w:type="gramEnd"/>
      <w:r w:rsidRPr="00327951">
        <w:rPr>
          <w:b/>
        </w:rPr>
        <w:t>:</w:t>
      </w:r>
    </w:p>
    <w:p w:rsidR="00530853" w:rsidRPr="00327951" w:rsidRDefault="00530853" w:rsidP="00530853">
      <w:pPr>
        <w:ind w:left="502"/>
        <w:jc w:val="both"/>
        <w:rPr>
          <w:b/>
        </w:rPr>
      </w:pPr>
    </w:p>
    <w:p w:rsidR="00530853" w:rsidRPr="00327951" w:rsidRDefault="00530853" w:rsidP="00530853">
      <w:pPr>
        <w:numPr>
          <w:ilvl w:val="0"/>
          <w:numId w:val="20"/>
        </w:numPr>
        <w:jc w:val="both"/>
        <w:rPr>
          <w:b/>
        </w:rPr>
      </w:pPr>
      <w:r w:rsidRPr="00327951">
        <w:rPr>
          <w:b/>
        </w:rPr>
        <w:t xml:space="preserve">Aplicar esta Norma retrospectivamente; </w:t>
      </w:r>
      <w:proofErr w:type="gramStart"/>
      <w:r w:rsidRPr="00327951">
        <w:rPr>
          <w:b/>
        </w:rPr>
        <w:t>ou</w:t>
      </w:r>
      <w:proofErr w:type="gramEnd"/>
    </w:p>
    <w:p w:rsidR="00530853" w:rsidRPr="00327951" w:rsidRDefault="00530853" w:rsidP="00530853">
      <w:pPr>
        <w:ind w:left="1211"/>
        <w:jc w:val="both"/>
        <w:rPr>
          <w:b/>
        </w:rPr>
      </w:pPr>
    </w:p>
    <w:p w:rsidR="00530853" w:rsidRPr="00327951" w:rsidRDefault="00530853" w:rsidP="00530853">
      <w:pPr>
        <w:numPr>
          <w:ilvl w:val="0"/>
          <w:numId w:val="20"/>
        </w:numPr>
        <w:jc w:val="both"/>
        <w:rPr>
          <w:b/>
        </w:rPr>
      </w:pPr>
      <w:r w:rsidRPr="00327951">
        <w:rPr>
          <w:b/>
        </w:rPr>
        <w:t xml:space="preserve">Optar por reconhecer e mensurar ativos de concessão de serviços e passivos correlatos no início do período mais antigo para o qual seja apresentada informação comparativa nos demonstrativos contábeis. </w:t>
      </w:r>
    </w:p>
    <w:p w:rsidR="00530853" w:rsidRPr="00327951" w:rsidRDefault="00530853" w:rsidP="00530853">
      <w:pPr>
        <w:ind w:left="502"/>
        <w:jc w:val="both"/>
        <w:rPr>
          <w:b/>
        </w:rPr>
      </w:pPr>
    </w:p>
    <w:p w:rsidR="00530853" w:rsidRPr="00327951" w:rsidRDefault="00530853" w:rsidP="00530853">
      <w:pPr>
        <w:ind w:left="502"/>
        <w:jc w:val="both"/>
        <w:rPr>
          <w:b/>
        </w:rPr>
      </w:pPr>
      <w:r w:rsidRPr="00327951">
        <w:rPr>
          <w:b/>
        </w:rPr>
        <w:t>Quando a concedente fizer esta opção, deve evidenciar este fato, em conjunto com evidenciações relacionadas à mensuração de outros ativos e passivos.</w:t>
      </w:r>
    </w:p>
    <w:p w:rsidR="00530853" w:rsidRPr="00327951" w:rsidRDefault="00530853" w:rsidP="00530853">
      <w:pPr>
        <w:jc w:val="both"/>
        <w:rPr>
          <w:b/>
        </w:rPr>
      </w:pPr>
    </w:p>
    <w:p w:rsidR="00530853" w:rsidRPr="00327951" w:rsidRDefault="00530853" w:rsidP="00530853">
      <w:pPr>
        <w:jc w:val="both"/>
        <w:rPr>
          <w:b/>
        </w:rPr>
      </w:pPr>
    </w:p>
    <w:p w:rsidR="00530853" w:rsidRPr="00327951" w:rsidRDefault="00530853" w:rsidP="00530853">
      <w:pPr>
        <w:jc w:val="both"/>
        <w:rPr>
          <w:b/>
        </w:rPr>
      </w:pPr>
      <w:r w:rsidRPr="00327951">
        <w:rPr>
          <w:b/>
        </w:rPr>
        <w:t>Data Efetiva</w:t>
      </w:r>
    </w:p>
    <w:p w:rsidR="00530853" w:rsidRPr="00327951" w:rsidRDefault="00530853" w:rsidP="00530853">
      <w:pPr>
        <w:jc w:val="both"/>
        <w:rPr>
          <w:b/>
        </w:rPr>
      </w:pPr>
    </w:p>
    <w:p w:rsidR="00530853" w:rsidRPr="00327951" w:rsidRDefault="00530853" w:rsidP="00530853">
      <w:pPr>
        <w:numPr>
          <w:ilvl w:val="0"/>
          <w:numId w:val="2"/>
        </w:numPr>
        <w:jc w:val="both"/>
      </w:pPr>
      <w:r w:rsidRPr="00327951">
        <w:t xml:space="preserve">Esta Norma deve ser aplicada pelas Entidades do Setor Público a partir de 1º de Janeiro de 2017, salvo na existência de algum normativo em âmbito Nacional que estabeleça prazos específicos – casos em que estes prevalecem. A aplicação antecipada é encorajada. </w:t>
      </w:r>
    </w:p>
    <w:p w:rsidR="00530853" w:rsidRPr="00327951" w:rsidRDefault="00530853" w:rsidP="00530853">
      <w:pPr>
        <w:ind w:left="502"/>
        <w:jc w:val="both"/>
      </w:pPr>
    </w:p>
    <w:p w:rsidR="00DC5396" w:rsidRPr="00327951" w:rsidRDefault="00530853" w:rsidP="00530853">
      <w:pPr>
        <w:numPr>
          <w:ilvl w:val="0"/>
          <w:numId w:val="2"/>
        </w:numPr>
        <w:jc w:val="both"/>
      </w:pPr>
      <w:r w:rsidRPr="00327951">
        <w:t>(</w:t>
      </w:r>
      <w:r w:rsidRPr="00327951">
        <w:rPr>
          <w:i/>
        </w:rPr>
        <w:t>não convergido</w:t>
      </w:r>
      <w:r w:rsidRPr="00327951">
        <w:t>).</w:t>
      </w:r>
    </w:p>
    <w:p w:rsidR="002240B2" w:rsidRDefault="002240B2" w:rsidP="002240B2">
      <w:pPr>
        <w:ind w:left="720"/>
        <w:jc w:val="both"/>
      </w:pPr>
    </w:p>
    <w:p w:rsidR="008555A9" w:rsidRPr="00E749F8" w:rsidRDefault="008555A9" w:rsidP="008555A9">
      <w:pPr>
        <w:jc w:val="both"/>
      </w:pPr>
    </w:p>
    <w:p w:rsidR="008555A9" w:rsidRPr="00E749F8" w:rsidRDefault="008555A9" w:rsidP="008555A9">
      <w:pPr>
        <w:pStyle w:val="Recuodecorpodetexto2"/>
        <w:jc w:val="right"/>
      </w:pPr>
    </w:p>
    <w:p w:rsidR="008555A9" w:rsidRPr="00E749F8" w:rsidRDefault="008555A9" w:rsidP="008555A9">
      <w:pPr>
        <w:pStyle w:val="Recuodecorpodetexto2"/>
        <w:jc w:val="right"/>
      </w:pPr>
      <w:r w:rsidRPr="00E749F8">
        <w:t>Brasília, XX de XXXX de 2016.</w:t>
      </w:r>
    </w:p>
    <w:p w:rsidR="008555A9" w:rsidRPr="00E749F8" w:rsidRDefault="008555A9" w:rsidP="008555A9">
      <w:pPr>
        <w:pStyle w:val="Pr-formataoHTML"/>
        <w:tabs>
          <w:tab w:val="clear" w:pos="916"/>
          <w:tab w:val="left" w:pos="142"/>
          <w:tab w:val="left" w:pos="1418"/>
        </w:tabs>
        <w:autoSpaceDE w:val="0"/>
        <w:autoSpaceDN w:val="0"/>
        <w:jc w:val="both"/>
        <w:rPr>
          <w:rFonts w:ascii="Times New Roman" w:hAnsi="Times New Roman"/>
          <w:sz w:val="24"/>
          <w:szCs w:val="24"/>
        </w:rPr>
      </w:pPr>
    </w:p>
    <w:p w:rsidR="008555A9" w:rsidRPr="00E749F8" w:rsidRDefault="008555A9" w:rsidP="008555A9">
      <w:pPr>
        <w:pStyle w:val="Pr-formataoHTML"/>
        <w:tabs>
          <w:tab w:val="clear" w:pos="916"/>
          <w:tab w:val="left" w:pos="142"/>
          <w:tab w:val="left" w:pos="1418"/>
        </w:tabs>
        <w:autoSpaceDE w:val="0"/>
        <w:autoSpaceDN w:val="0"/>
        <w:jc w:val="center"/>
        <w:rPr>
          <w:rFonts w:ascii="Times New Roman" w:hAnsi="Times New Roman"/>
          <w:sz w:val="24"/>
          <w:szCs w:val="24"/>
        </w:rPr>
      </w:pPr>
    </w:p>
    <w:p w:rsidR="008555A9" w:rsidRPr="00E749F8" w:rsidRDefault="008555A9" w:rsidP="008555A9">
      <w:pPr>
        <w:pStyle w:val="Pr-formataoHTML"/>
        <w:tabs>
          <w:tab w:val="clear" w:pos="916"/>
          <w:tab w:val="left" w:pos="142"/>
          <w:tab w:val="left" w:pos="1418"/>
        </w:tabs>
        <w:autoSpaceDE w:val="0"/>
        <w:autoSpaceDN w:val="0"/>
        <w:jc w:val="center"/>
        <w:rPr>
          <w:rFonts w:ascii="Times New Roman" w:hAnsi="Times New Roman"/>
          <w:sz w:val="24"/>
          <w:szCs w:val="24"/>
        </w:rPr>
      </w:pPr>
    </w:p>
    <w:p w:rsidR="008555A9" w:rsidRPr="00E749F8" w:rsidRDefault="008555A9" w:rsidP="008555A9">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 xml:space="preserve">Contador </w:t>
      </w:r>
      <w:r w:rsidRPr="00E749F8">
        <w:rPr>
          <w:rFonts w:ascii="Times New Roman" w:hAnsi="Times New Roman"/>
          <w:b/>
          <w:sz w:val="24"/>
          <w:szCs w:val="24"/>
        </w:rPr>
        <w:t xml:space="preserve">José </w:t>
      </w:r>
      <w:proofErr w:type="spellStart"/>
      <w:r w:rsidRPr="00E749F8">
        <w:rPr>
          <w:rFonts w:ascii="Times New Roman" w:hAnsi="Times New Roman"/>
          <w:b/>
          <w:sz w:val="24"/>
          <w:szCs w:val="24"/>
        </w:rPr>
        <w:t>Martonio</w:t>
      </w:r>
      <w:proofErr w:type="spellEnd"/>
      <w:r w:rsidRPr="00E749F8">
        <w:rPr>
          <w:rFonts w:ascii="Times New Roman" w:hAnsi="Times New Roman"/>
          <w:b/>
          <w:sz w:val="24"/>
          <w:szCs w:val="24"/>
        </w:rPr>
        <w:t xml:space="preserve"> Alves Coelho</w:t>
      </w:r>
    </w:p>
    <w:p w:rsidR="008555A9" w:rsidRPr="00E749F8" w:rsidRDefault="008555A9" w:rsidP="008555A9">
      <w:pPr>
        <w:pStyle w:val="Pr-formataoHTML"/>
        <w:tabs>
          <w:tab w:val="clear" w:pos="916"/>
          <w:tab w:val="left" w:pos="142"/>
          <w:tab w:val="left" w:pos="1418"/>
        </w:tabs>
        <w:autoSpaceDE w:val="0"/>
        <w:autoSpaceDN w:val="0"/>
        <w:jc w:val="center"/>
        <w:rPr>
          <w:rFonts w:ascii="Times New Roman" w:hAnsi="Times New Roman"/>
          <w:sz w:val="24"/>
          <w:szCs w:val="24"/>
        </w:rPr>
      </w:pPr>
      <w:r w:rsidRPr="00E749F8">
        <w:rPr>
          <w:rFonts w:ascii="Times New Roman" w:hAnsi="Times New Roman"/>
          <w:sz w:val="24"/>
          <w:szCs w:val="24"/>
        </w:rPr>
        <w:t>Presidente</w:t>
      </w:r>
    </w:p>
    <w:p w:rsidR="008555A9" w:rsidRPr="008555A9" w:rsidRDefault="008555A9" w:rsidP="002240B2">
      <w:pPr>
        <w:ind w:left="720"/>
        <w:jc w:val="both"/>
        <w:rPr>
          <w:lang/>
        </w:rPr>
      </w:pPr>
    </w:p>
    <w:p w:rsidR="008555A9" w:rsidRPr="00327951" w:rsidRDefault="008555A9" w:rsidP="002240B2">
      <w:pPr>
        <w:ind w:left="720"/>
        <w:jc w:val="both"/>
      </w:pPr>
    </w:p>
    <w:sectPr w:rsidR="008555A9" w:rsidRPr="00327951" w:rsidSect="00E67045">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C4E" w:rsidRDefault="00516C4E" w:rsidP="00A84E28">
      <w:r>
        <w:separator/>
      </w:r>
    </w:p>
  </w:endnote>
  <w:endnote w:type="continuationSeparator" w:id="0">
    <w:p w:rsidR="00516C4E" w:rsidRDefault="00516C4E" w:rsidP="00A84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C4E" w:rsidRDefault="00516C4E" w:rsidP="00A84E28">
      <w:r>
        <w:separator/>
      </w:r>
    </w:p>
  </w:footnote>
  <w:footnote w:type="continuationSeparator" w:id="0">
    <w:p w:rsidR="00516C4E" w:rsidRDefault="00516C4E" w:rsidP="00A84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EF9"/>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7D6581D"/>
    <w:multiLevelType w:val="hybridMultilevel"/>
    <w:tmpl w:val="0F50BE7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nsid w:val="0CC933E1"/>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6A57C6F"/>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20A63D3B"/>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nsid w:val="27C56873"/>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nsid w:val="32610126"/>
    <w:multiLevelType w:val="hybridMultilevel"/>
    <w:tmpl w:val="B30EBC9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nsid w:val="367B3F4B"/>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3CDF0218"/>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40775427"/>
    <w:multiLevelType w:val="hybridMultilevel"/>
    <w:tmpl w:val="64E8AF7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nsid w:val="42186284"/>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nsid w:val="4D1A2A04"/>
    <w:multiLevelType w:val="hybridMultilevel"/>
    <w:tmpl w:val="0FF23482"/>
    <w:lvl w:ilvl="0" w:tplc="D4D81362">
      <w:start w:val="1"/>
      <w:numFmt w:val="decimal"/>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2D7DC4"/>
    <w:multiLevelType w:val="hybridMultilevel"/>
    <w:tmpl w:val="89004542"/>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56C86FE8"/>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57E70C07"/>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61455CAC"/>
    <w:multiLevelType w:val="hybridMultilevel"/>
    <w:tmpl w:val="89004542"/>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nsid w:val="622F6B7F"/>
    <w:multiLevelType w:val="hybridMultilevel"/>
    <w:tmpl w:val="466CFABA"/>
    <w:lvl w:ilvl="0" w:tplc="D4D81362">
      <w:start w:val="1"/>
      <w:numFmt w:val="decimal"/>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C30B9F"/>
    <w:multiLevelType w:val="hybridMultilevel"/>
    <w:tmpl w:val="0F50BE7C"/>
    <w:lvl w:ilvl="0" w:tplc="F29E302E">
      <w:start w:val="1"/>
      <w:numFmt w:val="lowerLetter"/>
      <w:lvlText w:val="(%1)"/>
      <w:lvlJc w:val="left"/>
      <w:pPr>
        <w:ind w:left="1211" w:hanging="360"/>
      </w:pPr>
      <w:rPr>
        <w:rFonts w:hint="default"/>
      </w:rPr>
    </w:lvl>
    <w:lvl w:ilvl="1" w:tplc="0416001B">
      <w:start w:val="1"/>
      <w:numFmt w:val="lowerRoman"/>
      <w:lvlText w:val="%2."/>
      <w:lvlJc w:val="righ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73FA0314"/>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nsid w:val="75337692"/>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nsid w:val="77B819FE"/>
    <w:multiLevelType w:val="hybridMultilevel"/>
    <w:tmpl w:val="A47CD15A"/>
    <w:lvl w:ilvl="0" w:tplc="F29E302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8"/>
  </w:num>
  <w:num w:numId="2">
    <w:abstractNumId w:val="16"/>
  </w:num>
  <w:num w:numId="3">
    <w:abstractNumId w:val="10"/>
  </w:num>
  <w:num w:numId="4">
    <w:abstractNumId w:val="14"/>
  </w:num>
  <w:num w:numId="5">
    <w:abstractNumId w:val="2"/>
  </w:num>
  <w:num w:numId="6">
    <w:abstractNumId w:val="0"/>
  </w:num>
  <w:num w:numId="7">
    <w:abstractNumId w:val="19"/>
  </w:num>
  <w:num w:numId="8">
    <w:abstractNumId w:val="5"/>
  </w:num>
  <w:num w:numId="9">
    <w:abstractNumId w:val="3"/>
  </w:num>
  <w:num w:numId="10">
    <w:abstractNumId w:val="13"/>
  </w:num>
  <w:num w:numId="11">
    <w:abstractNumId w:val="4"/>
  </w:num>
  <w:num w:numId="12">
    <w:abstractNumId w:val="8"/>
  </w:num>
  <w:num w:numId="13">
    <w:abstractNumId w:val="7"/>
  </w:num>
  <w:num w:numId="14">
    <w:abstractNumId w:val="9"/>
  </w:num>
  <w:num w:numId="15">
    <w:abstractNumId w:val="6"/>
  </w:num>
  <w:num w:numId="16">
    <w:abstractNumId w:val="20"/>
  </w:num>
  <w:num w:numId="17">
    <w:abstractNumId w:val="15"/>
  </w:num>
  <w:num w:numId="18">
    <w:abstractNumId w:val="12"/>
  </w:num>
  <w:num w:numId="19">
    <w:abstractNumId w:val="17"/>
  </w:num>
  <w:num w:numId="20">
    <w:abstractNumId w:val="1"/>
  </w:num>
  <w:num w:numId="2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30A7D"/>
    <w:rsid w:val="00001AB9"/>
    <w:rsid w:val="00002108"/>
    <w:rsid w:val="000028B7"/>
    <w:rsid w:val="00003D95"/>
    <w:rsid w:val="00004DE0"/>
    <w:rsid w:val="000071F7"/>
    <w:rsid w:val="000075C5"/>
    <w:rsid w:val="0000775F"/>
    <w:rsid w:val="000078BD"/>
    <w:rsid w:val="000107F7"/>
    <w:rsid w:val="0001291A"/>
    <w:rsid w:val="00012B2B"/>
    <w:rsid w:val="000135E1"/>
    <w:rsid w:val="000139E2"/>
    <w:rsid w:val="00013FE3"/>
    <w:rsid w:val="000140D9"/>
    <w:rsid w:val="0001482A"/>
    <w:rsid w:val="00014CF8"/>
    <w:rsid w:val="00015ACB"/>
    <w:rsid w:val="00015E2F"/>
    <w:rsid w:val="000169F4"/>
    <w:rsid w:val="00017649"/>
    <w:rsid w:val="00021F79"/>
    <w:rsid w:val="000227F9"/>
    <w:rsid w:val="000227FF"/>
    <w:rsid w:val="00023854"/>
    <w:rsid w:val="00023AF7"/>
    <w:rsid w:val="00023EB2"/>
    <w:rsid w:val="00026127"/>
    <w:rsid w:val="00026613"/>
    <w:rsid w:val="000267D6"/>
    <w:rsid w:val="0003169B"/>
    <w:rsid w:val="000327C6"/>
    <w:rsid w:val="00033379"/>
    <w:rsid w:val="000335EA"/>
    <w:rsid w:val="0003370C"/>
    <w:rsid w:val="000339AC"/>
    <w:rsid w:val="00033ECE"/>
    <w:rsid w:val="00034209"/>
    <w:rsid w:val="00034D0C"/>
    <w:rsid w:val="00036255"/>
    <w:rsid w:val="00036354"/>
    <w:rsid w:val="0003697A"/>
    <w:rsid w:val="00036A51"/>
    <w:rsid w:val="00037747"/>
    <w:rsid w:val="00037F01"/>
    <w:rsid w:val="000401A0"/>
    <w:rsid w:val="00040AB0"/>
    <w:rsid w:val="0004243A"/>
    <w:rsid w:val="000438F4"/>
    <w:rsid w:val="000439C6"/>
    <w:rsid w:val="000446F7"/>
    <w:rsid w:val="00044824"/>
    <w:rsid w:val="00045E04"/>
    <w:rsid w:val="000469EB"/>
    <w:rsid w:val="00047483"/>
    <w:rsid w:val="00047972"/>
    <w:rsid w:val="00050877"/>
    <w:rsid w:val="00050F15"/>
    <w:rsid w:val="00051410"/>
    <w:rsid w:val="00051B16"/>
    <w:rsid w:val="0005223F"/>
    <w:rsid w:val="000526C5"/>
    <w:rsid w:val="00054C0B"/>
    <w:rsid w:val="000557CE"/>
    <w:rsid w:val="000561A6"/>
    <w:rsid w:val="000561DC"/>
    <w:rsid w:val="00056EDC"/>
    <w:rsid w:val="00057957"/>
    <w:rsid w:val="00060142"/>
    <w:rsid w:val="0006069E"/>
    <w:rsid w:val="000610D1"/>
    <w:rsid w:val="00062DF4"/>
    <w:rsid w:val="000634D2"/>
    <w:rsid w:val="0006409B"/>
    <w:rsid w:val="00064FFC"/>
    <w:rsid w:val="000655AD"/>
    <w:rsid w:val="000656E2"/>
    <w:rsid w:val="00066912"/>
    <w:rsid w:val="00070152"/>
    <w:rsid w:val="00070381"/>
    <w:rsid w:val="0007070F"/>
    <w:rsid w:val="00070AC2"/>
    <w:rsid w:val="00072E64"/>
    <w:rsid w:val="00073850"/>
    <w:rsid w:val="00073B5F"/>
    <w:rsid w:val="00073BEE"/>
    <w:rsid w:val="00074685"/>
    <w:rsid w:val="00076FD9"/>
    <w:rsid w:val="0008052D"/>
    <w:rsid w:val="00080587"/>
    <w:rsid w:val="00081626"/>
    <w:rsid w:val="00081F9C"/>
    <w:rsid w:val="0008320C"/>
    <w:rsid w:val="0008340D"/>
    <w:rsid w:val="00083836"/>
    <w:rsid w:val="000842FE"/>
    <w:rsid w:val="00084549"/>
    <w:rsid w:val="000859F7"/>
    <w:rsid w:val="000873D5"/>
    <w:rsid w:val="00087D84"/>
    <w:rsid w:val="00090C05"/>
    <w:rsid w:val="00091697"/>
    <w:rsid w:val="00091F31"/>
    <w:rsid w:val="00093DD4"/>
    <w:rsid w:val="00095DA4"/>
    <w:rsid w:val="00095F9D"/>
    <w:rsid w:val="00096A25"/>
    <w:rsid w:val="00097428"/>
    <w:rsid w:val="000A0A00"/>
    <w:rsid w:val="000A2AB1"/>
    <w:rsid w:val="000A2F92"/>
    <w:rsid w:val="000A352E"/>
    <w:rsid w:val="000A409D"/>
    <w:rsid w:val="000A7D72"/>
    <w:rsid w:val="000B0629"/>
    <w:rsid w:val="000B0F43"/>
    <w:rsid w:val="000B0F9A"/>
    <w:rsid w:val="000B20A1"/>
    <w:rsid w:val="000B2111"/>
    <w:rsid w:val="000B2122"/>
    <w:rsid w:val="000B2678"/>
    <w:rsid w:val="000B28B7"/>
    <w:rsid w:val="000B2CEA"/>
    <w:rsid w:val="000B2EED"/>
    <w:rsid w:val="000B365D"/>
    <w:rsid w:val="000B39E0"/>
    <w:rsid w:val="000B3B29"/>
    <w:rsid w:val="000B4B46"/>
    <w:rsid w:val="000B4DCA"/>
    <w:rsid w:val="000B646F"/>
    <w:rsid w:val="000B65E2"/>
    <w:rsid w:val="000B6861"/>
    <w:rsid w:val="000B6DDF"/>
    <w:rsid w:val="000B74BE"/>
    <w:rsid w:val="000C0B65"/>
    <w:rsid w:val="000C1A5D"/>
    <w:rsid w:val="000C3600"/>
    <w:rsid w:val="000C3AD0"/>
    <w:rsid w:val="000C5E8F"/>
    <w:rsid w:val="000D11A8"/>
    <w:rsid w:val="000D2C8E"/>
    <w:rsid w:val="000D390E"/>
    <w:rsid w:val="000D40B8"/>
    <w:rsid w:val="000D56D6"/>
    <w:rsid w:val="000D5A62"/>
    <w:rsid w:val="000D5B1D"/>
    <w:rsid w:val="000D6B24"/>
    <w:rsid w:val="000D6D63"/>
    <w:rsid w:val="000D79E2"/>
    <w:rsid w:val="000D7C81"/>
    <w:rsid w:val="000D7F83"/>
    <w:rsid w:val="000E0110"/>
    <w:rsid w:val="000E0953"/>
    <w:rsid w:val="000E0D75"/>
    <w:rsid w:val="000E148A"/>
    <w:rsid w:val="000E1848"/>
    <w:rsid w:val="000E19A5"/>
    <w:rsid w:val="000E1E4D"/>
    <w:rsid w:val="000E1FA9"/>
    <w:rsid w:val="000E254C"/>
    <w:rsid w:val="000E2B7E"/>
    <w:rsid w:val="000E4066"/>
    <w:rsid w:val="000E4D80"/>
    <w:rsid w:val="000E5BEF"/>
    <w:rsid w:val="000E5CD4"/>
    <w:rsid w:val="000E6125"/>
    <w:rsid w:val="000E6127"/>
    <w:rsid w:val="000E6841"/>
    <w:rsid w:val="000F0A97"/>
    <w:rsid w:val="000F1916"/>
    <w:rsid w:val="000F2905"/>
    <w:rsid w:val="000F3186"/>
    <w:rsid w:val="000F3A45"/>
    <w:rsid w:val="000F3E90"/>
    <w:rsid w:val="000F41B3"/>
    <w:rsid w:val="000F5115"/>
    <w:rsid w:val="000F5729"/>
    <w:rsid w:val="000F7BFA"/>
    <w:rsid w:val="00101924"/>
    <w:rsid w:val="00101E1F"/>
    <w:rsid w:val="00102362"/>
    <w:rsid w:val="0010302F"/>
    <w:rsid w:val="00103A05"/>
    <w:rsid w:val="00103F1E"/>
    <w:rsid w:val="0010488C"/>
    <w:rsid w:val="0010688E"/>
    <w:rsid w:val="00106DC6"/>
    <w:rsid w:val="00111ACA"/>
    <w:rsid w:val="00111B6C"/>
    <w:rsid w:val="0011215A"/>
    <w:rsid w:val="00112401"/>
    <w:rsid w:val="00112ABD"/>
    <w:rsid w:val="00113232"/>
    <w:rsid w:val="0011473A"/>
    <w:rsid w:val="00114B0B"/>
    <w:rsid w:val="00115837"/>
    <w:rsid w:val="001164F8"/>
    <w:rsid w:val="00116C5D"/>
    <w:rsid w:val="00116D10"/>
    <w:rsid w:val="0011730F"/>
    <w:rsid w:val="00117327"/>
    <w:rsid w:val="001200EC"/>
    <w:rsid w:val="00120663"/>
    <w:rsid w:val="00122EBC"/>
    <w:rsid w:val="00123CA9"/>
    <w:rsid w:val="00123E97"/>
    <w:rsid w:val="001243C4"/>
    <w:rsid w:val="00125203"/>
    <w:rsid w:val="0012526F"/>
    <w:rsid w:val="001257D9"/>
    <w:rsid w:val="001264DE"/>
    <w:rsid w:val="001277E6"/>
    <w:rsid w:val="00127BC4"/>
    <w:rsid w:val="001308BD"/>
    <w:rsid w:val="00131F4D"/>
    <w:rsid w:val="00132844"/>
    <w:rsid w:val="00133529"/>
    <w:rsid w:val="00133F2B"/>
    <w:rsid w:val="00134C44"/>
    <w:rsid w:val="00135236"/>
    <w:rsid w:val="0013610B"/>
    <w:rsid w:val="0013610F"/>
    <w:rsid w:val="00137245"/>
    <w:rsid w:val="0013725A"/>
    <w:rsid w:val="00137712"/>
    <w:rsid w:val="0013785A"/>
    <w:rsid w:val="00140107"/>
    <w:rsid w:val="00140501"/>
    <w:rsid w:val="00140686"/>
    <w:rsid w:val="00140FB4"/>
    <w:rsid w:val="001411B1"/>
    <w:rsid w:val="0014143A"/>
    <w:rsid w:val="00142A2C"/>
    <w:rsid w:val="00142C55"/>
    <w:rsid w:val="00142FA2"/>
    <w:rsid w:val="00142FC4"/>
    <w:rsid w:val="001431D5"/>
    <w:rsid w:val="00143EF2"/>
    <w:rsid w:val="00146FB1"/>
    <w:rsid w:val="00147744"/>
    <w:rsid w:val="00150684"/>
    <w:rsid w:val="00151194"/>
    <w:rsid w:val="00151911"/>
    <w:rsid w:val="00151C74"/>
    <w:rsid w:val="00152966"/>
    <w:rsid w:val="0015380B"/>
    <w:rsid w:val="0015471D"/>
    <w:rsid w:val="00155005"/>
    <w:rsid w:val="00155502"/>
    <w:rsid w:val="0015580F"/>
    <w:rsid w:val="00160364"/>
    <w:rsid w:val="001606FD"/>
    <w:rsid w:val="001607EA"/>
    <w:rsid w:val="001608F1"/>
    <w:rsid w:val="00163A1D"/>
    <w:rsid w:val="00165700"/>
    <w:rsid w:val="0016614D"/>
    <w:rsid w:val="00166C6D"/>
    <w:rsid w:val="00170D01"/>
    <w:rsid w:val="001713F2"/>
    <w:rsid w:val="0017205B"/>
    <w:rsid w:val="001726FE"/>
    <w:rsid w:val="00172AB2"/>
    <w:rsid w:val="0017428F"/>
    <w:rsid w:val="00174841"/>
    <w:rsid w:val="00174E2D"/>
    <w:rsid w:val="00175540"/>
    <w:rsid w:val="00176048"/>
    <w:rsid w:val="00176114"/>
    <w:rsid w:val="00176A1E"/>
    <w:rsid w:val="00177315"/>
    <w:rsid w:val="001775CD"/>
    <w:rsid w:val="0017777B"/>
    <w:rsid w:val="001800F7"/>
    <w:rsid w:val="00181CAF"/>
    <w:rsid w:val="001821B8"/>
    <w:rsid w:val="001824DF"/>
    <w:rsid w:val="001825EB"/>
    <w:rsid w:val="00182F84"/>
    <w:rsid w:val="00185534"/>
    <w:rsid w:val="00185A01"/>
    <w:rsid w:val="00185DCD"/>
    <w:rsid w:val="001868BD"/>
    <w:rsid w:val="00186A38"/>
    <w:rsid w:val="00186B78"/>
    <w:rsid w:val="00187049"/>
    <w:rsid w:val="0018752C"/>
    <w:rsid w:val="00187A1A"/>
    <w:rsid w:val="001902CB"/>
    <w:rsid w:val="00190BA6"/>
    <w:rsid w:val="00191E2E"/>
    <w:rsid w:val="00192F18"/>
    <w:rsid w:val="0019460B"/>
    <w:rsid w:val="00194BB9"/>
    <w:rsid w:val="00194C1B"/>
    <w:rsid w:val="00196B71"/>
    <w:rsid w:val="001A0EBF"/>
    <w:rsid w:val="001A1B6E"/>
    <w:rsid w:val="001A22C2"/>
    <w:rsid w:val="001A2AE9"/>
    <w:rsid w:val="001A3172"/>
    <w:rsid w:val="001A3706"/>
    <w:rsid w:val="001A3F72"/>
    <w:rsid w:val="001A583D"/>
    <w:rsid w:val="001A5F1D"/>
    <w:rsid w:val="001A6D77"/>
    <w:rsid w:val="001A762A"/>
    <w:rsid w:val="001A7B8D"/>
    <w:rsid w:val="001A7BBA"/>
    <w:rsid w:val="001B0E61"/>
    <w:rsid w:val="001B1BD9"/>
    <w:rsid w:val="001B2265"/>
    <w:rsid w:val="001B2505"/>
    <w:rsid w:val="001B2D98"/>
    <w:rsid w:val="001B3817"/>
    <w:rsid w:val="001B3ED2"/>
    <w:rsid w:val="001B5063"/>
    <w:rsid w:val="001B51D2"/>
    <w:rsid w:val="001B5B08"/>
    <w:rsid w:val="001B60D7"/>
    <w:rsid w:val="001B634D"/>
    <w:rsid w:val="001B7566"/>
    <w:rsid w:val="001B7659"/>
    <w:rsid w:val="001B77E4"/>
    <w:rsid w:val="001C34A0"/>
    <w:rsid w:val="001C4048"/>
    <w:rsid w:val="001C40EB"/>
    <w:rsid w:val="001C4D88"/>
    <w:rsid w:val="001C6CDC"/>
    <w:rsid w:val="001D059C"/>
    <w:rsid w:val="001D0A41"/>
    <w:rsid w:val="001D0E81"/>
    <w:rsid w:val="001D10C2"/>
    <w:rsid w:val="001D1485"/>
    <w:rsid w:val="001D38B3"/>
    <w:rsid w:val="001D4388"/>
    <w:rsid w:val="001D6D38"/>
    <w:rsid w:val="001E083E"/>
    <w:rsid w:val="001E0FA8"/>
    <w:rsid w:val="001E143B"/>
    <w:rsid w:val="001E2DFE"/>
    <w:rsid w:val="001E3109"/>
    <w:rsid w:val="001E34FE"/>
    <w:rsid w:val="001E4B63"/>
    <w:rsid w:val="001E5636"/>
    <w:rsid w:val="001E6A9E"/>
    <w:rsid w:val="001F11EE"/>
    <w:rsid w:val="001F151B"/>
    <w:rsid w:val="001F1979"/>
    <w:rsid w:val="001F28B0"/>
    <w:rsid w:val="001F3789"/>
    <w:rsid w:val="001F666E"/>
    <w:rsid w:val="00200112"/>
    <w:rsid w:val="00200377"/>
    <w:rsid w:val="00201A2F"/>
    <w:rsid w:val="00201DF8"/>
    <w:rsid w:val="002024CE"/>
    <w:rsid w:val="00202943"/>
    <w:rsid w:val="002030E8"/>
    <w:rsid w:val="002048B1"/>
    <w:rsid w:val="00205B20"/>
    <w:rsid w:val="00205E7D"/>
    <w:rsid w:val="00206024"/>
    <w:rsid w:val="00207287"/>
    <w:rsid w:val="00207581"/>
    <w:rsid w:val="00207D68"/>
    <w:rsid w:val="00211774"/>
    <w:rsid w:val="00211BB2"/>
    <w:rsid w:val="00213E2C"/>
    <w:rsid w:val="0021474D"/>
    <w:rsid w:val="00215685"/>
    <w:rsid w:val="00215B1A"/>
    <w:rsid w:val="00215F3C"/>
    <w:rsid w:val="00217420"/>
    <w:rsid w:val="00220F0F"/>
    <w:rsid w:val="0022182A"/>
    <w:rsid w:val="00221AB4"/>
    <w:rsid w:val="00222BA7"/>
    <w:rsid w:val="002240B2"/>
    <w:rsid w:val="002244A8"/>
    <w:rsid w:val="0022468A"/>
    <w:rsid w:val="0022547F"/>
    <w:rsid w:val="00225E3A"/>
    <w:rsid w:val="00225EAC"/>
    <w:rsid w:val="00227397"/>
    <w:rsid w:val="0023031E"/>
    <w:rsid w:val="0023096C"/>
    <w:rsid w:val="00230AAE"/>
    <w:rsid w:val="00232CAA"/>
    <w:rsid w:val="00235C59"/>
    <w:rsid w:val="0023603E"/>
    <w:rsid w:val="002363D5"/>
    <w:rsid w:val="00236BE7"/>
    <w:rsid w:val="00237439"/>
    <w:rsid w:val="00240742"/>
    <w:rsid w:val="002431FF"/>
    <w:rsid w:val="00244DE5"/>
    <w:rsid w:val="00246457"/>
    <w:rsid w:val="002475DA"/>
    <w:rsid w:val="00247716"/>
    <w:rsid w:val="00247FEF"/>
    <w:rsid w:val="00251D9D"/>
    <w:rsid w:val="00252191"/>
    <w:rsid w:val="00252939"/>
    <w:rsid w:val="00252AAD"/>
    <w:rsid w:val="00252EDB"/>
    <w:rsid w:val="00253760"/>
    <w:rsid w:val="002541B8"/>
    <w:rsid w:val="002544B4"/>
    <w:rsid w:val="0025470C"/>
    <w:rsid w:val="00254998"/>
    <w:rsid w:val="002567D5"/>
    <w:rsid w:val="00256E73"/>
    <w:rsid w:val="00257111"/>
    <w:rsid w:val="00257452"/>
    <w:rsid w:val="00257494"/>
    <w:rsid w:val="00257E63"/>
    <w:rsid w:val="00261FAB"/>
    <w:rsid w:val="0026207B"/>
    <w:rsid w:val="00262DBF"/>
    <w:rsid w:val="002631E5"/>
    <w:rsid w:val="00263DC4"/>
    <w:rsid w:val="00263F62"/>
    <w:rsid w:val="00264F46"/>
    <w:rsid w:val="00265B3D"/>
    <w:rsid w:val="0026618D"/>
    <w:rsid w:val="00266C90"/>
    <w:rsid w:val="00270444"/>
    <w:rsid w:val="002711CE"/>
    <w:rsid w:val="002724ED"/>
    <w:rsid w:val="002738F5"/>
    <w:rsid w:val="00274477"/>
    <w:rsid w:val="0027540C"/>
    <w:rsid w:val="0027567C"/>
    <w:rsid w:val="00275A0B"/>
    <w:rsid w:val="0027690A"/>
    <w:rsid w:val="0027744F"/>
    <w:rsid w:val="00280042"/>
    <w:rsid w:val="00280225"/>
    <w:rsid w:val="00281112"/>
    <w:rsid w:val="0028196F"/>
    <w:rsid w:val="00281A9B"/>
    <w:rsid w:val="00281B9E"/>
    <w:rsid w:val="00281D3F"/>
    <w:rsid w:val="002829AE"/>
    <w:rsid w:val="00282BC4"/>
    <w:rsid w:val="00282F47"/>
    <w:rsid w:val="00283696"/>
    <w:rsid w:val="00283B1D"/>
    <w:rsid w:val="00283B2D"/>
    <w:rsid w:val="00284CC8"/>
    <w:rsid w:val="00284E0C"/>
    <w:rsid w:val="0028500E"/>
    <w:rsid w:val="0028541A"/>
    <w:rsid w:val="00286F7D"/>
    <w:rsid w:val="00287CBB"/>
    <w:rsid w:val="00287F0B"/>
    <w:rsid w:val="00292208"/>
    <w:rsid w:val="00293689"/>
    <w:rsid w:val="00293FB2"/>
    <w:rsid w:val="00294E41"/>
    <w:rsid w:val="00295B7A"/>
    <w:rsid w:val="00296794"/>
    <w:rsid w:val="0029740C"/>
    <w:rsid w:val="002A03B1"/>
    <w:rsid w:val="002A0A34"/>
    <w:rsid w:val="002A1C3A"/>
    <w:rsid w:val="002A2ADB"/>
    <w:rsid w:val="002A5507"/>
    <w:rsid w:val="002A5AF9"/>
    <w:rsid w:val="002A5F87"/>
    <w:rsid w:val="002A7C42"/>
    <w:rsid w:val="002A7CC4"/>
    <w:rsid w:val="002A7CDC"/>
    <w:rsid w:val="002A7CE8"/>
    <w:rsid w:val="002B0062"/>
    <w:rsid w:val="002B078B"/>
    <w:rsid w:val="002B08C6"/>
    <w:rsid w:val="002B0D36"/>
    <w:rsid w:val="002B16CA"/>
    <w:rsid w:val="002B3127"/>
    <w:rsid w:val="002B4D22"/>
    <w:rsid w:val="002B4ECD"/>
    <w:rsid w:val="002B528D"/>
    <w:rsid w:val="002B55ED"/>
    <w:rsid w:val="002B5A28"/>
    <w:rsid w:val="002B72AD"/>
    <w:rsid w:val="002B757F"/>
    <w:rsid w:val="002B7BA0"/>
    <w:rsid w:val="002C1A4B"/>
    <w:rsid w:val="002C2A91"/>
    <w:rsid w:val="002C6BC7"/>
    <w:rsid w:val="002C6EAD"/>
    <w:rsid w:val="002D08C8"/>
    <w:rsid w:val="002D100F"/>
    <w:rsid w:val="002D182D"/>
    <w:rsid w:val="002D3AC5"/>
    <w:rsid w:val="002D6A23"/>
    <w:rsid w:val="002D6A45"/>
    <w:rsid w:val="002D6C82"/>
    <w:rsid w:val="002E017C"/>
    <w:rsid w:val="002E0396"/>
    <w:rsid w:val="002E08DE"/>
    <w:rsid w:val="002E25A1"/>
    <w:rsid w:val="002E2F8C"/>
    <w:rsid w:val="002E3C01"/>
    <w:rsid w:val="002E5390"/>
    <w:rsid w:val="002E5628"/>
    <w:rsid w:val="002E6934"/>
    <w:rsid w:val="002E6F88"/>
    <w:rsid w:val="002F077C"/>
    <w:rsid w:val="002F0CD8"/>
    <w:rsid w:val="002F1711"/>
    <w:rsid w:val="002F1A7F"/>
    <w:rsid w:val="002F3C96"/>
    <w:rsid w:val="002F5F12"/>
    <w:rsid w:val="002F6769"/>
    <w:rsid w:val="002F728A"/>
    <w:rsid w:val="00300093"/>
    <w:rsid w:val="00300CA8"/>
    <w:rsid w:val="00301F60"/>
    <w:rsid w:val="0030223F"/>
    <w:rsid w:val="00303E71"/>
    <w:rsid w:val="00304125"/>
    <w:rsid w:val="00304207"/>
    <w:rsid w:val="003046C1"/>
    <w:rsid w:val="00304F9C"/>
    <w:rsid w:val="00305C9A"/>
    <w:rsid w:val="00306831"/>
    <w:rsid w:val="00307B38"/>
    <w:rsid w:val="00307BCA"/>
    <w:rsid w:val="00310269"/>
    <w:rsid w:val="0031051B"/>
    <w:rsid w:val="003109C6"/>
    <w:rsid w:val="0031223D"/>
    <w:rsid w:val="00312452"/>
    <w:rsid w:val="003130ED"/>
    <w:rsid w:val="003131E7"/>
    <w:rsid w:val="003138C9"/>
    <w:rsid w:val="0031404F"/>
    <w:rsid w:val="003140A4"/>
    <w:rsid w:val="00314B56"/>
    <w:rsid w:val="00315798"/>
    <w:rsid w:val="0031579C"/>
    <w:rsid w:val="00315E1C"/>
    <w:rsid w:val="0031702C"/>
    <w:rsid w:val="00317CE1"/>
    <w:rsid w:val="00321570"/>
    <w:rsid w:val="003219D2"/>
    <w:rsid w:val="00322314"/>
    <w:rsid w:val="00324D8F"/>
    <w:rsid w:val="00325066"/>
    <w:rsid w:val="00325206"/>
    <w:rsid w:val="00325536"/>
    <w:rsid w:val="00325586"/>
    <w:rsid w:val="00326749"/>
    <w:rsid w:val="00326F64"/>
    <w:rsid w:val="0032702C"/>
    <w:rsid w:val="0032732C"/>
    <w:rsid w:val="0032780D"/>
    <w:rsid w:val="00327951"/>
    <w:rsid w:val="00327BD9"/>
    <w:rsid w:val="0033133C"/>
    <w:rsid w:val="00332AD1"/>
    <w:rsid w:val="00332B5D"/>
    <w:rsid w:val="0033498B"/>
    <w:rsid w:val="003367BA"/>
    <w:rsid w:val="003371B3"/>
    <w:rsid w:val="00337CED"/>
    <w:rsid w:val="00340EB5"/>
    <w:rsid w:val="00343DEB"/>
    <w:rsid w:val="00345A13"/>
    <w:rsid w:val="00346501"/>
    <w:rsid w:val="00346661"/>
    <w:rsid w:val="003466FD"/>
    <w:rsid w:val="0034720F"/>
    <w:rsid w:val="00351C60"/>
    <w:rsid w:val="00352990"/>
    <w:rsid w:val="00352ACB"/>
    <w:rsid w:val="00354BAC"/>
    <w:rsid w:val="00355892"/>
    <w:rsid w:val="00356160"/>
    <w:rsid w:val="00356708"/>
    <w:rsid w:val="003569E9"/>
    <w:rsid w:val="00356DEB"/>
    <w:rsid w:val="00357266"/>
    <w:rsid w:val="00357895"/>
    <w:rsid w:val="003603DB"/>
    <w:rsid w:val="00360617"/>
    <w:rsid w:val="00362ACC"/>
    <w:rsid w:val="00363431"/>
    <w:rsid w:val="0036369D"/>
    <w:rsid w:val="0036415C"/>
    <w:rsid w:val="00364536"/>
    <w:rsid w:val="003661D6"/>
    <w:rsid w:val="00367B58"/>
    <w:rsid w:val="00370012"/>
    <w:rsid w:val="003702A3"/>
    <w:rsid w:val="0037089D"/>
    <w:rsid w:val="00371707"/>
    <w:rsid w:val="00371D33"/>
    <w:rsid w:val="00373AFE"/>
    <w:rsid w:val="00373D20"/>
    <w:rsid w:val="00373FCC"/>
    <w:rsid w:val="003745D5"/>
    <w:rsid w:val="003745EE"/>
    <w:rsid w:val="00374BFF"/>
    <w:rsid w:val="0037539A"/>
    <w:rsid w:val="00375AB4"/>
    <w:rsid w:val="0037729B"/>
    <w:rsid w:val="00377317"/>
    <w:rsid w:val="0038055F"/>
    <w:rsid w:val="00380A02"/>
    <w:rsid w:val="00381037"/>
    <w:rsid w:val="00381930"/>
    <w:rsid w:val="00381C6C"/>
    <w:rsid w:val="00383142"/>
    <w:rsid w:val="003858B9"/>
    <w:rsid w:val="003871C6"/>
    <w:rsid w:val="00387A1C"/>
    <w:rsid w:val="00390848"/>
    <w:rsid w:val="00390912"/>
    <w:rsid w:val="00391C1B"/>
    <w:rsid w:val="00392194"/>
    <w:rsid w:val="00392930"/>
    <w:rsid w:val="00393150"/>
    <w:rsid w:val="0039341C"/>
    <w:rsid w:val="0039363D"/>
    <w:rsid w:val="003939EE"/>
    <w:rsid w:val="00393B6D"/>
    <w:rsid w:val="00393F9F"/>
    <w:rsid w:val="003947D8"/>
    <w:rsid w:val="00394846"/>
    <w:rsid w:val="00395396"/>
    <w:rsid w:val="003959EF"/>
    <w:rsid w:val="00396B7F"/>
    <w:rsid w:val="00396DDF"/>
    <w:rsid w:val="0039729B"/>
    <w:rsid w:val="00397550"/>
    <w:rsid w:val="003A0821"/>
    <w:rsid w:val="003A0AC0"/>
    <w:rsid w:val="003A1604"/>
    <w:rsid w:val="003A16C8"/>
    <w:rsid w:val="003A19BB"/>
    <w:rsid w:val="003A2272"/>
    <w:rsid w:val="003A29C0"/>
    <w:rsid w:val="003A2ED1"/>
    <w:rsid w:val="003A3274"/>
    <w:rsid w:val="003A4487"/>
    <w:rsid w:val="003A5641"/>
    <w:rsid w:val="003A73D8"/>
    <w:rsid w:val="003A7ED8"/>
    <w:rsid w:val="003B0165"/>
    <w:rsid w:val="003B05DB"/>
    <w:rsid w:val="003B275B"/>
    <w:rsid w:val="003B4001"/>
    <w:rsid w:val="003B44B3"/>
    <w:rsid w:val="003B4A80"/>
    <w:rsid w:val="003B5D70"/>
    <w:rsid w:val="003B5E17"/>
    <w:rsid w:val="003B6086"/>
    <w:rsid w:val="003C02FD"/>
    <w:rsid w:val="003C245C"/>
    <w:rsid w:val="003C2E00"/>
    <w:rsid w:val="003C3092"/>
    <w:rsid w:val="003C396D"/>
    <w:rsid w:val="003C3D85"/>
    <w:rsid w:val="003C4D9C"/>
    <w:rsid w:val="003C5244"/>
    <w:rsid w:val="003C599B"/>
    <w:rsid w:val="003C5FFA"/>
    <w:rsid w:val="003C6BB0"/>
    <w:rsid w:val="003C7062"/>
    <w:rsid w:val="003C70B8"/>
    <w:rsid w:val="003D0F65"/>
    <w:rsid w:val="003D13D2"/>
    <w:rsid w:val="003D171B"/>
    <w:rsid w:val="003D1A08"/>
    <w:rsid w:val="003D1CF6"/>
    <w:rsid w:val="003D1EA9"/>
    <w:rsid w:val="003D2A3D"/>
    <w:rsid w:val="003D2DAE"/>
    <w:rsid w:val="003D3770"/>
    <w:rsid w:val="003D428E"/>
    <w:rsid w:val="003D4D34"/>
    <w:rsid w:val="003D51CE"/>
    <w:rsid w:val="003E0524"/>
    <w:rsid w:val="003E09BB"/>
    <w:rsid w:val="003E0E50"/>
    <w:rsid w:val="003E215F"/>
    <w:rsid w:val="003E21EE"/>
    <w:rsid w:val="003E2A2F"/>
    <w:rsid w:val="003E2D5C"/>
    <w:rsid w:val="003E35F6"/>
    <w:rsid w:val="003E3731"/>
    <w:rsid w:val="003E44A3"/>
    <w:rsid w:val="003E44BB"/>
    <w:rsid w:val="003E57E0"/>
    <w:rsid w:val="003E78A9"/>
    <w:rsid w:val="003F18F9"/>
    <w:rsid w:val="003F1974"/>
    <w:rsid w:val="003F28B2"/>
    <w:rsid w:val="003F3694"/>
    <w:rsid w:val="003F3979"/>
    <w:rsid w:val="003F4296"/>
    <w:rsid w:val="003F4E2A"/>
    <w:rsid w:val="003F5186"/>
    <w:rsid w:val="003F5AC2"/>
    <w:rsid w:val="00400180"/>
    <w:rsid w:val="004003FB"/>
    <w:rsid w:val="00400647"/>
    <w:rsid w:val="0040102E"/>
    <w:rsid w:val="00401EFF"/>
    <w:rsid w:val="004022C4"/>
    <w:rsid w:val="004029D3"/>
    <w:rsid w:val="00402A44"/>
    <w:rsid w:val="00404748"/>
    <w:rsid w:val="00406526"/>
    <w:rsid w:val="004065F6"/>
    <w:rsid w:val="00406A78"/>
    <w:rsid w:val="00407850"/>
    <w:rsid w:val="00411EE3"/>
    <w:rsid w:val="00412CBA"/>
    <w:rsid w:val="00413067"/>
    <w:rsid w:val="00413585"/>
    <w:rsid w:val="00413BBC"/>
    <w:rsid w:val="00415C62"/>
    <w:rsid w:val="00415CF7"/>
    <w:rsid w:val="00416845"/>
    <w:rsid w:val="00416D0C"/>
    <w:rsid w:val="00416F5E"/>
    <w:rsid w:val="00417E44"/>
    <w:rsid w:val="00417F4A"/>
    <w:rsid w:val="0042017D"/>
    <w:rsid w:val="004202DE"/>
    <w:rsid w:val="00420B70"/>
    <w:rsid w:val="0042246E"/>
    <w:rsid w:val="0042447D"/>
    <w:rsid w:val="00424887"/>
    <w:rsid w:val="00424F13"/>
    <w:rsid w:val="00425CD1"/>
    <w:rsid w:val="00426C07"/>
    <w:rsid w:val="00426EF1"/>
    <w:rsid w:val="004274E1"/>
    <w:rsid w:val="00427523"/>
    <w:rsid w:val="00427E79"/>
    <w:rsid w:val="004311EB"/>
    <w:rsid w:val="004316A4"/>
    <w:rsid w:val="00432BE2"/>
    <w:rsid w:val="00433039"/>
    <w:rsid w:val="004337C9"/>
    <w:rsid w:val="0043389A"/>
    <w:rsid w:val="00434066"/>
    <w:rsid w:val="00434203"/>
    <w:rsid w:val="0043433A"/>
    <w:rsid w:val="004355FF"/>
    <w:rsid w:val="0043571B"/>
    <w:rsid w:val="0043641C"/>
    <w:rsid w:val="004371FB"/>
    <w:rsid w:val="00440971"/>
    <w:rsid w:val="00440C87"/>
    <w:rsid w:val="004412B7"/>
    <w:rsid w:val="00444115"/>
    <w:rsid w:val="00445A50"/>
    <w:rsid w:val="00447D83"/>
    <w:rsid w:val="00450ED9"/>
    <w:rsid w:val="00451A38"/>
    <w:rsid w:val="00452B10"/>
    <w:rsid w:val="00452D3D"/>
    <w:rsid w:val="00455881"/>
    <w:rsid w:val="00456632"/>
    <w:rsid w:val="00456CC6"/>
    <w:rsid w:val="0045708A"/>
    <w:rsid w:val="00457344"/>
    <w:rsid w:val="00457EAE"/>
    <w:rsid w:val="00461289"/>
    <w:rsid w:val="00461B7F"/>
    <w:rsid w:val="00462745"/>
    <w:rsid w:val="0046293E"/>
    <w:rsid w:val="0046345A"/>
    <w:rsid w:val="00463FB5"/>
    <w:rsid w:val="004643A8"/>
    <w:rsid w:val="00464589"/>
    <w:rsid w:val="0046475A"/>
    <w:rsid w:val="004658D9"/>
    <w:rsid w:val="00467453"/>
    <w:rsid w:val="0046776F"/>
    <w:rsid w:val="00470568"/>
    <w:rsid w:val="00471D05"/>
    <w:rsid w:val="004727D3"/>
    <w:rsid w:val="00472C8E"/>
    <w:rsid w:val="004746E2"/>
    <w:rsid w:val="004750D1"/>
    <w:rsid w:val="00475226"/>
    <w:rsid w:val="00475CF7"/>
    <w:rsid w:val="0047639E"/>
    <w:rsid w:val="004767CE"/>
    <w:rsid w:val="00476DB4"/>
    <w:rsid w:val="00477AFB"/>
    <w:rsid w:val="00480753"/>
    <w:rsid w:val="00480967"/>
    <w:rsid w:val="004823EE"/>
    <w:rsid w:val="00482B85"/>
    <w:rsid w:val="004839F5"/>
    <w:rsid w:val="00483B33"/>
    <w:rsid w:val="0048791E"/>
    <w:rsid w:val="00490072"/>
    <w:rsid w:val="00490344"/>
    <w:rsid w:val="004913D4"/>
    <w:rsid w:val="00491A16"/>
    <w:rsid w:val="00492581"/>
    <w:rsid w:val="004945AC"/>
    <w:rsid w:val="00497B6C"/>
    <w:rsid w:val="00497F5A"/>
    <w:rsid w:val="004A03C6"/>
    <w:rsid w:val="004A1699"/>
    <w:rsid w:val="004A1806"/>
    <w:rsid w:val="004A1CEF"/>
    <w:rsid w:val="004A270D"/>
    <w:rsid w:val="004A2AD8"/>
    <w:rsid w:val="004A2C4A"/>
    <w:rsid w:val="004A345E"/>
    <w:rsid w:val="004A42BE"/>
    <w:rsid w:val="004A43E7"/>
    <w:rsid w:val="004A504B"/>
    <w:rsid w:val="004A56EB"/>
    <w:rsid w:val="004A5AB0"/>
    <w:rsid w:val="004A6262"/>
    <w:rsid w:val="004A63B5"/>
    <w:rsid w:val="004A6598"/>
    <w:rsid w:val="004A6C07"/>
    <w:rsid w:val="004B02B6"/>
    <w:rsid w:val="004B1461"/>
    <w:rsid w:val="004B198A"/>
    <w:rsid w:val="004B1C49"/>
    <w:rsid w:val="004B3279"/>
    <w:rsid w:val="004B4123"/>
    <w:rsid w:val="004B41C3"/>
    <w:rsid w:val="004B4873"/>
    <w:rsid w:val="004B5606"/>
    <w:rsid w:val="004B58AB"/>
    <w:rsid w:val="004B6432"/>
    <w:rsid w:val="004B7B9C"/>
    <w:rsid w:val="004B7BAC"/>
    <w:rsid w:val="004B7C89"/>
    <w:rsid w:val="004C0065"/>
    <w:rsid w:val="004C11D5"/>
    <w:rsid w:val="004C124A"/>
    <w:rsid w:val="004C2012"/>
    <w:rsid w:val="004C23D6"/>
    <w:rsid w:val="004C2A24"/>
    <w:rsid w:val="004C35AC"/>
    <w:rsid w:val="004C4502"/>
    <w:rsid w:val="004C4A09"/>
    <w:rsid w:val="004C6652"/>
    <w:rsid w:val="004C6679"/>
    <w:rsid w:val="004C6683"/>
    <w:rsid w:val="004C6E8F"/>
    <w:rsid w:val="004C77F1"/>
    <w:rsid w:val="004D0445"/>
    <w:rsid w:val="004D22EC"/>
    <w:rsid w:val="004D4064"/>
    <w:rsid w:val="004D4C56"/>
    <w:rsid w:val="004D5646"/>
    <w:rsid w:val="004D5936"/>
    <w:rsid w:val="004D59FB"/>
    <w:rsid w:val="004D678A"/>
    <w:rsid w:val="004D7FB9"/>
    <w:rsid w:val="004E0997"/>
    <w:rsid w:val="004E1603"/>
    <w:rsid w:val="004E1FCA"/>
    <w:rsid w:val="004E1FD7"/>
    <w:rsid w:val="004E3237"/>
    <w:rsid w:val="004E41DA"/>
    <w:rsid w:val="004E496D"/>
    <w:rsid w:val="004E4BA0"/>
    <w:rsid w:val="004E543D"/>
    <w:rsid w:val="004E5773"/>
    <w:rsid w:val="004E5D48"/>
    <w:rsid w:val="004E6CA4"/>
    <w:rsid w:val="004E72AB"/>
    <w:rsid w:val="004E744E"/>
    <w:rsid w:val="004E78B9"/>
    <w:rsid w:val="004F0199"/>
    <w:rsid w:val="004F0C6A"/>
    <w:rsid w:val="004F0F01"/>
    <w:rsid w:val="004F11B0"/>
    <w:rsid w:val="004F2F89"/>
    <w:rsid w:val="004F419B"/>
    <w:rsid w:val="004F49BA"/>
    <w:rsid w:val="004F522A"/>
    <w:rsid w:val="004F52FC"/>
    <w:rsid w:val="004F6884"/>
    <w:rsid w:val="004F6E09"/>
    <w:rsid w:val="004F7497"/>
    <w:rsid w:val="004F7ABB"/>
    <w:rsid w:val="004F7FBC"/>
    <w:rsid w:val="00500112"/>
    <w:rsid w:val="00500677"/>
    <w:rsid w:val="005009D2"/>
    <w:rsid w:val="00500B2E"/>
    <w:rsid w:val="00501530"/>
    <w:rsid w:val="0050166F"/>
    <w:rsid w:val="00501B86"/>
    <w:rsid w:val="00503928"/>
    <w:rsid w:val="00503F8A"/>
    <w:rsid w:val="005041B0"/>
    <w:rsid w:val="00504292"/>
    <w:rsid w:val="005053D9"/>
    <w:rsid w:val="005062D0"/>
    <w:rsid w:val="005073D7"/>
    <w:rsid w:val="00507854"/>
    <w:rsid w:val="00507E7C"/>
    <w:rsid w:val="005107C8"/>
    <w:rsid w:val="00510D10"/>
    <w:rsid w:val="00511CD8"/>
    <w:rsid w:val="00512913"/>
    <w:rsid w:val="00512CA6"/>
    <w:rsid w:val="005130EC"/>
    <w:rsid w:val="00514338"/>
    <w:rsid w:val="0051444D"/>
    <w:rsid w:val="0051467E"/>
    <w:rsid w:val="00515E31"/>
    <w:rsid w:val="00516C4E"/>
    <w:rsid w:val="005170AA"/>
    <w:rsid w:val="0052214C"/>
    <w:rsid w:val="0052233E"/>
    <w:rsid w:val="005226B8"/>
    <w:rsid w:val="005230BF"/>
    <w:rsid w:val="00524085"/>
    <w:rsid w:val="0052592A"/>
    <w:rsid w:val="00527BF3"/>
    <w:rsid w:val="0053045F"/>
    <w:rsid w:val="00530853"/>
    <w:rsid w:val="005309EC"/>
    <w:rsid w:val="005318D9"/>
    <w:rsid w:val="005318FA"/>
    <w:rsid w:val="0053255A"/>
    <w:rsid w:val="00533C52"/>
    <w:rsid w:val="005347D1"/>
    <w:rsid w:val="00534C9A"/>
    <w:rsid w:val="00535B0B"/>
    <w:rsid w:val="00535B3A"/>
    <w:rsid w:val="005360AE"/>
    <w:rsid w:val="0053657C"/>
    <w:rsid w:val="00536639"/>
    <w:rsid w:val="005375C6"/>
    <w:rsid w:val="0054078A"/>
    <w:rsid w:val="00541701"/>
    <w:rsid w:val="0054193C"/>
    <w:rsid w:val="00541DF1"/>
    <w:rsid w:val="00542CA5"/>
    <w:rsid w:val="00543265"/>
    <w:rsid w:val="0054484B"/>
    <w:rsid w:val="005457C7"/>
    <w:rsid w:val="005458FA"/>
    <w:rsid w:val="005468A9"/>
    <w:rsid w:val="00547130"/>
    <w:rsid w:val="00547E55"/>
    <w:rsid w:val="0055029A"/>
    <w:rsid w:val="00551830"/>
    <w:rsid w:val="005518E9"/>
    <w:rsid w:val="005523CA"/>
    <w:rsid w:val="00552613"/>
    <w:rsid w:val="00554F26"/>
    <w:rsid w:val="0055548B"/>
    <w:rsid w:val="005555BE"/>
    <w:rsid w:val="005575E5"/>
    <w:rsid w:val="005578C5"/>
    <w:rsid w:val="00560569"/>
    <w:rsid w:val="00561208"/>
    <w:rsid w:val="0056170E"/>
    <w:rsid w:val="00561979"/>
    <w:rsid w:val="00562FAD"/>
    <w:rsid w:val="00563C5E"/>
    <w:rsid w:val="005640DD"/>
    <w:rsid w:val="00566431"/>
    <w:rsid w:val="005671B4"/>
    <w:rsid w:val="00567DCB"/>
    <w:rsid w:val="0057178E"/>
    <w:rsid w:val="00573119"/>
    <w:rsid w:val="00573A63"/>
    <w:rsid w:val="00575175"/>
    <w:rsid w:val="005773B3"/>
    <w:rsid w:val="005817B7"/>
    <w:rsid w:val="00581B46"/>
    <w:rsid w:val="005829D9"/>
    <w:rsid w:val="0058423F"/>
    <w:rsid w:val="00585812"/>
    <w:rsid w:val="00585934"/>
    <w:rsid w:val="00586C61"/>
    <w:rsid w:val="00586DF6"/>
    <w:rsid w:val="0058710C"/>
    <w:rsid w:val="00587C01"/>
    <w:rsid w:val="005904F0"/>
    <w:rsid w:val="0059051D"/>
    <w:rsid w:val="00590C18"/>
    <w:rsid w:val="005915D5"/>
    <w:rsid w:val="00592B7B"/>
    <w:rsid w:val="00592F1B"/>
    <w:rsid w:val="00595F4E"/>
    <w:rsid w:val="00597034"/>
    <w:rsid w:val="00597576"/>
    <w:rsid w:val="0059791A"/>
    <w:rsid w:val="00597ABC"/>
    <w:rsid w:val="005A2084"/>
    <w:rsid w:val="005A23F6"/>
    <w:rsid w:val="005A3D3C"/>
    <w:rsid w:val="005A3D5A"/>
    <w:rsid w:val="005A3DD0"/>
    <w:rsid w:val="005A4999"/>
    <w:rsid w:val="005A5097"/>
    <w:rsid w:val="005A6136"/>
    <w:rsid w:val="005A61CE"/>
    <w:rsid w:val="005A64F2"/>
    <w:rsid w:val="005A72E0"/>
    <w:rsid w:val="005A7339"/>
    <w:rsid w:val="005A748B"/>
    <w:rsid w:val="005A777B"/>
    <w:rsid w:val="005B0F5A"/>
    <w:rsid w:val="005B1644"/>
    <w:rsid w:val="005B1687"/>
    <w:rsid w:val="005B1786"/>
    <w:rsid w:val="005B3746"/>
    <w:rsid w:val="005B3F74"/>
    <w:rsid w:val="005B403B"/>
    <w:rsid w:val="005B60CB"/>
    <w:rsid w:val="005B6447"/>
    <w:rsid w:val="005B6DD2"/>
    <w:rsid w:val="005B76B9"/>
    <w:rsid w:val="005C03CF"/>
    <w:rsid w:val="005C138D"/>
    <w:rsid w:val="005C13BF"/>
    <w:rsid w:val="005C1C63"/>
    <w:rsid w:val="005C1F2F"/>
    <w:rsid w:val="005C39F3"/>
    <w:rsid w:val="005C3C9F"/>
    <w:rsid w:val="005C41EA"/>
    <w:rsid w:val="005C533F"/>
    <w:rsid w:val="005C5420"/>
    <w:rsid w:val="005C56A5"/>
    <w:rsid w:val="005C5C66"/>
    <w:rsid w:val="005C5E2D"/>
    <w:rsid w:val="005C6556"/>
    <w:rsid w:val="005C66D8"/>
    <w:rsid w:val="005C711E"/>
    <w:rsid w:val="005C73ED"/>
    <w:rsid w:val="005C74D7"/>
    <w:rsid w:val="005C7B0E"/>
    <w:rsid w:val="005D0142"/>
    <w:rsid w:val="005D0C5E"/>
    <w:rsid w:val="005D2011"/>
    <w:rsid w:val="005D248D"/>
    <w:rsid w:val="005D27B9"/>
    <w:rsid w:val="005D3C09"/>
    <w:rsid w:val="005D5E36"/>
    <w:rsid w:val="005D731C"/>
    <w:rsid w:val="005D7892"/>
    <w:rsid w:val="005D7A25"/>
    <w:rsid w:val="005E2389"/>
    <w:rsid w:val="005E2A21"/>
    <w:rsid w:val="005E3DB1"/>
    <w:rsid w:val="005E5B8D"/>
    <w:rsid w:val="005E64D7"/>
    <w:rsid w:val="005E6E77"/>
    <w:rsid w:val="005E72D4"/>
    <w:rsid w:val="005E7326"/>
    <w:rsid w:val="005E739E"/>
    <w:rsid w:val="005F0169"/>
    <w:rsid w:val="005F0876"/>
    <w:rsid w:val="005F127E"/>
    <w:rsid w:val="005F1457"/>
    <w:rsid w:val="005F148C"/>
    <w:rsid w:val="005F179B"/>
    <w:rsid w:val="005F239C"/>
    <w:rsid w:val="005F2B03"/>
    <w:rsid w:val="005F358E"/>
    <w:rsid w:val="005F478D"/>
    <w:rsid w:val="005F4BA9"/>
    <w:rsid w:val="005F5A9E"/>
    <w:rsid w:val="005F61EE"/>
    <w:rsid w:val="005F7AE1"/>
    <w:rsid w:val="0060152F"/>
    <w:rsid w:val="00602129"/>
    <w:rsid w:val="00604B86"/>
    <w:rsid w:val="00604FE9"/>
    <w:rsid w:val="00606E0B"/>
    <w:rsid w:val="00607022"/>
    <w:rsid w:val="0060747D"/>
    <w:rsid w:val="00607548"/>
    <w:rsid w:val="00610311"/>
    <w:rsid w:val="00611225"/>
    <w:rsid w:val="0061141A"/>
    <w:rsid w:val="00612C42"/>
    <w:rsid w:val="006137D6"/>
    <w:rsid w:val="0061433F"/>
    <w:rsid w:val="006143F7"/>
    <w:rsid w:val="00616216"/>
    <w:rsid w:val="00616677"/>
    <w:rsid w:val="00617216"/>
    <w:rsid w:val="00617605"/>
    <w:rsid w:val="0062078A"/>
    <w:rsid w:val="00620E9B"/>
    <w:rsid w:val="006216BB"/>
    <w:rsid w:val="006232BC"/>
    <w:rsid w:val="00623DBA"/>
    <w:rsid w:val="006244BF"/>
    <w:rsid w:val="00624612"/>
    <w:rsid w:val="00624D79"/>
    <w:rsid w:val="006250ED"/>
    <w:rsid w:val="00627C17"/>
    <w:rsid w:val="00634267"/>
    <w:rsid w:val="00635B83"/>
    <w:rsid w:val="00636584"/>
    <w:rsid w:val="0063721E"/>
    <w:rsid w:val="00640D57"/>
    <w:rsid w:val="0064194B"/>
    <w:rsid w:val="0064510D"/>
    <w:rsid w:val="006463DB"/>
    <w:rsid w:val="006465A7"/>
    <w:rsid w:val="00647965"/>
    <w:rsid w:val="00650A99"/>
    <w:rsid w:val="00650ADF"/>
    <w:rsid w:val="0065398B"/>
    <w:rsid w:val="006546A0"/>
    <w:rsid w:val="00654C8A"/>
    <w:rsid w:val="0065501B"/>
    <w:rsid w:val="006561A2"/>
    <w:rsid w:val="00656D80"/>
    <w:rsid w:val="00657E77"/>
    <w:rsid w:val="00661039"/>
    <w:rsid w:val="0066181A"/>
    <w:rsid w:val="00663BA9"/>
    <w:rsid w:val="006651D5"/>
    <w:rsid w:val="0066570F"/>
    <w:rsid w:val="0066647E"/>
    <w:rsid w:val="0066679D"/>
    <w:rsid w:val="0066720C"/>
    <w:rsid w:val="006675C4"/>
    <w:rsid w:val="0067193A"/>
    <w:rsid w:val="00672180"/>
    <w:rsid w:val="0067255E"/>
    <w:rsid w:val="00672C8E"/>
    <w:rsid w:val="006740E5"/>
    <w:rsid w:val="006746D8"/>
    <w:rsid w:val="006755BF"/>
    <w:rsid w:val="006758F4"/>
    <w:rsid w:val="00676078"/>
    <w:rsid w:val="006769DA"/>
    <w:rsid w:val="00680A27"/>
    <w:rsid w:val="006828CD"/>
    <w:rsid w:val="00683A96"/>
    <w:rsid w:val="00683EEB"/>
    <w:rsid w:val="0068413D"/>
    <w:rsid w:val="00684742"/>
    <w:rsid w:val="00684CDB"/>
    <w:rsid w:val="00685307"/>
    <w:rsid w:val="00685CFA"/>
    <w:rsid w:val="006860C1"/>
    <w:rsid w:val="006861F0"/>
    <w:rsid w:val="0068641A"/>
    <w:rsid w:val="00686C46"/>
    <w:rsid w:val="006902B2"/>
    <w:rsid w:val="00690835"/>
    <w:rsid w:val="0069118A"/>
    <w:rsid w:val="00691898"/>
    <w:rsid w:val="00693830"/>
    <w:rsid w:val="00693AE6"/>
    <w:rsid w:val="00693CCE"/>
    <w:rsid w:val="00694C89"/>
    <w:rsid w:val="006964DB"/>
    <w:rsid w:val="00696C6B"/>
    <w:rsid w:val="00697206"/>
    <w:rsid w:val="00697A37"/>
    <w:rsid w:val="006A1682"/>
    <w:rsid w:val="006A3C32"/>
    <w:rsid w:val="006A422B"/>
    <w:rsid w:val="006A497C"/>
    <w:rsid w:val="006A4DD4"/>
    <w:rsid w:val="006A5693"/>
    <w:rsid w:val="006A62BE"/>
    <w:rsid w:val="006A6FBD"/>
    <w:rsid w:val="006A715C"/>
    <w:rsid w:val="006A78BF"/>
    <w:rsid w:val="006B1554"/>
    <w:rsid w:val="006B34AC"/>
    <w:rsid w:val="006B3CD7"/>
    <w:rsid w:val="006B4F6B"/>
    <w:rsid w:val="006B506E"/>
    <w:rsid w:val="006B5720"/>
    <w:rsid w:val="006B72A5"/>
    <w:rsid w:val="006B7427"/>
    <w:rsid w:val="006B75BD"/>
    <w:rsid w:val="006C005C"/>
    <w:rsid w:val="006C0099"/>
    <w:rsid w:val="006C11C5"/>
    <w:rsid w:val="006C223A"/>
    <w:rsid w:val="006C2C0C"/>
    <w:rsid w:val="006C2CD4"/>
    <w:rsid w:val="006C3AEE"/>
    <w:rsid w:val="006C3E7B"/>
    <w:rsid w:val="006C3EA5"/>
    <w:rsid w:val="006C3EEF"/>
    <w:rsid w:val="006C418B"/>
    <w:rsid w:val="006C5AB3"/>
    <w:rsid w:val="006C5B23"/>
    <w:rsid w:val="006C75CB"/>
    <w:rsid w:val="006C7F43"/>
    <w:rsid w:val="006D1084"/>
    <w:rsid w:val="006D1215"/>
    <w:rsid w:val="006D218B"/>
    <w:rsid w:val="006D3AA0"/>
    <w:rsid w:val="006D43B5"/>
    <w:rsid w:val="006D49E7"/>
    <w:rsid w:val="006D4BB3"/>
    <w:rsid w:val="006D690C"/>
    <w:rsid w:val="006D6CF4"/>
    <w:rsid w:val="006E0001"/>
    <w:rsid w:val="006E03D3"/>
    <w:rsid w:val="006E3EB1"/>
    <w:rsid w:val="006E44C7"/>
    <w:rsid w:val="006E4AFA"/>
    <w:rsid w:val="006E584E"/>
    <w:rsid w:val="006E6721"/>
    <w:rsid w:val="006E7346"/>
    <w:rsid w:val="006E7B56"/>
    <w:rsid w:val="006F0DF7"/>
    <w:rsid w:val="006F1A6A"/>
    <w:rsid w:val="006F34F0"/>
    <w:rsid w:val="006F38DD"/>
    <w:rsid w:val="006F3E36"/>
    <w:rsid w:val="006F40E2"/>
    <w:rsid w:val="006F42AF"/>
    <w:rsid w:val="006F4C09"/>
    <w:rsid w:val="006F51BA"/>
    <w:rsid w:val="006F57F4"/>
    <w:rsid w:val="006F6593"/>
    <w:rsid w:val="006F6F2D"/>
    <w:rsid w:val="006F78F9"/>
    <w:rsid w:val="006F7906"/>
    <w:rsid w:val="006F79F6"/>
    <w:rsid w:val="006F7CC4"/>
    <w:rsid w:val="0070033C"/>
    <w:rsid w:val="00700FD4"/>
    <w:rsid w:val="00701C10"/>
    <w:rsid w:val="00702042"/>
    <w:rsid w:val="0070356E"/>
    <w:rsid w:val="007043A4"/>
    <w:rsid w:val="0070486C"/>
    <w:rsid w:val="007058C1"/>
    <w:rsid w:val="0070608B"/>
    <w:rsid w:val="007062C1"/>
    <w:rsid w:val="0070658A"/>
    <w:rsid w:val="00706FDE"/>
    <w:rsid w:val="00707A9E"/>
    <w:rsid w:val="007115A2"/>
    <w:rsid w:val="00711ABC"/>
    <w:rsid w:val="00712059"/>
    <w:rsid w:val="00712BA1"/>
    <w:rsid w:val="00713D5E"/>
    <w:rsid w:val="00714279"/>
    <w:rsid w:val="00715D5E"/>
    <w:rsid w:val="007168AD"/>
    <w:rsid w:val="00717C05"/>
    <w:rsid w:val="00717D2A"/>
    <w:rsid w:val="00717F2D"/>
    <w:rsid w:val="00721035"/>
    <w:rsid w:val="007212E1"/>
    <w:rsid w:val="00722064"/>
    <w:rsid w:val="00723C9D"/>
    <w:rsid w:val="00723D20"/>
    <w:rsid w:val="00724E85"/>
    <w:rsid w:val="007262B1"/>
    <w:rsid w:val="00727024"/>
    <w:rsid w:val="0072730F"/>
    <w:rsid w:val="00727391"/>
    <w:rsid w:val="00727502"/>
    <w:rsid w:val="00727ADF"/>
    <w:rsid w:val="00730EBD"/>
    <w:rsid w:val="00733602"/>
    <w:rsid w:val="00734B15"/>
    <w:rsid w:val="00735102"/>
    <w:rsid w:val="007357DA"/>
    <w:rsid w:val="0073622F"/>
    <w:rsid w:val="00740868"/>
    <w:rsid w:val="007415C8"/>
    <w:rsid w:val="00744601"/>
    <w:rsid w:val="007500BD"/>
    <w:rsid w:val="007504F6"/>
    <w:rsid w:val="007513C0"/>
    <w:rsid w:val="00751B72"/>
    <w:rsid w:val="00752ABC"/>
    <w:rsid w:val="0075300B"/>
    <w:rsid w:val="007533B8"/>
    <w:rsid w:val="00754BF5"/>
    <w:rsid w:val="00755469"/>
    <w:rsid w:val="00756191"/>
    <w:rsid w:val="007562F4"/>
    <w:rsid w:val="00756483"/>
    <w:rsid w:val="007567EB"/>
    <w:rsid w:val="007578CE"/>
    <w:rsid w:val="00757C46"/>
    <w:rsid w:val="00760604"/>
    <w:rsid w:val="007617C5"/>
    <w:rsid w:val="0076220C"/>
    <w:rsid w:val="0076224D"/>
    <w:rsid w:val="007623DF"/>
    <w:rsid w:val="00762513"/>
    <w:rsid w:val="007638A5"/>
    <w:rsid w:val="007638BD"/>
    <w:rsid w:val="00764274"/>
    <w:rsid w:val="00764D5F"/>
    <w:rsid w:val="007653EC"/>
    <w:rsid w:val="0076593E"/>
    <w:rsid w:val="00765C7D"/>
    <w:rsid w:val="00765F0D"/>
    <w:rsid w:val="00765F7E"/>
    <w:rsid w:val="0076733A"/>
    <w:rsid w:val="0077031D"/>
    <w:rsid w:val="00770D21"/>
    <w:rsid w:val="0077259A"/>
    <w:rsid w:val="007727FB"/>
    <w:rsid w:val="00774D54"/>
    <w:rsid w:val="007750E7"/>
    <w:rsid w:val="00776266"/>
    <w:rsid w:val="00776A8F"/>
    <w:rsid w:val="007774FC"/>
    <w:rsid w:val="00777F81"/>
    <w:rsid w:val="00783463"/>
    <w:rsid w:val="00783D03"/>
    <w:rsid w:val="00784F48"/>
    <w:rsid w:val="007859FB"/>
    <w:rsid w:val="00785DE4"/>
    <w:rsid w:val="00787E42"/>
    <w:rsid w:val="00787E4F"/>
    <w:rsid w:val="00787EEB"/>
    <w:rsid w:val="00787F37"/>
    <w:rsid w:val="00790D1C"/>
    <w:rsid w:val="00792487"/>
    <w:rsid w:val="00792617"/>
    <w:rsid w:val="00792A53"/>
    <w:rsid w:val="00792F2A"/>
    <w:rsid w:val="00793532"/>
    <w:rsid w:val="00795639"/>
    <w:rsid w:val="00795875"/>
    <w:rsid w:val="007965DB"/>
    <w:rsid w:val="00797086"/>
    <w:rsid w:val="00797152"/>
    <w:rsid w:val="00797C62"/>
    <w:rsid w:val="00797CEF"/>
    <w:rsid w:val="007A05C2"/>
    <w:rsid w:val="007A0D00"/>
    <w:rsid w:val="007A111C"/>
    <w:rsid w:val="007A3158"/>
    <w:rsid w:val="007A38DE"/>
    <w:rsid w:val="007A4196"/>
    <w:rsid w:val="007A466F"/>
    <w:rsid w:val="007A4A1B"/>
    <w:rsid w:val="007A6719"/>
    <w:rsid w:val="007A6F28"/>
    <w:rsid w:val="007A757D"/>
    <w:rsid w:val="007A7AC1"/>
    <w:rsid w:val="007A7D03"/>
    <w:rsid w:val="007B032C"/>
    <w:rsid w:val="007B068B"/>
    <w:rsid w:val="007B0824"/>
    <w:rsid w:val="007B088E"/>
    <w:rsid w:val="007B0AAC"/>
    <w:rsid w:val="007B1DB6"/>
    <w:rsid w:val="007B1DEC"/>
    <w:rsid w:val="007B38ED"/>
    <w:rsid w:val="007B49DB"/>
    <w:rsid w:val="007B5790"/>
    <w:rsid w:val="007B5C1F"/>
    <w:rsid w:val="007B648E"/>
    <w:rsid w:val="007B68F4"/>
    <w:rsid w:val="007C1EC9"/>
    <w:rsid w:val="007C20B6"/>
    <w:rsid w:val="007C2754"/>
    <w:rsid w:val="007C2A2A"/>
    <w:rsid w:val="007C35EA"/>
    <w:rsid w:val="007C5112"/>
    <w:rsid w:val="007C61AE"/>
    <w:rsid w:val="007D1249"/>
    <w:rsid w:val="007D31BD"/>
    <w:rsid w:val="007D3725"/>
    <w:rsid w:val="007D45AF"/>
    <w:rsid w:val="007D529A"/>
    <w:rsid w:val="007D5551"/>
    <w:rsid w:val="007D748A"/>
    <w:rsid w:val="007D7D72"/>
    <w:rsid w:val="007E0454"/>
    <w:rsid w:val="007E04EF"/>
    <w:rsid w:val="007E0B00"/>
    <w:rsid w:val="007E1AAC"/>
    <w:rsid w:val="007E51CF"/>
    <w:rsid w:val="007E6499"/>
    <w:rsid w:val="007E66FF"/>
    <w:rsid w:val="007E6730"/>
    <w:rsid w:val="007E7064"/>
    <w:rsid w:val="007E7BF0"/>
    <w:rsid w:val="007F0637"/>
    <w:rsid w:val="007F07BE"/>
    <w:rsid w:val="007F16CF"/>
    <w:rsid w:val="007F1E5F"/>
    <w:rsid w:val="007F1F65"/>
    <w:rsid w:val="007F2107"/>
    <w:rsid w:val="007F2E78"/>
    <w:rsid w:val="007F485A"/>
    <w:rsid w:val="007F508A"/>
    <w:rsid w:val="007F5CE6"/>
    <w:rsid w:val="007F6D5A"/>
    <w:rsid w:val="007F6DEF"/>
    <w:rsid w:val="007F77D8"/>
    <w:rsid w:val="00801E4E"/>
    <w:rsid w:val="008025CE"/>
    <w:rsid w:val="008029A9"/>
    <w:rsid w:val="0080627B"/>
    <w:rsid w:val="0080719A"/>
    <w:rsid w:val="008073FB"/>
    <w:rsid w:val="00810A1D"/>
    <w:rsid w:val="00810A60"/>
    <w:rsid w:val="00810CB7"/>
    <w:rsid w:val="00811CD0"/>
    <w:rsid w:val="00811D2D"/>
    <w:rsid w:val="00813770"/>
    <w:rsid w:val="0081465B"/>
    <w:rsid w:val="008156D2"/>
    <w:rsid w:val="008163B6"/>
    <w:rsid w:val="00816671"/>
    <w:rsid w:val="008166BB"/>
    <w:rsid w:val="0081768C"/>
    <w:rsid w:val="008177E1"/>
    <w:rsid w:val="00822B44"/>
    <w:rsid w:val="0082331B"/>
    <w:rsid w:val="00823D8F"/>
    <w:rsid w:val="00825E33"/>
    <w:rsid w:val="0082629B"/>
    <w:rsid w:val="008266F0"/>
    <w:rsid w:val="008277A0"/>
    <w:rsid w:val="008279BA"/>
    <w:rsid w:val="00827BEE"/>
    <w:rsid w:val="00827EC2"/>
    <w:rsid w:val="00830266"/>
    <w:rsid w:val="00832068"/>
    <w:rsid w:val="00834820"/>
    <w:rsid w:val="008348EA"/>
    <w:rsid w:val="008360E9"/>
    <w:rsid w:val="00836B04"/>
    <w:rsid w:val="008378AC"/>
    <w:rsid w:val="00840455"/>
    <w:rsid w:val="00840893"/>
    <w:rsid w:val="00840F65"/>
    <w:rsid w:val="0084418C"/>
    <w:rsid w:val="008449FC"/>
    <w:rsid w:val="008455B7"/>
    <w:rsid w:val="00845935"/>
    <w:rsid w:val="00845E19"/>
    <w:rsid w:val="0084621A"/>
    <w:rsid w:val="00847C7E"/>
    <w:rsid w:val="0085086F"/>
    <w:rsid w:val="00850BC4"/>
    <w:rsid w:val="00851BEA"/>
    <w:rsid w:val="00851D31"/>
    <w:rsid w:val="00851F9F"/>
    <w:rsid w:val="00852C90"/>
    <w:rsid w:val="008531F7"/>
    <w:rsid w:val="008536D2"/>
    <w:rsid w:val="00853AB6"/>
    <w:rsid w:val="0085468F"/>
    <w:rsid w:val="008555A9"/>
    <w:rsid w:val="00855A89"/>
    <w:rsid w:val="00856EAD"/>
    <w:rsid w:val="008578A2"/>
    <w:rsid w:val="00860064"/>
    <w:rsid w:val="00860525"/>
    <w:rsid w:val="00860B8A"/>
    <w:rsid w:val="00860F77"/>
    <w:rsid w:val="008614B9"/>
    <w:rsid w:val="00862ABB"/>
    <w:rsid w:val="008632FE"/>
    <w:rsid w:val="008649CD"/>
    <w:rsid w:val="0086525F"/>
    <w:rsid w:val="0086712B"/>
    <w:rsid w:val="008677A6"/>
    <w:rsid w:val="00867DFC"/>
    <w:rsid w:val="008708EF"/>
    <w:rsid w:val="00871323"/>
    <w:rsid w:val="00871E39"/>
    <w:rsid w:val="00871F3F"/>
    <w:rsid w:val="00873374"/>
    <w:rsid w:val="008755CD"/>
    <w:rsid w:val="00875788"/>
    <w:rsid w:val="00875A6E"/>
    <w:rsid w:val="00876799"/>
    <w:rsid w:val="008768A5"/>
    <w:rsid w:val="00876C5E"/>
    <w:rsid w:val="008771D3"/>
    <w:rsid w:val="00877EC9"/>
    <w:rsid w:val="00877FB4"/>
    <w:rsid w:val="00880834"/>
    <w:rsid w:val="00880A37"/>
    <w:rsid w:val="00880DE7"/>
    <w:rsid w:val="00881BB3"/>
    <w:rsid w:val="008823A7"/>
    <w:rsid w:val="008848BF"/>
    <w:rsid w:val="00886656"/>
    <w:rsid w:val="00886BA8"/>
    <w:rsid w:val="0088708F"/>
    <w:rsid w:val="00887F6A"/>
    <w:rsid w:val="008904FD"/>
    <w:rsid w:val="008905DF"/>
    <w:rsid w:val="0089142A"/>
    <w:rsid w:val="00891845"/>
    <w:rsid w:val="00891B5D"/>
    <w:rsid w:val="00891C28"/>
    <w:rsid w:val="0089209F"/>
    <w:rsid w:val="0089271D"/>
    <w:rsid w:val="008935B0"/>
    <w:rsid w:val="00893DBC"/>
    <w:rsid w:val="0089459F"/>
    <w:rsid w:val="00894E35"/>
    <w:rsid w:val="008961BB"/>
    <w:rsid w:val="00896AE0"/>
    <w:rsid w:val="00896C15"/>
    <w:rsid w:val="0089729D"/>
    <w:rsid w:val="00897EF6"/>
    <w:rsid w:val="00897F43"/>
    <w:rsid w:val="008A0795"/>
    <w:rsid w:val="008A1462"/>
    <w:rsid w:val="008A28F9"/>
    <w:rsid w:val="008A2A6E"/>
    <w:rsid w:val="008A4431"/>
    <w:rsid w:val="008A69B1"/>
    <w:rsid w:val="008A7A93"/>
    <w:rsid w:val="008B0782"/>
    <w:rsid w:val="008B0A64"/>
    <w:rsid w:val="008B0E86"/>
    <w:rsid w:val="008B1786"/>
    <w:rsid w:val="008B1F72"/>
    <w:rsid w:val="008B232D"/>
    <w:rsid w:val="008B286A"/>
    <w:rsid w:val="008B2BEC"/>
    <w:rsid w:val="008B41D1"/>
    <w:rsid w:val="008B4E9D"/>
    <w:rsid w:val="008B533D"/>
    <w:rsid w:val="008B541B"/>
    <w:rsid w:val="008B57EE"/>
    <w:rsid w:val="008B5C19"/>
    <w:rsid w:val="008B6117"/>
    <w:rsid w:val="008B6705"/>
    <w:rsid w:val="008B694C"/>
    <w:rsid w:val="008B762E"/>
    <w:rsid w:val="008C0B4D"/>
    <w:rsid w:val="008C1853"/>
    <w:rsid w:val="008C3525"/>
    <w:rsid w:val="008C44DA"/>
    <w:rsid w:val="008C45A6"/>
    <w:rsid w:val="008C5729"/>
    <w:rsid w:val="008C5807"/>
    <w:rsid w:val="008C6097"/>
    <w:rsid w:val="008C6869"/>
    <w:rsid w:val="008C7212"/>
    <w:rsid w:val="008C7987"/>
    <w:rsid w:val="008D0B12"/>
    <w:rsid w:val="008D0E7C"/>
    <w:rsid w:val="008D24FB"/>
    <w:rsid w:val="008D2837"/>
    <w:rsid w:val="008D31E4"/>
    <w:rsid w:val="008D360C"/>
    <w:rsid w:val="008D51A1"/>
    <w:rsid w:val="008D7DAB"/>
    <w:rsid w:val="008E117F"/>
    <w:rsid w:val="008E299D"/>
    <w:rsid w:val="008E2C77"/>
    <w:rsid w:val="008E33E9"/>
    <w:rsid w:val="008E3DA8"/>
    <w:rsid w:val="008E3EB3"/>
    <w:rsid w:val="008E4471"/>
    <w:rsid w:val="008E45A6"/>
    <w:rsid w:val="008E4B99"/>
    <w:rsid w:val="008E523A"/>
    <w:rsid w:val="008E7501"/>
    <w:rsid w:val="008E7CEA"/>
    <w:rsid w:val="008F01C0"/>
    <w:rsid w:val="008F1ACA"/>
    <w:rsid w:val="008F2C53"/>
    <w:rsid w:val="008F2CEC"/>
    <w:rsid w:val="008F310E"/>
    <w:rsid w:val="008F4240"/>
    <w:rsid w:val="008F43AB"/>
    <w:rsid w:val="008F4458"/>
    <w:rsid w:val="008F5C16"/>
    <w:rsid w:val="008F6DB8"/>
    <w:rsid w:val="008F7F42"/>
    <w:rsid w:val="00901C6F"/>
    <w:rsid w:val="00902DFD"/>
    <w:rsid w:val="00902F3F"/>
    <w:rsid w:val="00903403"/>
    <w:rsid w:val="009035D4"/>
    <w:rsid w:val="00904A69"/>
    <w:rsid w:val="009062B9"/>
    <w:rsid w:val="009064A3"/>
    <w:rsid w:val="00906D34"/>
    <w:rsid w:val="00910E43"/>
    <w:rsid w:val="0091207B"/>
    <w:rsid w:val="00912841"/>
    <w:rsid w:val="00913137"/>
    <w:rsid w:val="00913771"/>
    <w:rsid w:val="00913C5F"/>
    <w:rsid w:val="009143DF"/>
    <w:rsid w:val="009159FD"/>
    <w:rsid w:val="00921446"/>
    <w:rsid w:val="009215BF"/>
    <w:rsid w:val="009232B1"/>
    <w:rsid w:val="009235EA"/>
    <w:rsid w:val="00923E1C"/>
    <w:rsid w:val="00924EE9"/>
    <w:rsid w:val="009251D8"/>
    <w:rsid w:val="009277A3"/>
    <w:rsid w:val="00927D71"/>
    <w:rsid w:val="009301EF"/>
    <w:rsid w:val="00931D8F"/>
    <w:rsid w:val="00933197"/>
    <w:rsid w:val="00933D2A"/>
    <w:rsid w:val="00933E71"/>
    <w:rsid w:val="00934501"/>
    <w:rsid w:val="00934586"/>
    <w:rsid w:val="00934C1E"/>
    <w:rsid w:val="00934D1D"/>
    <w:rsid w:val="009350B8"/>
    <w:rsid w:val="00935647"/>
    <w:rsid w:val="00936466"/>
    <w:rsid w:val="00936B36"/>
    <w:rsid w:val="00936D04"/>
    <w:rsid w:val="00936DF2"/>
    <w:rsid w:val="00937366"/>
    <w:rsid w:val="00940885"/>
    <w:rsid w:val="00941AB6"/>
    <w:rsid w:val="00942FEB"/>
    <w:rsid w:val="00945B45"/>
    <w:rsid w:val="009462B5"/>
    <w:rsid w:val="00947A9A"/>
    <w:rsid w:val="00951B38"/>
    <w:rsid w:val="00951F4B"/>
    <w:rsid w:val="00952F42"/>
    <w:rsid w:val="00953FAC"/>
    <w:rsid w:val="0095437A"/>
    <w:rsid w:val="00954946"/>
    <w:rsid w:val="00954C6B"/>
    <w:rsid w:val="00955426"/>
    <w:rsid w:val="009554AF"/>
    <w:rsid w:val="00955A64"/>
    <w:rsid w:val="009571DD"/>
    <w:rsid w:val="00960576"/>
    <w:rsid w:val="00961492"/>
    <w:rsid w:val="009619B9"/>
    <w:rsid w:val="00961E79"/>
    <w:rsid w:val="009639A4"/>
    <w:rsid w:val="00964BFF"/>
    <w:rsid w:val="00965A03"/>
    <w:rsid w:val="00965A79"/>
    <w:rsid w:val="00966BEC"/>
    <w:rsid w:val="00967085"/>
    <w:rsid w:val="0096775D"/>
    <w:rsid w:val="00967CDC"/>
    <w:rsid w:val="009706A0"/>
    <w:rsid w:val="00971356"/>
    <w:rsid w:val="009713DA"/>
    <w:rsid w:val="009729DD"/>
    <w:rsid w:val="00975251"/>
    <w:rsid w:val="009759CD"/>
    <w:rsid w:val="0097690C"/>
    <w:rsid w:val="009770D9"/>
    <w:rsid w:val="0098238B"/>
    <w:rsid w:val="009848F2"/>
    <w:rsid w:val="009900C6"/>
    <w:rsid w:val="009906BA"/>
    <w:rsid w:val="009908DD"/>
    <w:rsid w:val="00991222"/>
    <w:rsid w:val="0099153E"/>
    <w:rsid w:val="00994A21"/>
    <w:rsid w:val="0099644C"/>
    <w:rsid w:val="00996D00"/>
    <w:rsid w:val="00996EAA"/>
    <w:rsid w:val="00997816"/>
    <w:rsid w:val="00997A6D"/>
    <w:rsid w:val="009A06FA"/>
    <w:rsid w:val="009A0B0B"/>
    <w:rsid w:val="009A1320"/>
    <w:rsid w:val="009A1610"/>
    <w:rsid w:val="009A2555"/>
    <w:rsid w:val="009A2FF5"/>
    <w:rsid w:val="009A4B1A"/>
    <w:rsid w:val="009A6BA3"/>
    <w:rsid w:val="009A70A5"/>
    <w:rsid w:val="009A75CE"/>
    <w:rsid w:val="009B1561"/>
    <w:rsid w:val="009B28F0"/>
    <w:rsid w:val="009B422D"/>
    <w:rsid w:val="009B544B"/>
    <w:rsid w:val="009B6047"/>
    <w:rsid w:val="009C0074"/>
    <w:rsid w:val="009C0848"/>
    <w:rsid w:val="009C0BE7"/>
    <w:rsid w:val="009C120C"/>
    <w:rsid w:val="009C13E8"/>
    <w:rsid w:val="009C2093"/>
    <w:rsid w:val="009C227E"/>
    <w:rsid w:val="009C41C0"/>
    <w:rsid w:val="009C45F6"/>
    <w:rsid w:val="009C4677"/>
    <w:rsid w:val="009C4939"/>
    <w:rsid w:val="009C4B02"/>
    <w:rsid w:val="009C4B22"/>
    <w:rsid w:val="009C6554"/>
    <w:rsid w:val="009C68B8"/>
    <w:rsid w:val="009C7214"/>
    <w:rsid w:val="009D0011"/>
    <w:rsid w:val="009D0351"/>
    <w:rsid w:val="009D053E"/>
    <w:rsid w:val="009D144E"/>
    <w:rsid w:val="009D1ACA"/>
    <w:rsid w:val="009D1DB8"/>
    <w:rsid w:val="009D24E9"/>
    <w:rsid w:val="009D2B3F"/>
    <w:rsid w:val="009D4FFA"/>
    <w:rsid w:val="009D550F"/>
    <w:rsid w:val="009D5669"/>
    <w:rsid w:val="009D5C12"/>
    <w:rsid w:val="009D5C82"/>
    <w:rsid w:val="009D69E5"/>
    <w:rsid w:val="009D6AEF"/>
    <w:rsid w:val="009D6C17"/>
    <w:rsid w:val="009D76C1"/>
    <w:rsid w:val="009D7BA4"/>
    <w:rsid w:val="009E021F"/>
    <w:rsid w:val="009E0526"/>
    <w:rsid w:val="009E06EB"/>
    <w:rsid w:val="009E084B"/>
    <w:rsid w:val="009E091A"/>
    <w:rsid w:val="009E130F"/>
    <w:rsid w:val="009E2314"/>
    <w:rsid w:val="009E70A5"/>
    <w:rsid w:val="009F06F0"/>
    <w:rsid w:val="009F225D"/>
    <w:rsid w:val="009F283E"/>
    <w:rsid w:val="009F29B8"/>
    <w:rsid w:val="009F2CB2"/>
    <w:rsid w:val="009F300C"/>
    <w:rsid w:val="009F4465"/>
    <w:rsid w:val="009F4B80"/>
    <w:rsid w:val="009F6365"/>
    <w:rsid w:val="009F72DF"/>
    <w:rsid w:val="00A00226"/>
    <w:rsid w:val="00A00896"/>
    <w:rsid w:val="00A0218E"/>
    <w:rsid w:val="00A03A44"/>
    <w:rsid w:val="00A058A0"/>
    <w:rsid w:val="00A058B3"/>
    <w:rsid w:val="00A063C2"/>
    <w:rsid w:val="00A07D5A"/>
    <w:rsid w:val="00A10121"/>
    <w:rsid w:val="00A10FA8"/>
    <w:rsid w:val="00A11ECB"/>
    <w:rsid w:val="00A12699"/>
    <w:rsid w:val="00A14712"/>
    <w:rsid w:val="00A1476F"/>
    <w:rsid w:val="00A156E5"/>
    <w:rsid w:val="00A1654B"/>
    <w:rsid w:val="00A17DDE"/>
    <w:rsid w:val="00A200A9"/>
    <w:rsid w:val="00A2061D"/>
    <w:rsid w:val="00A22634"/>
    <w:rsid w:val="00A22BF8"/>
    <w:rsid w:val="00A22E3F"/>
    <w:rsid w:val="00A2398A"/>
    <w:rsid w:val="00A2423A"/>
    <w:rsid w:val="00A24E21"/>
    <w:rsid w:val="00A26136"/>
    <w:rsid w:val="00A27BCE"/>
    <w:rsid w:val="00A27D70"/>
    <w:rsid w:val="00A3037C"/>
    <w:rsid w:val="00A305B9"/>
    <w:rsid w:val="00A31662"/>
    <w:rsid w:val="00A3244E"/>
    <w:rsid w:val="00A32E07"/>
    <w:rsid w:val="00A33830"/>
    <w:rsid w:val="00A33C43"/>
    <w:rsid w:val="00A340E8"/>
    <w:rsid w:val="00A34802"/>
    <w:rsid w:val="00A34D8F"/>
    <w:rsid w:val="00A3561C"/>
    <w:rsid w:val="00A36A11"/>
    <w:rsid w:val="00A36D0A"/>
    <w:rsid w:val="00A3757B"/>
    <w:rsid w:val="00A37E12"/>
    <w:rsid w:val="00A416EF"/>
    <w:rsid w:val="00A43CC4"/>
    <w:rsid w:val="00A45251"/>
    <w:rsid w:val="00A46181"/>
    <w:rsid w:val="00A46637"/>
    <w:rsid w:val="00A50DC8"/>
    <w:rsid w:val="00A511F5"/>
    <w:rsid w:val="00A5190E"/>
    <w:rsid w:val="00A51BAB"/>
    <w:rsid w:val="00A5243A"/>
    <w:rsid w:val="00A535CC"/>
    <w:rsid w:val="00A53C50"/>
    <w:rsid w:val="00A54093"/>
    <w:rsid w:val="00A55544"/>
    <w:rsid w:val="00A5649B"/>
    <w:rsid w:val="00A577E8"/>
    <w:rsid w:val="00A57ECB"/>
    <w:rsid w:val="00A60EE8"/>
    <w:rsid w:val="00A61FAB"/>
    <w:rsid w:val="00A623EB"/>
    <w:rsid w:val="00A627D4"/>
    <w:rsid w:val="00A63FDD"/>
    <w:rsid w:val="00A64F8D"/>
    <w:rsid w:val="00A6689A"/>
    <w:rsid w:val="00A66BD8"/>
    <w:rsid w:val="00A674BD"/>
    <w:rsid w:val="00A70857"/>
    <w:rsid w:val="00A70FD6"/>
    <w:rsid w:val="00A71496"/>
    <w:rsid w:val="00A73A4C"/>
    <w:rsid w:val="00A74CB9"/>
    <w:rsid w:val="00A76017"/>
    <w:rsid w:val="00A763F5"/>
    <w:rsid w:val="00A76752"/>
    <w:rsid w:val="00A825F6"/>
    <w:rsid w:val="00A82D28"/>
    <w:rsid w:val="00A83B38"/>
    <w:rsid w:val="00A845D5"/>
    <w:rsid w:val="00A84E28"/>
    <w:rsid w:val="00A85615"/>
    <w:rsid w:val="00A8646B"/>
    <w:rsid w:val="00A86661"/>
    <w:rsid w:val="00A86D74"/>
    <w:rsid w:val="00A87081"/>
    <w:rsid w:val="00A870B7"/>
    <w:rsid w:val="00A904CF"/>
    <w:rsid w:val="00A919A9"/>
    <w:rsid w:val="00A92337"/>
    <w:rsid w:val="00A926D5"/>
    <w:rsid w:val="00A92844"/>
    <w:rsid w:val="00A941CC"/>
    <w:rsid w:val="00A9453F"/>
    <w:rsid w:val="00A946A4"/>
    <w:rsid w:val="00A964A6"/>
    <w:rsid w:val="00A9657B"/>
    <w:rsid w:val="00A973DA"/>
    <w:rsid w:val="00A97C3F"/>
    <w:rsid w:val="00AA0DF7"/>
    <w:rsid w:val="00AA14DB"/>
    <w:rsid w:val="00AA34B5"/>
    <w:rsid w:val="00AA42D1"/>
    <w:rsid w:val="00AA43F7"/>
    <w:rsid w:val="00AA4C18"/>
    <w:rsid w:val="00AA4C6C"/>
    <w:rsid w:val="00AA5008"/>
    <w:rsid w:val="00AA69D4"/>
    <w:rsid w:val="00AA761B"/>
    <w:rsid w:val="00AA77B5"/>
    <w:rsid w:val="00AA7E71"/>
    <w:rsid w:val="00AB22AC"/>
    <w:rsid w:val="00AB2879"/>
    <w:rsid w:val="00AB3114"/>
    <w:rsid w:val="00AB3459"/>
    <w:rsid w:val="00AB44C4"/>
    <w:rsid w:val="00AB5237"/>
    <w:rsid w:val="00AB6C53"/>
    <w:rsid w:val="00AB72D4"/>
    <w:rsid w:val="00AC06D6"/>
    <w:rsid w:val="00AC4E44"/>
    <w:rsid w:val="00AC5C58"/>
    <w:rsid w:val="00AC6E75"/>
    <w:rsid w:val="00AC78C5"/>
    <w:rsid w:val="00AD045F"/>
    <w:rsid w:val="00AD089C"/>
    <w:rsid w:val="00AD1346"/>
    <w:rsid w:val="00AD1E0E"/>
    <w:rsid w:val="00AD1F24"/>
    <w:rsid w:val="00AD28B1"/>
    <w:rsid w:val="00AD41E5"/>
    <w:rsid w:val="00AD42D1"/>
    <w:rsid w:val="00AD4B05"/>
    <w:rsid w:val="00AD524D"/>
    <w:rsid w:val="00AD5C68"/>
    <w:rsid w:val="00AD67FC"/>
    <w:rsid w:val="00AD75EB"/>
    <w:rsid w:val="00AD776F"/>
    <w:rsid w:val="00AD7B91"/>
    <w:rsid w:val="00AE06FA"/>
    <w:rsid w:val="00AE0DA7"/>
    <w:rsid w:val="00AE12BD"/>
    <w:rsid w:val="00AE1C57"/>
    <w:rsid w:val="00AE23AE"/>
    <w:rsid w:val="00AE316D"/>
    <w:rsid w:val="00AE6AD0"/>
    <w:rsid w:val="00AE6AE4"/>
    <w:rsid w:val="00AE7EE7"/>
    <w:rsid w:val="00AF0B7C"/>
    <w:rsid w:val="00AF0BC2"/>
    <w:rsid w:val="00AF0BCC"/>
    <w:rsid w:val="00AF1E05"/>
    <w:rsid w:val="00AF3803"/>
    <w:rsid w:val="00AF3AB2"/>
    <w:rsid w:val="00AF480B"/>
    <w:rsid w:val="00AF4FB7"/>
    <w:rsid w:val="00AF7463"/>
    <w:rsid w:val="00AF7CBE"/>
    <w:rsid w:val="00B01414"/>
    <w:rsid w:val="00B031E6"/>
    <w:rsid w:val="00B03C50"/>
    <w:rsid w:val="00B04933"/>
    <w:rsid w:val="00B055C4"/>
    <w:rsid w:val="00B0565C"/>
    <w:rsid w:val="00B05B9E"/>
    <w:rsid w:val="00B05FD4"/>
    <w:rsid w:val="00B0640D"/>
    <w:rsid w:val="00B11F8A"/>
    <w:rsid w:val="00B1362D"/>
    <w:rsid w:val="00B13A9A"/>
    <w:rsid w:val="00B13CDC"/>
    <w:rsid w:val="00B1731B"/>
    <w:rsid w:val="00B17328"/>
    <w:rsid w:val="00B21BA1"/>
    <w:rsid w:val="00B21DC2"/>
    <w:rsid w:val="00B22DAF"/>
    <w:rsid w:val="00B236C8"/>
    <w:rsid w:val="00B238F3"/>
    <w:rsid w:val="00B23C57"/>
    <w:rsid w:val="00B2414A"/>
    <w:rsid w:val="00B24C52"/>
    <w:rsid w:val="00B24E6D"/>
    <w:rsid w:val="00B252C2"/>
    <w:rsid w:val="00B26D0B"/>
    <w:rsid w:val="00B30758"/>
    <w:rsid w:val="00B30A7D"/>
    <w:rsid w:val="00B30AF5"/>
    <w:rsid w:val="00B30BB0"/>
    <w:rsid w:val="00B31DCD"/>
    <w:rsid w:val="00B321CB"/>
    <w:rsid w:val="00B33010"/>
    <w:rsid w:val="00B33AC7"/>
    <w:rsid w:val="00B33ADA"/>
    <w:rsid w:val="00B33C5C"/>
    <w:rsid w:val="00B34CA9"/>
    <w:rsid w:val="00B34ED7"/>
    <w:rsid w:val="00B35377"/>
    <w:rsid w:val="00B354DB"/>
    <w:rsid w:val="00B35EB6"/>
    <w:rsid w:val="00B360ED"/>
    <w:rsid w:val="00B36E96"/>
    <w:rsid w:val="00B37BBB"/>
    <w:rsid w:val="00B403B9"/>
    <w:rsid w:val="00B41082"/>
    <w:rsid w:val="00B4117A"/>
    <w:rsid w:val="00B416AF"/>
    <w:rsid w:val="00B434E9"/>
    <w:rsid w:val="00B44BFC"/>
    <w:rsid w:val="00B44DBE"/>
    <w:rsid w:val="00B4768D"/>
    <w:rsid w:val="00B50811"/>
    <w:rsid w:val="00B53068"/>
    <w:rsid w:val="00B53B0E"/>
    <w:rsid w:val="00B5412D"/>
    <w:rsid w:val="00B555B9"/>
    <w:rsid w:val="00B5651A"/>
    <w:rsid w:val="00B56672"/>
    <w:rsid w:val="00B61ABB"/>
    <w:rsid w:val="00B638E2"/>
    <w:rsid w:val="00B67CCC"/>
    <w:rsid w:val="00B67D0F"/>
    <w:rsid w:val="00B70E63"/>
    <w:rsid w:val="00B70F2A"/>
    <w:rsid w:val="00B73522"/>
    <w:rsid w:val="00B74322"/>
    <w:rsid w:val="00B748ED"/>
    <w:rsid w:val="00B761D7"/>
    <w:rsid w:val="00B762FE"/>
    <w:rsid w:val="00B81DC8"/>
    <w:rsid w:val="00B81E2D"/>
    <w:rsid w:val="00B820D2"/>
    <w:rsid w:val="00B823C1"/>
    <w:rsid w:val="00B8411B"/>
    <w:rsid w:val="00B841AB"/>
    <w:rsid w:val="00B863E4"/>
    <w:rsid w:val="00B87796"/>
    <w:rsid w:val="00B8782A"/>
    <w:rsid w:val="00B87AE1"/>
    <w:rsid w:val="00B9011D"/>
    <w:rsid w:val="00B90319"/>
    <w:rsid w:val="00B905D7"/>
    <w:rsid w:val="00B913E4"/>
    <w:rsid w:val="00B91DD0"/>
    <w:rsid w:val="00B92130"/>
    <w:rsid w:val="00B94265"/>
    <w:rsid w:val="00B9519B"/>
    <w:rsid w:val="00B96E08"/>
    <w:rsid w:val="00B978D8"/>
    <w:rsid w:val="00B97C99"/>
    <w:rsid w:val="00B97EB3"/>
    <w:rsid w:val="00BA0350"/>
    <w:rsid w:val="00BA0F8F"/>
    <w:rsid w:val="00BA1C53"/>
    <w:rsid w:val="00BA27C5"/>
    <w:rsid w:val="00BA3482"/>
    <w:rsid w:val="00BA3532"/>
    <w:rsid w:val="00BA3843"/>
    <w:rsid w:val="00BA39AE"/>
    <w:rsid w:val="00BA7A62"/>
    <w:rsid w:val="00BA7D94"/>
    <w:rsid w:val="00BB016B"/>
    <w:rsid w:val="00BB07E6"/>
    <w:rsid w:val="00BB2365"/>
    <w:rsid w:val="00BB4512"/>
    <w:rsid w:val="00BB45D6"/>
    <w:rsid w:val="00BB4AD3"/>
    <w:rsid w:val="00BB656E"/>
    <w:rsid w:val="00BB65C9"/>
    <w:rsid w:val="00BB7484"/>
    <w:rsid w:val="00BC0410"/>
    <w:rsid w:val="00BC2DF9"/>
    <w:rsid w:val="00BC427D"/>
    <w:rsid w:val="00BC4382"/>
    <w:rsid w:val="00BC49C4"/>
    <w:rsid w:val="00BC4B79"/>
    <w:rsid w:val="00BC5E3F"/>
    <w:rsid w:val="00BC6803"/>
    <w:rsid w:val="00BC6CBA"/>
    <w:rsid w:val="00BD0442"/>
    <w:rsid w:val="00BD1EB9"/>
    <w:rsid w:val="00BD1FB4"/>
    <w:rsid w:val="00BD20CE"/>
    <w:rsid w:val="00BD27C1"/>
    <w:rsid w:val="00BD4CF0"/>
    <w:rsid w:val="00BD6331"/>
    <w:rsid w:val="00BD643C"/>
    <w:rsid w:val="00BD6D7E"/>
    <w:rsid w:val="00BE1793"/>
    <w:rsid w:val="00BE1E49"/>
    <w:rsid w:val="00BE24DD"/>
    <w:rsid w:val="00BE39F8"/>
    <w:rsid w:val="00BE3CFD"/>
    <w:rsid w:val="00BE4267"/>
    <w:rsid w:val="00BE4911"/>
    <w:rsid w:val="00BE4D4E"/>
    <w:rsid w:val="00BE6D99"/>
    <w:rsid w:val="00BF131E"/>
    <w:rsid w:val="00BF2BAA"/>
    <w:rsid w:val="00BF39B1"/>
    <w:rsid w:val="00BF419F"/>
    <w:rsid w:val="00BF467B"/>
    <w:rsid w:val="00BF4D81"/>
    <w:rsid w:val="00BF532F"/>
    <w:rsid w:val="00BF55D3"/>
    <w:rsid w:val="00BF5720"/>
    <w:rsid w:val="00BF5B04"/>
    <w:rsid w:val="00C00DC5"/>
    <w:rsid w:val="00C01C2B"/>
    <w:rsid w:val="00C02643"/>
    <w:rsid w:val="00C04773"/>
    <w:rsid w:val="00C0603B"/>
    <w:rsid w:val="00C06360"/>
    <w:rsid w:val="00C06AE6"/>
    <w:rsid w:val="00C07A41"/>
    <w:rsid w:val="00C07DEE"/>
    <w:rsid w:val="00C10343"/>
    <w:rsid w:val="00C10370"/>
    <w:rsid w:val="00C10408"/>
    <w:rsid w:val="00C11180"/>
    <w:rsid w:val="00C1125F"/>
    <w:rsid w:val="00C12D22"/>
    <w:rsid w:val="00C15F9D"/>
    <w:rsid w:val="00C160F6"/>
    <w:rsid w:val="00C16379"/>
    <w:rsid w:val="00C17084"/>
    <w:rsid w:val="00C17D15"/>
    <w:rsid w:val="00C2007D"/>
    <w:rsid w:val="00C21047"/>
    <w:rsid w:val="00C21A63"/>
    <w:rsid w:val="00C21F74"/>
    <w:rsid w:val="00C2215A"/>
    <w:rsid w:val="00C22992"/>
    <w:rsid w:val="00C233EA"/>
    <w:rsid w:val="00C24518"/>
    <w:rsid w:val="00C25610"/>
    <w:rsid w:val="00C25CA5"/>
    <w:rsid w:val="00C265EF"/>
    <w:rsid w:val="00C2700A"/>
    <w:rsid w:val="00C27629"/>
    <w:rsid w:val="00C31800"/>
    <w:rsid w:val="00C33267"/>
    <w:rsid w:val="00C333D2"/>
    <w:rsid w:val="00C343A1"/>
    <w:rsid w:val="00C35664"/>
    <w:rsid w:val="00C357DE"/>
    <w:rsid w:val="00C364E9"/>
    <w:rsid w:val="00C36C43"/>
    <w:rsid w:val="00C400C7"/>
    <w:rsid w:val="00C40151"/>
    <w:rsid w:val="00C40419"/>
    <w:rsid w:val="00C404C4"/>
    <w:rsid w:val="00C41082"/>
    <w:rsid w:val="00C42967"/>
    <w:rsid w:val="00C43600"/>
    <w:rsid w:val="00C43828"/>
    <w:rsid w:val="00C43917"/>
    <w:rsid w:val="00C43D15"/>
    <w:rsid w:val="00C446C0"/>
    <w:rsid w:val="00C44BAD"/>
    <w:rsid w:val="00C44E14"/>
    <w:rsid w:val="00C45C11"/>
    <w:rsid w:val="00C45D58"/>
    <w:rsid w:val="00C46D34"/>
    <w:rsid w:val="00C46E36"/>
    <w:rsid w:val="00C473D1"/>
    <w:rsid w:val="00C53F46"/>
    <w:rsid w:val="00C5404E"/>
    <w:rsid w:val="00C541F4"/>
    <w:rsid w:val="00C54629"/>
    <w:rsid w:val="00C5469F"/>
    <w:rsid w:val="00C5506F"/>
    <w:rsid w:val="00C576D1"/>
    <w:rsid w:val="00C57B56"/>
    <w:rsid w:val="00C60D18"/>
    <w:rsid w:val="00C614B1"/>
    <w:rsid w:val="00C61689"/>
    <w:rsid w:val="00C61B86"/>
    <w:rsid w:val="00C624B3"/>
    <w:rsid w:val="00C6292A"/>
    <w:rsid w:val="00C63689"/>
    <w:rsid w:val="00C63EA7"/>
    <w:rsid w:val="00C6426A"/>
    <w:rsid w:val="00C655D9"/>
    <w:rsid w:val="00C65977"/>
    <w:rsid w:val="00C661B9"/>
    <w:rsid w:val="00C66A7E"/>
    <w:rsid w:val="00C70D56"/>
    <w:rsid w:val="00C71980"/>
    <w:rsid w:val="00C755B5"/>
    <w:rsid w:val="00C75987"/>
    <w:rsid w:val="00C76BD6"/>
    <w:rsid w:val="00C77AFD"/>
    <w:rsid w:val="00C8017C"/>
    <w:rsid w:val="00C80C3E"/>
    <w:rsid w:val="00C80FC7"/>
    <w:rsid w:val="00C8108F"/>
    <w:rsid w:val="00C814B1"/>
    <w:rsid w:val="00C8201C"/>
    <w:rsid w:val="00C82B45"/>
    <w:rsid w:val="00C831F0"/>
    <w:rsid w:val="00C861B2"/>
    <w:rsid w:val="00C90BAF"/>
    <w:rsid w:val="00C91278"/>
    <w:rsid w:val="00C91522"/>
    <w:rsid w:val="00C91714"/>
    <w:rsid w:val="00C93C99"/>
    <w:rsid w:val="00C93EF4"/>
    <w:rsid w:val="00C9428C"/>
    <w:rsid w:val="00C94E8F"/>
    <w:rsid w:val="00C94F09"/>
    <w:rsid w:val="00C96760"/>
    <w:rsid w:val="00C968ED"/>
    <w:rsid w:val="00C96C81"/>
    <w:rsid w:val="00C97107"/>
    <w:rsid w:val="00C97B3E"/>
    <w:rsid w:val="00CA156E"/>
    <w:rsid w:val="00CA1984"/>
    <w:rsid w:val="00CA2005"/>
    <w:rsid w:val="00CA2912"/>
    <w:rsid w:val="00CA2BD1"/>
    <w:rsid w:val="00CA2FA2"/>
    <w:rsid w:val="00CA4D89"/>
    <w:rsid w:val="00CA5051"/>
    <w:rsid w:val="00CA51AE"/>
    <w:rsid w:val="00CA5A01"/>
    <w:rsid w:val="00CA674E"/>
    <w:rsid w:val="00CA7E3B"/>
    <w:rsid w:val="00CB258C"/>
    <w:rsid w:val="00CB2879"/>
    <w:rsid w:val="00CB2CFA"/>
    <w:rsid w:val="00CB31C7"/>
    <w:rsid w:val="00CB3D44"/>
    <w:rsid w:val="00CB4917"/>
    <w:rsid w:val="00CB51C8"/>
    <w:rsid w:val="00CB5BE9"/>
    <w:rsid w:val="00CB6682"/>
    <w:rsid w:val="00CB7FE3"/>
    <w:rsid w:val="00CC05C9"/>
    <w:rsid w:val="00CC0872"/>
    <w:rsid w:val="00CC0EEB"/>
    <w:rsid w:val="00CC0F10"/>
    <w:rsid w:val="00CC1776"/>
    <w:rsid w:val="00CC17B6"/>
    <w:rsid w:val="00CC37C9"/>
    <w:rsid w:val="00CC479F"/>
    <w:rsid w:val="00CC7E87"/>
    <w:rsid w:val="00CD0AC6"/>
    <w:rsid w:val="00CD1438"/>
    <w:rsid w:val="00CD194D"/>
    <w:rsid w:val="00CD2AB3"/>
    <w:rsid w:val="00CD4B48"/>
    <w:rsid w:val="00CD6B13"/>
    <w:rsid w:val="00CD70CB"/>
    <w:rsid w:val="00CD747C"/>
    <w:rsid w:val="00CE10E1"/>
    <w:rsid w:val="00CE5360"/>
    <w:rsid w:val="00CE5686"/>
    <w:rsid w:val="00CE5940"/>
    <w:rsid w:val="00CE5AB7"/>
    <w:rsid w:val="00CE5D76"/>
    <w:rsid w:val="00CE60C8"/>
    <w:rsid w:val="00CE6C6B"/>
    <w:rsid w:val="00CE72DF"/>
    <w:rsid w:val="00CF0D14"/>
    <w:rsid w:val="00CF1F1B"/>
    <w:rsid w:val="00CF3535"/>
    <w:rsid w:val="00CF44B6"/>
    <w:rsid w:val="00CF47F2"/>
    <w:rsid w:val="00CF49F2"/>
    <w:rsid w:val="00CF50DB"/>
    <w:rsid w:val="00CF5741"/>
    <w:rsid w:val="00CF639D"/>
    <w:rsid w:val="00CF664A"/>
    <w:rsid w:val="00CF6800"/>
    <w:rsid w:val="00CF6E90"/>
    <w:rsid w:val="00CF7BAF"/>
    <w:rsid w:val="00D00803"/>
    <w:rsid w:val="00D01800"/>
    <w:rsid w:val="00D02A60"/>
    <w:rsid w:val="00D02BB4"/>
    <w:rsid w:val="00D03734"/>
    <w:rsid w:val="00D03D33"/>
    <w:rsid w:val="00D05980"/>
    <w:rsid w:val="00D059B9"/>
    <w:rsid w:val="00D060E5"/>
    <w:rsid w:val="00D066F0"/>
    <w:rsid w:val="00D10B3E"/>
    <w:rsid w:val="00D111FB"/>
    <w:rsid w:val="00D1209D"/>
    <w:rsid w:val="00D123DE"/>
    <w:rsid w:val="00D12FE7"/>
    <w:rsid w:val="00D13737"/>
    <w:rsid w:val="00D138C8"/>
    <w:rsid w:val="00D13C84"/>
    <w:rsid w:val="00D14E1A"/>
    <w:rsid w:val="00D16595"/>
    <w:rsid w:val="00D20F02"/>
    <w:rsid w:val="00D21BC1"/>
    <w:rsid w:val="00D223E8"/>
    <w:rsid w:val="00D26099"/>
    <w:rsid w:val="00D27DD5"/>
    <w:rsid w:val="00D303B6"/>
    <w:rsid w:val="00D31315"/>
    <w:rsid w:val="00D318AB"/>
    <w:rsid w:val="00D32320"/>
    <w:rsid w:val="00D329C7"/>
    <w:rsid w:val="00D32E15"/>
    <w:rsid w:val="00D33098"/>
    <w:rsid w:val="00D34EB3"/>
    <w:rsid w:val="00D355EC"/>
    <w:rsid w:val="00D357E5"/>
    <w:rsid w:val="00D35A3C"/>
    <w:rsid w:val="00D362A2"/>
    <w:rsid w:val="00D36700"/>
    <w:rsid w:val="00D42A1C"/>
    <w:rsid w:val="00D43B0F"/>
    <w:rsid w:val="00D445D2"/>
    <w:rsid w:val="00D44983"/>
    <w:rsid w:val="00D44991"/>
    <w:rsid w:val="00D45A39"/>
    <w:rsid w:val="00D45C77"/>
    <w:rsid w:val="00D45F6D"/>
    <w:rsid w:val="00D460A2"/>
    <w:rsid w:val="00D46958"/>
    <w:rsid w:val="00D47DB3"/>
    <w:rsid w:val="00D50059"/>
    <w:rsid w:val="00D530A3"/>
    <w:rsid w:val="00D53297"/>
    <w:rsid w:val="00D534D1"/>
    <w:rsid w:val="00D54DE1"/>
    <w:rsid w:val="00D557F1"/>
    <w:rsid w:val="00D55C4B"/>
    <w:rsid w:val="00D563FB"/>
    <w:rsid w:val="00D5788B"/>
    <w:rsid w:val="00D57FE5"/>
    <w:rsid w:val="00D60751"/>
    <w:rsid w:val="00D61CED"/>
    <w:rsid w:val="00D6201B"/>
    <w:rsid w:val="00D6214A"/>
    <w:rsid w:val="00D655F5"/>
    <w:rsid w:val="00D66395"/>
    <w:rsid w:val="00D675AB"/>
    <w:rsid w:val="00D70270"/>
    <w:rsid w:val="00D70C88"/>
    <w:rsid w:val="00D71234"/>
    <w:rsid w:val="00D72084"/>
    <w:rsid w:val="00D72B2C"/>
    <w:rsid w:val="00D72E60"/>
    <w:rsid w:val="00D7365A"/>
    <w:rsid w:val="00D74161"/>
    <w:rsid w:val="00D74E32"/>
    <w:rsid w:val="00D74E4E"/>
    <w:rsid w:val="00D751B9"/>
    <w:rsid w:val="00D753C4"/>
    <w:rsid w:val="00D764BA"/>
    <w:rsid w:val="00D777B0"/>
    <w:rsid w:val="00D77A7D"/>
    <w:rsid w:val="00D8042A"/>
    <w:rsid w:val="00D8221F"/>
    <w:rsid w:val="00D8276C"/>
    <w:rsid w:val="00D82925"/>
    <w:rsid w:val="00D8333B"/>
    <w:rsid w:val="00D833D3"/>
    <w:rsid w:val="00D83911"/>
    <w:rsid w:val="00D83C6E"/>
    <w:rsid w:val="00D843E3"/>
    <w:rsid w:val="00D85214"/>
    <w:rsid w:val="00D8623A"/>
    <w:rsid w:val="00D86740"/>
    <w:rsid w:val="00D86E86"/>
    <w:rsid w:val="00D8755C"/>
    <w:rsid w:val="00D9099B"/>
    <w:rsid w:val="00D90ABC"/>
    <w:rsid w:val="00D90E4D"/>
    <w:rsid w:val="00D91B9D"/>
    <w:rsid w:val="00D929BD"/>
    <w:rsid w:val="00D92AF4"/>
    <w:rsid w:val="00D93490"/>
    <w:rsid w:val="00D93BBE"/>
    <w:rsid w:val="00D94713"/>
    <w:rsid w:val="00D95543"/>
    <w:rsid w:val="00D95A3F"/>
    <w:rsid w:val="00D9604F"/>
    <w:rsid w:val="00D960C5"/>
    <w:rsid w:val="00D968C1"/>
    <w:rsid w:val="00D975D6"/>
    <w:rsid w:val="00D97929"/>
    <w:rsid w:val="00D97B0C"/>
    <w:rsid w:val="00DA062D"/>
    <w:rsid w:val="00DA1D4B"/>
    <w:rsid w:val="00DA3BE4"/>
    <w:rsid w:val="00DA47E6"/>
    <w:rsid w:val="00DA4EEA"/>
    <w:rsid w:val="00DA63EF"/>
    <w:rsid w:val="00DA6649"/>
    <w:rsid w:val="00DA7248"/>
    <w:rsid w:val="00DB06A3"/>
    <w:rsid w:val="00DB0F49"/>
    <w:rsid w:val="00DB0FB8"/>
    <w:rsid w:val="00DB17D0"/>
    <w:rsid w:val="00DB2301"/>
    <w:rsid w:val="00DB51C9"/>
    <w:rsid w:val="00DB5462"/>
    <w:rsid w:val="00DB5616"/>
    <w:rsid w:val="00DB68FF"/>
    <w:rsid w:val="00DB69A5"/>
    <w:rsid w:val="00DB733B"/>
    <w:rsid w:val="00DB73B3"/>
    <w:rsid w:val="00DB7906"/>
    <w:rsid w:val="00DC0A47"/>
    <w:rsid w:val="00DC0D2E"/>
    <w:rsid w:val="00DC1019"/>
    <w:rsid w:val="00DC1C11"/>
    <w:rsid w:val="00DC3042"/>
    <w:rsid w:val="00DC3C65"/>
    <w:rsid w:val="00DC4A1F"/>
    <w:rsid w:val="00DC5396"/>
    <w:rsid w:val="00DC5A10"/>
    <w:rsid w:val="00DC60F8"/>
    <w:rsid w:val="00DC775D"/>
    <w:rsid w:val="00DD0D5A"/>
    <w:rsid w:val="00DD1457"/>
    <w:rsid w:val="00DD1999"/>
    <w:rsid w:val="00DD31A8"/>
    <w:rsid w:val="00DD35C6"/>
    <w:rsid w:val="00DD37F0"/>
    <w:rsid w:val="00DD48D1"/>
    <w:rsid w:val="00DD551E"/>
    <w:rsid w:val="00DD656C"/>
    <w:rsid w:val="00DD796A"/>
    <w:rsid w:val="00DE0003"/>
    <w:rsid w:val="00DE13E8"/>
    <w:rsid w:val="00DE19D9"/>
    <w:rsid w:val="00DE29FE"/>
    <w:rsid w:val="00DE316A"/>
    <w:rsid w:val="00DE3349"/>
    <w:rsid w:val="00DE37A0"/>
    <w:rsid w:val="00DE464C"/>
    <w:rsid w:val="00DE48EE"/>
    <w:rsid w:val="00DE4EA1"/>
    <w:rsid w:val="00DE52C9"/>
    <w:rsid w:val="00DE5A96"/>
    <w:rsid w:val="00DE6CD9"/>
    <w:rsid w:val="00DE6F49"/>
    <w:rsid w:val="00DF0ACD"/>
    <w:rsid w:val="00DF0CAC"/>
    <w:rsid w:val="00DF0D53"/>
    <w:rsid w:val="00DF2CAD"/>
    <w:rsid w:val="00DF300C"/>
    <w:rsid w:val="00DF37D2"/>
    <w:rsid w:val="00DF51F2"/>
    <w:rsid w:val="00DF61CE"/>
    <w:rsid w:val="00DF64EB"/>
    <w:rsid w:val="00DF69C7"/>
    <w:rsid w:val="00DF69D2"/>
    <w:rsid w:val="00DF781E"/>
    <w:rsid w:val="00E00B04"/>
    <w:rsid w:val="00E01B1A"/>
    <w:rsid w:val="00E0271F"/>
    <w:rsid w:val="00E02923"/>
    <w:rsid w:val="00E02AE2"/>
    <w:rsid w:val="00E0315E"/>
    <w:rsid w:val="00E0327A"/>
    <w:rsid w:val="00E03ACA"/>
    <w:rsid w:val="00E042D1"/>
    <w:rsid w:val="00E05ABF"/>
    <w:rsid w:val="00E068F4"/>
    <w:rsid w:val="00E07316"/>
    <w:rsid w:val="00E07550"/>
    <w:rsid w:val="00E07C0A"/>
    <w:rsid w:val="00E10A6F"/>
    <w:rsid w:val="00E11CFD"/>
    <w:rsid w:val="00E130C3"/>
    <w:rsid w:val="00E13326"/>
    <w:rsid w:val="00E13421"/>
    <w:rsid w:val="00E13F6E"/>
    <w:rsid w:val="00E14D67"/>
    <w:rsid w:val="00E152B7"/>
    <w:rsid w:val="00E1550D"/>
    <w:rsid w:val="00E15788"/>
    <w:rsid w:val="00E16258"/>
    <w:rsid w:val="00E16B3D"/>
    <w:rsid w:val="00E16B42"/>
    <w:rsid w:val="00E16BB7"/>
    <w:rsid w:val="00E17BA2"/>
    <w:rsid w:val="00E17E77"/>
    <w:rsid w:val="00E223F0"/>
    <w:rsid w:val="00E2268E"/>
    <w:rsid w:val="00E22C6B"/>
    <w:rsid w:val="00E23A6D"/>
    <w:rsid w:val="00E2427F"/>
    <w:rsid w:val="00E24F9F"/>
    <w:rsid w:val="00E2572F"/>
    <w:rsid w:val="00E25F3D"/>
    <w:rsid w:val="00E26101"/>
    <w:rsid w:val="00E26B04"/>
    <w:rsid w:val="00E26EE9"/>
    <w:rsid w:val="00E273DB"/>
    <w:rsid w:val="00E30DDE"/>
    <w:rsid w:val="00E3167F"/>
    <w:rsid w:val="00E3217F"/>
    <w:rsid w:val="00E325E2"/>
    <w:rsid w:val="00E32FE2"/>
    <w:rsid w:val="00E333E9"/>
    <w:rsid w:val="00E33F5B"/>
    <w:rsid w:val="00E34658"/>
    <w:rsid w:val="00E34C24"/>
    <w:rsid w:val="00E353F2"/>
    <w:rsid w:val="00E35F38"/>
    <w:rsid w:val="00E364B5"/>
    <w:rsid w:val="00E3659E"/>
    <w:rsid w:val="00E36C3C"/>
    <w:rsid w:val="00E36CE1"/>
    <w:rsid w:val="00E375CF"/>
    <w:rsid w:val="00E37CBD"/>
    <w:rsid w:val="00E4009A"/>
    <w:rsid w:val="00E403BA"/>
    <w:rsid w:val="00E41391"/>
    <w:rsid w:val="00E41B44"/>
    <w:rsid w:val="00E4221C"/>
    <w:rsid w:val="00E430DC"/>
    <w:rsid w:val="00E4385C"/>
    <w:rsid w:val="00E43C56"/>
    <w:rsid w:val="00E43D49"/>
    <w:rsid w:val="00E4507E"/>
    <w:rsid w:val="00E4654F"/>
    <w:rsid w:val="00E467B5"/>
    <w:rsid w:val="00E50384"/>
    <w:rsid w:val="00E51D39"/>
    <w:rsid w:val="00E52E2E"/>
    <w:rsid w:val="00E52E70"/>
    <w:rsid w:val="00E52F56"/>
    <w:rsid w:val="00E55FB1"/>
    <w:rsid w:val="00E564B1"/>
    <w:rsid w:val="00E56DD9"/>
    <w:rsid w:val="00E60B15"/>
    <w:rsid w:val="00E6170F"/>
    <w:rsid w:val="00E617B9"/>
    <w:rsid w:val="00E6211B"/>
    <w:rsid w:val="00E631F7"/>
    <w:rsid w:val="00E634DF"/>
    <w:rsid w:val="00E642A9"/>
    <w:rsid w:val="00E644B8"/>
    <w:rsid w:val="00E644D7"/>
    <w:rsid w:val="00E67045"/>
    <w:rsid w:val="00E7065C"/>
    <w:rsid w:val="00E71439"/>
    <w:rsid w:val="00E71F22"/>
    <w:rsid w:val="00E721F8"/>
    <w:rsid w:val="00E72DC4"/>
    <w:rsid w:val="00E736E5"/>
    <w:rsid w:val="00E738CE"/>
    <w:rsid w:val="00E74209"/>
    <w:rsid w:val="00E751BE"/>
    <w:rsid w:val="00E751D9"/>
    <w:rsid w:val="00E75722"/>
    <w:rsid w:val="00E759FA"/>
    <w:rsid w:val="00E75CFC"/>
    <w:rsid w:val="00E75E0B"/>
    <w:rsid w:val="00E77AE8"/>
    <w:rsid w:val="00E80454"/>
    <w:rsid w:val="00E83119"/>
    <w:rsid w:val="00E83301"/>
    <w:rsid w:val="00E84817"/>
    <w:rsid w:val="00E84CA6"/>
    <w:rsid w:val="00E86C81"/>
    <w:rsid w:val="00E87217"/>
    <w:rsid w:val="00E87ABF"/>
    <w:rsid w:val="00E87B0A"/>
    <w:rsid w:val="00E87F0E"/>
    <w:rsid w:val="00E92B30"/>
    <w:rsid w:val="00E932F4"/>
    <w:rsid w:val="00E93ADF"/>
    <w:rsid w:val="00E9712A"/>
    <w:rsid w:val="00EA0446"/>
    <w:rsid w:val="00EA07EE"/>
    <w:rsid w:val="00EA0A1D"/>
    <w:rsid w:val="00EA13BA"/>
    <w:rsid w:val="00EA1683"/>
    <w:rsid w:val="00EA255F"/>
    <w:rsid w:val="00EA2BEA"/>
    <w:rsid w:val="00EA30B4"/>
    <w:rsid w:val="00EA3F65"/>
    <w:rsid w:val="00EA425C"/>
    <w:rsid w:val="00EA58F3"/>
    <w:rsid w:val="00EA7630"/>
    <w:rsid w:val="00EA77DF"/>
    <w:rsid w:val="00EA7972"/>
    <w:rsid w:val="00EA7AED"/>
    <w:rsid w:val="00EB107D"/>
    <w:rsid w:val="00EB174A"/>
    <w:rsid w:val="00EB262D"/>
    <w:rsid w:val="00EB34DD"/>
    <w:rsid w:val="00EB48B9"/>
    <w:rsid w:val="00EB55E5"/>
    <w:rsid w:val="00EB7AAA"/>
    <w:rsid w:val="00EB7C90"/>
    <w:rsid w:val="00EB7CAD"/>
    <w:rsid w:val="00EB7F54"/>
    <w:rsid w:val="00EC1E09"/>
    <w:rsid w:val="00EC1F2A"/>
    <w:rsid w:val="00EC2067"/>
    <w:rsid w:val="00EC21E5"/>
    <w:rsid w:val="00EC27C3"/>
    <w:rsid w:val="00EC2FFA"/>
    <w:rsid w:val="00EC49DF"/>
    <w:rsid w:val="00EC4F06"/>
    <w:rsid w:val="00EC50AB"/>
    <w:rsid w:val="00EC5F69"/>
    <w:rsid w:val="00EC7937"/>
    <w:rsid w:val="00EC7BE1"/>
    <w:rsid w:val="00ED00CD"/>
    <w:rsid w:val="00ED03FB"/>
    <w:rsid w:val="00ED06D4"/>
    <w:rsid w:val="00ED0EA7"/>
    <w:rsid w:val="00ED4724"/>
    <w:rsid w:val="00ED53B3"/>
    <w:rsid w:val="00ED7872"/>
    <w:rsid w:val="00EE0530"/>
    <w:rsid w:val="00EE1C5E"/>
    <w:rsid w:val="00EE24ED"/>
    <w:rsid w:val="00EE33E6"/>
    <w:rsid w:val="00EE5043"/>
    <w:rsid w:val="00EE7AD0"/>
    <w:rsid w:val="00EE7E24"/>
    <w:rsid w:val="00EF0739"/>
    <w:rsid w:val="00EF2010"/>
    <w:rsid w:val="00EF23B3"/>
    <w:rsid w:val="00EF36F1"/>
    <w:rsid w:val="00EF44E7"/>
    <w:rsid w:val="00EF5B9E"/>
    <w:rsid w:val="00EF5DBB"/>
    <w:rsid w:val="00F003AE"/>
    <w:rsid w:val="00F0193E"/>
    <w:rsid w:val="00F02969"/>
    <w:rsid w:val="00F047DF"/>
    <w:rsid w:val="00F04973"/>
    <w:rsid w:val="00F049CA"/>
    <w:rsid w:val="00F055D4"/>
    <w:rsid w:val="00F0573E"/>
    <w:rsid w:val="00F059A7"/>
    <w:rsid w:val="00F059D0"/>
    <w:rsid w:val="00F059F3"/>
    <w:rsid w:val="00F067F9"/>
    <w:rsid w:val="00F06CEF"/>
    <w:rsid w:val="00F07DCD"/>
    <w:rsid w:val="00F07F76"/>
    <w:rsid w:val="00F112C0"/>
    <w:rsid w:val="00F11445"/>
    <w:rsid w:val="00F114F1"/>
    <w:rsid w:val="00F12519"/>
    <w:rsid w:val="00F12A73"/>
    <w:rsid w:val="00F13317"/>
    <w:rsid w:val="00F15130"/>
    <w:rsid w:val="00F163D9"/>
    <w:rsid w:val="00F16654"/>
    <w:rsid w:val="00F16B91"/>
    <w:rsid w:val="00F2120D"/>
    <w:rsid w:val="00F215F3"/>
    <w:rsid w:val="00F217CC"/>
    <w:rsid w:val="00F21B3C"/>
    <w:rsid w:val="00F223DD"/>
    <w:rsid w:val="00F23668"/>
    <w:rsid w:val="00F23ECB"/>
    <w:rsid w:val="00F24382"/>
    <w:rsid w:val="00F24A46"/>
    <w:rsid w:val="00F24EA0"/>
    <w:rsid w:val="00F268EB"/>
    <w:rsid w:val="00F26AB4"/>
    <w:rsid w:val="00F308EF"/>
    <w:rsid w:val="00F32605"/>
    <w:rsid w:val="00F34FA5"/>
    <w:rsid w:val="00F37C79"/>
    <w:rsid w:val="00F41C7E"/>
    <w:rsid w:val="00F41D53"/>
    <w:rsid w:val="00F41E6E"/>
    <w:rsid w:val="00F43672"/>
    <w:rsid w:val="00F43A4F"/>
    <w:rsid w:val="00F43FAE"/>
    <w:rsid w:val="00F44346"/>
    <w:rsid w:val="00F456A8"/>
    <w:rsid w:val="00F45B81"/>
    <w:rsid w:val="00F463B1"/>
    <w:rsid w:val="00F46C15"/>
    <w:rsid w:val="00F46D84"/>
    <w:rsid w:val="00F46F86"/>
    <w:rsid w:val="00F471B9"/>
    <w:rsid w:val="00F47267"/>
    <w:rsid w:val="00F47A1A"/>
    <w:rsid w:val="00F50323"/>
    <w:rsid w:val="00F5036F"/>
    <w:rsid w:val="00F50C74"/>
    <w:rsid w:val="00F53F12"/>
    <w:rsid w:val="00F55002"/>
    <w:rsid w:val="00F55468"/>
    <w:rsid w:val="00F557C1"/>
    <w:rsid w:val="00F55F88"/>
    <w:rsid w:val="00F560D5"/>
    <w:rsid w:val="00F57749"/>
    <w:rsid w:val="00F62AA2"/>
    <w:rsid w:val="00F638E8"/>
    <w:rsid w:val="00F63A44"/>
    <w:rsid w:val="00F64391"/>
    <w:rsid w:val="00F64406"/>
    <w:rsid w:val="00F65860"/>
    <w:rsid w:val="00F65ADD"/>
    <w:rsid w:val="00F65D3D"/>
    <w:rsid w:val="00F65F8F"/>
    <w:rsid w:val="00F705C8"/>
    <w:rsid w:val="00F70CE5"/>
    <w:rsid w:val="00F711D1"/>
    <w:rsid w:val="00F71209"/>
    <w:rsid w:val="00F72647"/>
    <w:rsid w:val="00F74D33"/>
    <w:rsid w:val="00F75CA0"/>
    <w:rsid w:val="00F76227"/>
    <w:rsid w:val="00F7646D"/>
    <w:rsid w:val="00F76724"/>
    <w:rsid w:val="00F76C90"/>
    <w:rsid w:val="00F77060"/>
    <w:rsid w:val="00F77BA0"/>
    <w:rsid w:val="00F84B8B"/>
    <w:rsid w:val="00F8507D"/>
    <w:rsid w:val="00F853F9"/>
    <w:rsid w:val="00F858C4"/>
    <w:rsid w:val="00F85D7A"/>
    <w:rsid w:val="00F90BD6"/>
    <w:rsid w:val="00F917C6"/>
    <w:rsid w:val="00F92003"/>
    <w:rsid w:val="00F92C0D"/>
    <w:rsid w:val="00F932A1"/>
    <w:rsid w:val="00F9463B"/>
    <w:rsid w:val="00F949F9"/>
    <w:rsid w:val="00F94D16"/>
    <w:rsid w:val="00F9535E"/>
    <w:rsid w:val="00F96CE9"/>
    <w:rsid w:val="00F96D63"/>
    <w:rsid w:val="00FA0DCB"/>
    <w:rsid w:val="00FA1220"/>
    <w:rsid w:val="00FA1222"/>
    <w:rsid w:val="00FA1A35"/>
    <w:rsid w:val="00FA1DDE"/>
    <w:rsid w:val="00FA25DF"/>
    <w:rsid w:val="00FA2822"/>
    <w:rsid w:val="00FA683C"/>
    <w:rsid w:val="00FA6D84"/>
    <w:rsid w:val="00FA6DF2"/>
    <w:rsid w:val="00FA6F5F"/>
    <w:rsid w:val="00FA7BC6"/>
    <w:rsid w:val="00FB01E9"/>
    <w:rsid w:val="00FB020D"/>
    <w:rsid w:val="00FB038D"/>
    <w:rsid w:val="00FB0682"/>
    <w:rsid w:val="00FB1760"/>
    <w:rsid w:val="00FB2C98"/>
    <w:rsid w:val="00FB2CC1"/>
    <w:rsid w:val="00FB2D0A"/>
    <w:rsid w:val="00FB3515"/>
    <w:rsid w:val="00FB5B92"/>
    <w:rsid w:val="00FB61C5"/>
    <w:rsid w:val="00FB7988"/>
    <w:rsid w:val="00FC05E5"/>
    <w:rsid w:val="00FC0821"/>
    <w:rsid w:val="00FC1A8C"/>
    <w:rsid w:val="00FC2AC4"/>
    <w:rsid w:val="00FC3B5A"/>
    <w:rsid w:val="00FC471F"/>
    <w:rsid w:val="00FC4B6B"/>
    <w:rsid w:val="00FC575F"/>
    <w:rsid w:val="00FC5900"/>
    <w:rsid w:val="00FC616B"/>
    <w:rsid w:val="00FC65D9"/>
    <w:rsid w:val="00FD0189"/>
    <w:rsid w:val="00FD02EF"/>
    <w:rsid w:val="00FD0799"/>
    <w:rsid w:val="00FD137E"/>
    <w:rsid w:val="00FD2CE5"/>
    <w:rsid w:val="00FD4B10"/>
    <w:rsid w:val="00FD4B63"/>
    <w:rsid w:val="00FD5549"/>
    <w:rsid w:val="00FD62B5"/>
    <w:rsid w:val="00FD62E6"/>
    <w:rsid w:val="00FE0A5D"/>
    <w:rsid w:val="00FE1CC1"/>
    <w:rsid w:val="00FE2443"/>
    <w:rsid w:val="00FE2C8B"/>
    <w:rsid w:val="00FE470F"/>
    <w:rsid w:val="00FE4813"/>
    <w:rsid w:val="00FE5972"/>
    <w:rsid w:val="00FE5A9E"/>
    <w:rsid w:val="00FE6471"/>
    <w:rsid w:val="00FF060E"/>
    <w:rsid w:val="00FF08E0"/>
    <w:rsid w:val="00FF219A"/>
    <w:rsid w:val="00FF4549"/>
    <w:rsid w:val="00FF52C6"/>
    <w:rsid w:val="00FF58F5"/>
    <w:rsid w:val="00FF5A5F"/>
    <w:rsid w:val="00FF6925"/>
    <w:rsid w:val="00FF7150"/>
    <w:rsid w:val="00FF73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A7D"/>
    <w:rPr>
      <w:sz w:val="24"/>
      <w:szCs w:val="24"/>
    </w:rPr>
  </w:style>
  <w:style w:type="paragraph" w:styleId="Ttulo1">
    <w:name w:val="heading 1"/>
    <w:basedOn w:val="Normal"/>
    <w:next w:val="Normal"/>
    <w:qFormat/>
    <w:rsid w:val="00B30A7D"/>
    <w:pPr>
      <w:keepNext/>
      <w:jc w:val="center"/>
      <w:outlineLvl w:val="0"/>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B30A7D"/>
    <w:pPr>
      <w:ind w:left="5103"/>
      <w:jc w:val="both"/>
    </w:pPr>
  </w:style>
  <w:style w:type="paragraph" w:styleId="Textoembloco">
    <w:name w:val="Block Text"/>
    <w:basedOn w:val="Normal"/>
    <w:rsid w:val="00B30A7D"/>
    <w:pPr>
      <w:widowControl w:val="0"/>
      <w:tabs>
        <w:tab w:val="left" w:pos="6804"/>
      </w:tabs>
      <w:spacing w:before="2" w:after="2" w:line="250" w:lineRule="auto"/>
      <w:ind w:left="336" w:right="57" w:hanging="279"/>
    </w:pPr>
    <w:rPr>
      <w:rFonts w:ascii="Arial" w:hAnsi="Arial" w:cs="Arial"/>
      <w:sz w:val="20"/>
      <w:lang w:val="pt-PT"/>
    </w:rPr>
  </w:style>
  <w:style w:type="table" w:styleId="Tabelacomgrade">
    <w:name w:val="Table Grid"/>
    <w:basedOn w:val="Tabelanormal"/>
    <w:rsid w:val="00B30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860F77"/>
    <w:rPr>
      <w:rFonts w:ascii="Tahoma" w:hAnsi="Tahoma"/>
      <w:sz w:val="16"/>
      <w:szCs w:val="16"/>
    </w:rPr>
  </w:style>
  <w:style w:type="character" w:customStyle="1" w:styleId="TextodebaloChar">
    <w:name w:val="Texto de balão Char"/>
    <w:link w:val="Textodebalo"/>
    <w:rsid w:val="00860F77"/>
    <w:rPr>
      <w:rFonts w:ascii="Tahoma" w:hAnsi="Tahoma" w:cs="Tahoma"/>
      <w:sz w:val="16"/>
      <w:szCs w:val="16"/>
    </w:rPr>
  </w:style>
  <w:style w:type="paragraph" w:styleId="Textodenotaderodap">
    <w:name w:val="footnote text"/>
    <w:basedOn w:val="Normal"/>
    <w:link w:val="TextodenotaderodapChar"/>
    <w:rsid w:val="00A84E28"/>
    <w:rPr>
      <w:sz w:val="20"/>
      <w:szCs w:val="20"/>
    </w:rPr>
  </w:style>
  <w:style w:type="character" w:customStyle="1" w:styleId="TextodenotaderodapChar">
    <w:name w:val="Texto de nota de rodapé Char"/>
    <w:basedOn w:val="Fontepargpadro"/>
    <w:link w:val="Textodenotaderodap"/>
    <w:rsid w:val="00A84E28"/>
  </w:style>
  <w:style w:type="character" w:styleId="Refdenotaderodap">
    <w:name w:val="footnote reference"/>
    <w:rsid w:val="00A84E28"/>
    <w:rPr>
      <w:vertAlign w:val="superscript"/>
    </w:rPr>
  </w:style>
  <w:style w:type="paragraph" w:styleId="PargrafodaLista">
    <w:name w:val="List Paragraph"/>
    <w:basedOn w:val="Normal"/>
    <w:uiPriority w:val="1"/>
    <w:qFormat/>
    <w:rsid w:val="00E75CFC"/>
    <w:pPr>
      <w:ind w:left="708"/>
    </w:pPr>
  </w:style>
  <w:style w:type="character" w:styleId="Refdecomentrio">
    <w:name w:val="annotation reference"/>
    <w:rsid w:val="00541701"/>
    <w:rPr>
      <w:sz w:val="16"/>
      <w:szCs w:val="16"/>
    </w:rPr>
  </w:style>
  <w:style w:type="paragraph" w:styleId="Textodecomentrio">
    <w:name w:val="annotation text"/>
    <w:basedOn w:val="Normal"/>
    <w:link w:val="TextodecomentrioChar"/>
    <w:rsid w:val="00541701"/>
    <w:rPr>
      <w:sz w:val="20"/>
      <w:szCs w:val="20"/>
    </w:rPr>
  </w:style>
  <w:style w:type="character" w:customStyle="1" w:styleId="TextodecomentrioChar">
    <w:name w:val="Texto de comentário Char"/>
    <w:basedOn w:val="Fontepargpadro"/>
    <w:link w:val="Textodecomentrio"/>
    <w:rsid w:val="00541701"/>
  </w:style>
  <w:style w:type="paragraph" w:styleId="Assuntodocomentrio">
    <w:name w:val="annotation subject"/>
    <w:basedOn w:val="Textodecomentrio"/>
    <w:next w:val="Textodecomentrio"/>
    <w:link w:val="AssuntodocomentrioChar"/>
    <w:rsid w:val="00541701"/>
    <w:rPr>
      <w:b/>
      <w:bCs/>
    </w:rPr>
  </w:style>
  <w:style w:type="character" w:customStyle="1" w:styleId="AssuntodocomentrioChar">
    <w:name w:val="Assunto do comentário Char"/>
    <w:link w:val="Assuntodocomentrio"/>
    <w:rsid w:val="00541701"/>
    <w:rPr>
      <w:b/>
      <w:bCs/>
    </w:rPr>
  </w:style>
  <w:style w:type="paragraph" w:customStyle="1" w:styleId="Default">
    <w:name w:val="Default"/>
    <w:rsid w:val="00023854"/>
    <w:pPr>
      <w:autoSpaceDE w:val="0"/>
      <w:autoSpaceDN w:val="0"/>
      <w:adjustRightInd w:val="0"/>
    </w:pPr>
    <w:rPr>
      <w:rFonts w:ascii="Arial" w:hAnsi="Arial" w:cs="Arial"/>
      <w:color w:val="000000"/>
      <w:sz w:val="24"/>
      <w:szCs w:val="24"/>
    </w:rPr>
  </w:style>
  <w:style w:type="paragraph" w:styleId="Reviso">
    <w:name w:val="Revision"/>
    <w:hidden/>
    <w:uiPriority w:val="99"/>
    <w:semiHidden/>
    <w:rsid w:val="00155005"/>
    <w:rPr>
      <w:sz w:val="24"/>
      <w:szCs w:val="24"/>
    </w:rPr>
  </w:style>
  <w:style w:type="paragraph" w:styleId="Pr-formataoHTML">
    <w:name w:val="HTML Preformatted"/>
    <w:basedOn w:val="Normal"/>
    <w:link w:val="Pr-formataoHTMLChar"/>
    <w:uiPriority w:val="99"/>
    <w:rsid w:val="00855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Pr-formataoHTMLChar">
    <w:name w:val="Pré-formatação HTML Char"/>
    <w:basedOn w:val="Fontepargpadro"/>
    <w:link w:val="Pr-formataoHTML"/>
    <w:uiPriority w:val="99"/>
    <w:rsid w:val="008555A9"/>
    <w:rPr>
      <w:rFonts w:ascii="Courier New" w:hAnsi="Courier New"/>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21CB-8FC2-48CF-8364-BE7B23EF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2102</Words>
  <Characters>11461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RESOLUÇÃO CFC Nº</vt:lpstr>
    </vt:vector>
  </TitlesOfParts>
  <Company>CFC</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CFC Nº</dc:title>
  <dc:creator>kellen</dc:creator>
  <cp:lastModifiedBy>alexandre</cp:lastModifiedBy>
  <cp:revision>3</cp:revision>
  <dcterms:created xsi:type="dcterms:W3CDTF">2016-06-28T20:04:00Z</dcterms:created>
  <dcterms:modified xsi:type="dcterms:W3CDTF">2016-06-28T20:05:00Z</dcterms:modified>
</cp:coreProperties>
</file>