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12" w:rsidRPr="001F5526" w:rsidRDefault="00574912" w:rsidP="00C90977">
      <w:pPr>
        <w:spacing w:after="0" w:line="240" w:lineRule="auto"/>
        <w:jc w:val="both"/>
        <w:rPr>
          <w:rFonts w:ascii="Times New Roman" w:hAnsi="Times New Roman" w:cs="Times New Roman"/>
          <w:sz w:val="24"/>
          <w:szCs w:val="24"/>
        </w:rPr>
      </w:pPr>
      <w:bookmarkStart w:id="0" w:name="_GoBack"/>
      <w:bookmarkEnd w:id="0"/>
      <w:r w:rsidRPr="00FA25FA">
        <w:rPr>
          <w:rFonts w:ascii="Times New Roman" w:hAnsi="Times New Roman" w:cs="Times New Roman"/>
          <w:b/>
          <w:sz w:val="24"/>
          <w:szCs w:val="24"/>
        </w:rPr>
        <w:t xml:space="preserve">NORMA BRASILEIRA DE CONTABILIDADE, NBC TSP </w:t>
      </w:r>
      <w:r w:rsidR="003B288B" w:rsidRPr="00FA25FA">
        <w:rPr>
          <w:rFonts w:ascii="Times New Roman" w:hAnsi="Times New Roman" w:cs="Times New Roman"/>
          <w:b/>
          <w:sz w:val="24"/>
          <w:szCs w:val="24"/>
        </w:rPr>
        <w:t>12</w:t>
      </w:r>
      <w:r w:rsidRPr="00FA25FA">
        <w:rPr>
          <w:rFonts w:ascii="Times New Roman" w:hAnsi="Times New Roman" w:cs="Times New Roman"/>
          <w:b/>
          <w:sz w:val="24"/>
          <w:szCs w:val="24"/>
        </w:rPr>
        <w:t>, DE XX DE XXXX DE 201</w:t>
      </w:r>
      <w:r w:rsidR="007F1974" w:rsidRPr="00FA25FA">
        <w:rPr>
          <w:rFonts w:ascii="Times New Roman" w:hAnsi="Times New Roman" w:cs="Times New Roman"/>
          <w:b/>
          <w:sz w:val="24"/>
          <w:szCs w:val="24"/>
        </w:rPr>
        <w:t>8</w:t>
      </w:r>
    </w:p>
    <w:p w:rsidR="00574912" w:rsidRPr="00FA25FA" w:rsidRDefault="00574912" w:rsidP="00C90977">
      <w:pPr>
        <w:spacing w:after="0" w:line="240" w:lineRule="auto"/>
        <w:ind w:left="567" w:hanging="567"/>
        <w:jc w:val="both"/>
        <w:rPr>
          <w:rFonts w:ascii="Times New Roman" w:hAnsi="Times New Roman" w:cs="Times New Roman"/>
          <w:sz w:val="24"/>
          <w:szCs w:val="24"/>
        </w:rPr>
      </w:pPr>
    </w:p>
    <w:p w:rsidR="00574912" w:rsidRPr="00FA25FA" w:rsidRDefault="00574912" w:rsidP="00C90977">
      <w:pPr>
        <w:spacing w:after="0" w:line="240" w:lineRule="auto"/>
        <w:ind w:left="567" w:hanging="567"/>
        <w:jc w:val="both"/>
        <w:rPr>
          <w:rFonts w:ascii="Times New Roman" w:hAnsi="Times New Roman" w:cs="Times New Roman"/>
          <w:sz w:val="24"/>
          <w:szCs w:val="24"/>
        </w:rPr>
      </w:pPr>
    </w:p>
    <w:p w:rsidR="00574912" w:rsidRPr="001F5526" w:rsidRDefault="00574912" w:rsidP="00C90977">
      <w:pPr>
        <w:spacing w:after="0" w:line="240" w:lineRule="auto"/>
        <w:ind w:left="4820"/>
        <w:jc w:val="both"/>
        <w:rPr>
          <w:rFonts w:ascii="Times New Roman" w:hAnsi="Times New Roman" w:cs="Times New Roman"/>
          <w:sz w:val="24"/>
          <w:szCs w:val="24"/>
        </w:rPr>
      </w:pPr>
      <w:r w:rsidRPr="00FA25FA">
        <w:rPr>
          <w:rFonts w:ascii="Times New Roman" w:hAnsi="Times New Roman" w:cs="Times New Roman"/>
          <w:b/>
          <w:i/>
          <w:sz w:val="24"/>
          <w:szCs w:val="24"/>
        </w:rPr>
        <w:t xml:space="preserve">Aprova a NBC TSP </w:t>
      </w:r>
      <w:r w:rsidR="003B288B" w:rsidRPr="00FA25FA">
        <w:rPr>
          <w:rFonts w:ascii="Times New Roman" w:hAnsi="Times New Roman" w:cs="Times New Roman"/>
          <w:b/>
          <w:i/>
          <w:sz w:val="24"/>
          <w:szCs w:val="24"/>
        </w:rPr>
        <w:t>12</w:t>
      </w:r>
      <w:r w:rsidRPr="00FA25FA">
        <w:rPr>
          <w:rFonts w:ascii="Times New Roman" w:hAnsi="Times New Roman" w:cs="Times New Roman"/>
          <w:b/>
          <w:i/>
          <w:sz w:val="24"/>
          <w:szCs w:val="24"/>
        </w:rPr>
        <w:t xml:space="preserve"> – </w:t>
      </w:r>
      <w:r w:rsidR="003B288B" w:rsidRPr="00FA25FA">
        <w:rPr>
          <w:rFonts w:ascii="Times New Roman" w:hAnsi="Times New Roman" w:cs="Times New Roman"/>
          <w:b/>
          <w:i/>
          <w:sz w:val="24"/>
          <w:szCs w:val="24"/>
        </w:rPr>
        <w:t>Demonstração dos Fluxos de Caixa</w:t>
      </w:r>
      <w:r w:rsidR="00F72017" w:rsidRPr="00FA25FA">
        <w:rPr>
          <w:rFonts w:ascii="Times New Roman" w:hAnsi="Times New Roman" w:cs="Times New Roman"/>
          <w:b/>
          <w:i/>
          <w:sz w:val="24"/>
          <w:szCs w:val="24"/>
        </w:rPr>
        <w:t>.</w:t>
      </w:r>
    </w:p>
    <w:p w:rsidR="00574912" w:rsidRPr="00FA25FA" w:rsidRDefault="00574912" w:rsidP="00C90977">
      <w:pPr>
        <w:spacing w:after="0" w:line="240" w:lineRule="auto"/>
        <w:ind w:left="567" w:hanging="567"/>
        <w:jc w:val="both"/>
        <w:rPr>
          <w:rFonts w:ascii="Times New Roman" w:hAnsi="Times New Roman" w:cs="Times New Roman"/>
          <w:sz w:val="24"/>
          <w:szCs w:val="24"/>
        </w:rPr>
      </w:pPr>
    </w:p>
    <w:p w:rsidR="00574912" w:rsidRPr="00FA25FA" w:rsidRDefault="00574912" w:rsidP="00C90977">
      <w:pPr>
        <w:spacing w:after="0" w:line="240" w:lineRule="auto"/>
        <w:ind w:left="567" w:hanging="567"/>
        <w:jc w:val="both"/>
        <w:rPr>
          <w:rFonts w:ascii="Times New Roman" w:hAnsi="Times New Roman" w:cs="Times New Roman"/>
          <w:sz w:val="24"/>
          <w:szCs w:val="24"/>
        </w:rPr>
      </w:pPr>
    </w:p>
    <w:p w:rsidR="00574912" w:rsidRPr="00FA25FA" w:rsidRDefault="00574912" w:rsidP="00C90977">
      <w:pPr>
        <w:spacing w:after="0" w:line="240" w:lineRule="auto"/>
        <w:ind w:firstLine="567"/>
        <w:jc w:val="both"/>
        <w:rPr>
          <w:rFonts w:ascii="Times New Roman" w:hAnsi="Times New Roman" w:cs="Times New Roman"/>
          <w:sz w:val="24"/>
          <w:szCs w:val="24"/>
        </w:rPr>
      </w:pPr>
      <w:r w:rsidRPr="00FA25FA">
        <w:rPr>
          <w:rFonts w:ascii="Times New Roman" w:hAnsi="Times New Roman" w:cs="Times New Roman"/>
          <w:sz w:val="24"/>
          <w:szCs w:val="24"/>
        </w:rPr>
        <w:t xml:space="preserve">O </w:t>
      </w:r>
      <w:r w:rsidRPr="00FA25FA">
        <w:rPr>
          <w:rFonts w:ascii="Times New Roman" w:hAnsi="Times New Roman" w:cs="Times New Roman"/>
          <w:b/>
          <w:sz w:val="24"/>
          <w:szCs w:val="24"/>
        </w:rPr>
        <w:t>CONSELHO FEDERAL DE CONTABILIDADE</w:t>
      </w:r>
      <w:r w:rsidRPr="00FA25FA">
        <w:rPr>
          <w:rFonts w:ascii="Times New Roman" w:hAnsi="Times New Roman" w:cs="Times New Roman"/>
          <w:sz w:val="24"/>
          <w:szCs w:val="24"/>
        </w:rPr>
        <w:t xml:space="preserve">, considerando o processo de convergência das Normas Brasileiras de Contabilidade aos padrões internacionais e mediante acordo firmado com a </w:t>
      </w:r>
      <w:proofErr w:type="spellStart"/>
      <w:r w:rsidRPr="00FA25FA">
        <w:rPr>
          <w:rFonts w:ascii="Times New Roman" w:hAnsi="Times New Roman" w:cs="Times New Roman"/>
          <w:sz w:val="24"/>
          <w:szCs w:val="24"/>
        </w:rPr>
        <w:t>I</w:t>
      </w:r>
      <w:r w:rsidR="00F94760" w:rsidRPr="00FA25FA">
        <w:rPr>
          <w:rFonts w:ascii="Times New Roman" w:hAnsi="Times New Roman" w:cs="Times New Roman"/>
          <w:sz w:val="24"/>
          <w:szCs w:val="24"/>
        </w:rPr>
        <w:t>fac</w:t>
      </w:r>
      <w:proofErr w:type="spellEnd"/>
      <w:r w:rsidR="00A53F40">
        <w:rPr>
          <w:rFonts w:ascii="Times New Roman" w:hAnsi="Times New Roman" w:cs="Times New Roman"/>
          <w:sz w:val="24"/>
          <w:szCs w:val="24"/>
        </w:rPr>
        <w:t>,</w:t>
      </w:r>
      <w:r w:rsidRPr="00FA25FA">
        <w:rPr>
          <w:rFonts w:ascii="Times New Roman" w:hAnsi="Times New Roman" w:cs="Times New Roman"/>
          <w:sz w:val="24"/>
          <w:szCs w:val="24"/>
        </w:rPr>
        <w:t xml:space="preserve"> que autorizou, no Brasil, o CFC como um dos tradutores de suas normas e publicações, outorgando os direitos de realizar tradução, publicação e distribuição das normas internacionais e demais pronunciamentos em formato eletrônico, no exercício de suas atribuições legais e regimentais e com fundamento no disposto na alínea “f” do </w:t>
      </w:r>
      <w:r w:rsidR="00272D35" w:rsidRPr="00FA25FA">
        <w:rPr>
          <w:rFonts w:ascii="Times New Roman" w:hAnsi="Times New Roman" w:cs="Times New Roman"/>
          <w:sz w:val="24"/>
          <w:szCs w:val="24"/>
        </w:rPr>
        <w:t>A</w:t>
      </w:r>
      <w:r w:rsidRPr="00FA25FA">
        <w:rPr>
          <w:rFonts w:ascii="Times New Roman" w:hAnsi="Times New Roman" w:cs="Times New Roman"/>
          <w:sz w:val="24"/>
          <w:szCs w:val="24"/>
        </w:rPr>
        <w:t>rt. 6º do Decreto-Lei n.º 9.295/</w:t>
      </w:r>
      <w:r w:rsidR="00272D35" w:rsidRPr="00FA25FA">
        <w:rPr>
          <w:rFonts w:ascii="Times New Roman" w:hAnsi="Times New Roman" w:cs="Times New Roman"/>
          <w:sz w:val="24"/>
          <w:szCs w:val="24"/>
        </w:rPr>
        <w:t>19</w:t>
      </w:r>
      <w:r w:rsidRPr="00FA25FA">
        <w:rPr>
          <w:rFonts w:ascii="Times New Roman" w:hAnsi="Times New Roman" w:cs="Times New Roman"/>
          <w:sz w:val="24"/>
          <w:szCs w:val="24"/>
        </w:rPr>
        <w:t>46, alterado pela Lei n.º 12.249/</w:t>
      </w:r>
      <w:r w:rsidR="00272D35" w:rsidRPr="00FA25FA">
        <w:rPr>
          <w:rFonts w:ascii="Times New Roman" w:hAnsi="Times New Roman" w:cs="Times New Roman"/>
          <w:sz w:val="24"/>
          <w:szCs w:val="24"/>
        </w:rPr>
        <w:t>20</w:t>
      </w:r>
      <w:r w:rsidRPr="00FA25FA">
        <w:rPr>
          <w:rFonts w:ascii="Times New Roman" w:hAnsi="Times New Roman" w:cs="Times New Roman"/>
          <w:sz w:val="24"/>
          <w:szCs w:val="24"/>
        </w:rPr>
        <w:t xml:space="preserve">10, faz saber que foi aprovada em seu Plenário a seguinte Norma Brasileira de Contabilidade (NBC), elaborada de acordo com </w:t>
      </w:r>
      <w:r w:rsidR="00A8784A" w:rsidRPr="00FA25FA">
        <w:rPr>
          <w:rFonts w:ascii="Times New Roman" w:hAnsi="Times New Roman" w:cs="Times New Roman"/>
          <w:sz w:val="24"/>
          <w:szCs w:val="24"/>
        </w:rPr>
        <w:t>a I</w:t>
      </w:r>
      <w:r w:rsidR="00F94760" w:rsidRPr="00FA25FA">
        <w:rPr>
          <w:rFonts w:ascii="Times New Roman" w:hAnsi="Times New Roman" w:cs="Times New Roman"/>
          <w:sz w:val="24"/>
          <w:szCs w:val="24"/>
        </w:rPr>
        <w:t>psas</w:t>
      </w:r>
      <w:r w:rsidR="00A8784A" w:rsidRPr="00FA25FA">
        <w:rPr>
          <w:rFonts w:ascii="Times New Roman" w:hAnsi="Times New Roman" w:cs="Times New Roman"/>
          <w:sz w:val="24"/>
          <w:szCs w:val="24"/>
        </w:rPr>
        <w:t xml:space="preserve"> </w:t>
      </w:r>
      <w:r w:rsidR="003B288B" w:rsidRPr="00FA25FA">
        <w:rPr>
          <w:rFonts w:ascii="Times New Roman" w:hAnsi="Times New Roman" w:cs="Times New Roman"/>
          <w:sz w:val="24"/>
          <w:szCs w:val="24"/>
        </w:rPr>
        <w:t>02</w:t>
      </w:r>
      <w:r w:rsidR="00A8784A" w:rsidRPr="00FA25FA">
        <w:rPr>
          <w:rFonts w:ascii="Times New Roman" w:hAnsi="Times New Roman" w:cs="Times New Roman"/>
          <w:sz w:val="24"/>
          <w:szCs w:val="24"/>
        </w:rPr>
        <w:t xml:space="preserve"> – </w:t>
      </w:r>
      <w:r w:rsidR="003B288B" w:rsidRPr="00FA25FA">
        <w:rPr>
          <w:rFonts w:ascii="Times New Roman" w:hAnsi="Times New Roman" w:cs="Times New Roman"/>
          <w:i/>
          <w:sz w:val="24"/>
          <w:szCs w:val="24"/>
        </w:rPr>
        <w:t xml:space="preserve">Cash Flow </w:t>
      </w:r>
      <w:proofErr w:type="spellStart"/>
      <w:r w:rsidR="003B288B" w:rsidRPr="00FA25FA">
        <w:rPr>
          <w:rFonts w:ascii="Times New Roman" w:hAnsi="Times New Roman" w:cs="Times New Roman"/>
          <w:i/>
          <w:sz w:val="24"/>
          <w:szCs w:val="24"/>
        </w:rPr>
        <w:t>Statements</w:t>
      </w:r>
      <w:proofErr w:type="spellEnd"/>
      <w:r w:rsidR="00223184" w:rsidRPr="00FA25FA">
        <w:rPr>
          <w:rFonts w:ascii="Times New Roman" w:hAnsi="Times New Roman" w:cs="Times New Roman"/>
          <w:sz w:val="24"/>
          <w:szCs w:val="24"/>
        </w:rPr>
        <w:t>,</w:t>
      </w:r>
      <w:r w:rsidR="009863FA" w:rsidRPr="00FA25FA">
        <w:rPr>
          <w:rFonts w:ascii="Times New Roman" w:hAnsi="Times New Roman" w:cs="Times New Roman"/>
          <w:sz w:val="24"/>
          <w:szCs w:val="24"/>
        </w:rPr>
        <w:t xml:space="preserve"> </w:t>
      </w:r>
      <w:r w:rsidRPr="00FA25FA">
        <w:rPr>
          <w:rFonts w:ascii="Times New Roman" w:hAnsi="Times New Roman" w:cs="Times New Roman"/>
          <w:sz w:val="24"/>
          <w:szCs w:val="24"/>
        </w:rPr>
        <w:t>editad</w:t>
      </w:r>
      <w:r w:rsidR="00A8784A" w:rsidRPr="00FA25FA">
        <w:rPr>
          <w:rFonts w:ascii="Times New Roman" w:hAnsi="Times New Roman" w:cs="Times New Roman"/>
          <w:sz w:val="24"/>
          <w:szCs w:val="24"/>
        </w:rPr>
        <w:t>a</w:t>
      </w:r>
      <w:r w:rsidRPr="00FA25FA">
        <w:rPr>
          <w:rFonts w:ascii="Times New Roman" w:hAnsi="Times New Roman" w:cs="Times New Roman"/>
          <w:sz w:val="24"/>
          <w:szCs w:val="24"/>
        </w:rPr>
        <w:t xml:space="preserve"> pelo </w:t>
      </w:r>
      <w:proofErr w:type="spellStart"/>
      <w:r w:rsidRPr="00FA25FA">
        <w:rPr>
          <w:rFonts w:ascii="Times New Roman" w:hAnsi="Times New Roman" w:cs="Times New Roman"/>
          <w:i/>
          <w:sz w:val="24"/>
          <w:szCs w:val="24"/>
        </w:rPr>
        <w:t>International</w:t>
      </w:r>
      <w:proofErr w:type="spellEnd"/>
      <w:r w:rsidRPr="00FA25FA">
        <w:rPr>
          <w:rFonts w:ascii="Times New Roman" w:hAnsi="Times New Roman" w:cs="Times New Roman"/>
          <w:i/>
          <w:sz w:val="24"/>
          <w:szCs w:val="24"/>
        </w:rPr>
        <w:t xml:space="preserve"> </w:t>
      </w:r>
      <w:proofErr w:type="spellStart"/>
      <w:r w:rsidRPr="00FA25FA">
        <w:rPr>
          <w:rFonts w:ascii="Times New Roman" w:hAnsi="Times New Roman" w:cs="Times New Roman"/>
          <w:i/>
          <w:sz w:val="24"/>
          <w:szCs w:val="24"/>
        </w:rPr>
        <w:t>Public</w:t>
      </w:r>
      <w:proofErr w:type="spellEnd"/>
      <w:r w:rsidRPr="00FA25FA">
        <w:rPr>
          <w:rFonts w:ascii="Times New Roman" w:hAnsi="Times New Roman" w:cs="Times New Roman"/>
          <w:i/>
          <w:sz w:val="24"/>
          <w:szCs w:val="24"/>
        </w:rPr>
        <w:t xml:space="preserve"> Sector </w:t>
      </w:r>
      <w:proofErr w:type="spellStart"/>
      <w:r w:rsidRPr="00FA25FA">
        <w:rPr>
          <w:rFonts w:ascii="Times New Roman" w:hAnsi="Times New Roman" w:cs="Times New Roman"/>
          <w:i/>
          <w:sz w:val="24"/>
          <w:szCs w:val="24"/>
        </w:rPr>
        <w:t>Accounting</w:t>
      </w:r>
      <w:proofErr w:type="spellEnd"/>
      <w:r w:rsidRPr="00FA25FA">
        <w:rPr>
          <w:rFonts w:ascii="Times New Roman" w:hAnsi="Times New Roman" w:cs="Times New Roman"/>
          <w:i/>
          <w:sz w:val="24"/>
          <w:szCs w:val="24"/>
        </w:rPr>
        <w:t xml:space="preserve"> Standards </w:t>
      </w:r>
      <w:proofErr w:type="spellStart"/>
      <w:r w:rsidRPr="00FA25FA">
        <w:rPr>
          <w:rFonts w:ascii="Times New Roman" w:hAnsi="Times New Roman" w:cs="Times New Roman"/>
          <w:i/>
          <w:sz w:val="24"/>
          <w:szCs w:val="24"/>
        </w:rPr>
        <w:t>Board</w:t>
      </w:r>
      <w:proofErr w:type="spellEnd"/>
      <w:r w:rsidRPr="00FA25FA">
        <w:rPr>
          <w:rFonts w:ascii="Times New Roman" w:hAnsi="Times New Roman" w:cs="Times New Roman"/>
          <w:i/>
          <w:sz w:val="24"/>
          <w:szCs w:val="24"/>
        </w:rPr>
        <w:t xml:space="preserve"> </w:t>
      </w:r>
      <w:r w:rsidRPr="00FA25FA">
        <w:rPr>
          <w:rFonts w:ascii="Times New Roman" w:hAnsi="Times New Roman" w:cs="Times New Roman"/>
          <w:sz w:val="24"/>
          <w:szCs w:val="24"/>
        </w:rPr>
        <w:t>da</w:t>
      </w:r>
      <w:r w:rsidRPr="00FA25FA">
        <w:rPr>
          <w:rFonts w:ascii="Times New Roman" w:hAnsi="Times New Roman" w:cs="Times New Roman"/>
          <w:i/>
          <w:sz w:val="24"/>
          <w:szCs w:val="24"/>
        </w:rPr>
        <w:t xml:space="preserve"> </w:t>
      </w:r>
      <w:proofErr w:type="spellStart"/>
      <w:r w:rsidRPr="00FA25FA">
        <w:rPr>
          <w:rFonts w:ascii="Times New Roman" w:hAnsi="Times New Roman" w:cs="Times New Roman"/>
          <w:i/>
          <w:sz w:val="24"/>
          <w:szCs w:val="24"/>
        </w:rPr>
        <w:t>International</w:t>
      </w:r>
      <w:proofErr w:type="spellEnd"/>
      <w:r w:rsidRPr="00FA25FA">
        <w:rPr>
          <w:rFonts w:ascii="Times New Roman" w:hAnsi="Times New Roman" w:cs="Times New Roman"/>
          <w:i/>
          <w:sz w:val="24"/>
          <w:szCs w:val="24"/>
        </w:rPr>
        <w:t xml:space="preserve"> </w:t>
      </w:r>
      <w:proofErr w:type="spellStart"/>
      <w:r w:rsidRPr="00FA25FA">
        <w:rPr>
          <w:rFonts w:ascii="Times New Roman" w:hAnsi="Times New Roman" w:cs="Times New Roman"/>
          <w:i/>
          <w:sz w:val="24"/>
          <w:szCs w:val="24"/>
        </w:rPr>
        <w:t>Federation</w:t>
      </w:r>
      <w:proofErr w:type="spellEnd"/>
      <w:r w:rsidRPr="00FA25FA">
        <w:rPr>
          <w:rFonts w:ascii="Times New Roman" w:hAnsi="Times New Roman" w:cs="Times New Roman"/>
          <w:i/>
          <w:sz w:val="24"/>
          <w:szCs w:val="24"/>
        </w:rPr>
        <w:t xml:space="preserve"> </w:t>
      </w:r>
      <w:proofErr w:type="spellStart"/>
      <w:r w:rsidRPr="00FA25FA">
        <w:rPr>
          <w:rFonts w:ascii="Times New Roman" w:hAnsi="Times New Roman" w:cs="Times New Roman"/>
          <w:i/>
          <w:sz w:val="24"/>
          <w:szCs w:val="24"/>
        </w:rPr>
        <w:t>of</w:t>
      </w:r>
      <w:proofErr w:type="spellEnd"/>
      <w:r w:rsidRPr="00FA25FA">
        <w:rPr>
          <w:rFonts w:ascii="Times New Roman" w:hAnsi="Times New Roman" w:cs="Times New Roman"/>
          <w:i/>
          <w:sz w:val="24"/>
          <w:szCs w:val="24"/>
        </w:rPr>
        <w:t xml:space="preserve"> </w:t>
      </w:r>
      <w:proofErr w:type="spellStart"/>
      <w:r w:rsidRPr="00FA25FA">
        <w:rPr>
          <w:rFonts w:ascii="Times New Roman" w:hAnsi="Times New Roman" w:cs="Times New Roman"/>
          <w:i/>
          <w:sz w:val="24"/>
          <w:szCs w:val="24"/>
        </w:rPr>
        <w:t>Accountants</w:t>
      </w:r>
      <w:proofErr w:type="spellEnd"/>
      <w:r w:rsidRPr="00FA25FA">
        <w:rPr>
          <w:rFonts w:ascii="Times New Roman" w:hAnsi="Times New Roman" w:cs="Times New Roman"/>
          <w:sz w:val="24"/>
          <w:szCs w:val="24"/>
        </w:rPr>
        <w:t xml:space="preserve"> (</w:t>
      </w:r>
      <w:proofErr w:type="spellStart"/>
      <w:r w:rsidRPr="00FA25FA">
        <w:rPr>
          <w:rFonts w:ascii="Times New Roman" w:hAnsi="Times New Roman" w:cs="Times New Roman"/>
          <w:sz w:val="24"/>
          <w:szCs w:val="24"/>
        </w:rPr>
        <w:t>IPSASB</w:t>
      </w:r>
      <w:proofErr w:type="spellEnd"/>
      <w:r w:rsidRPr="00FA25FA">
        <w:rPr>
          <w:rFonts w:ascii="Times New Roman" w:hAnsi="Times New Roman" w:cs="Times New Roman"/>
          <w:sz w:val="24"/>
          <w:szCs w:val="24"/>
        </w:rPr>
        <w:t>/</w:t>
      </w:r>
      <w:proofErr w:type="spellStart"/>
      <w:r w:rsidRPr="00FA25FA">
        <w:rPr>
          <w:rFonts w:ascii="Times New Roman" w:hAnsi="Times New Roman" w:cs="Times New Roman"/>
          <w:sz w:val="24"/>
          <w:szCs w:val="24"/>
        </w:rPr>
        <w:t>I</w:t>
      </w:r>
      <w:r w:rsidR="00F94760" w:rsidRPr="00FA25FA">
        <w:rPr>
          <w:rFonts w:ascii="Times New Roman" w:hAnsi="Times New Roman" w:cs="Times New Roman"/>
          <w:sz w:val="24"/>
          <w:szCs w:val="24"/>
        </w:rPr>
        <w:t>fac</w:t>
      </w:r>
      <w:proofErr w:type="spellEnd"/>
      <w:r w:rsidRPr="00FA25FA">
        <w:rPr>
          <w:rFonts w:ascii="Times New Roman" w:hAnsi="Times New Roman" w:cs="Times New Roman"/>
          <w:sz w:val="24"/>
          <w:szCs w:val="24"/>
        </w:rPr>
        <w:t>):</w:t>
      </w:r>
    </w:p>
    <w:p w:rsidR="007B2C30" w:rsidRPr="00FA25FA" w:rsidRDefault="007B2C30" w:rsidP="00C90977">
      <w:pPr>
        <w:spacing w:after="0" w:line="240" w:lineRule="auto"/>
        <w:jc w:val="both"/>
        <w:rPr>
          <w:rFonts w:ascii="Times New Roman" w:hAnsi="Times New Roman" w:cs="Times New Roman"/>
          <w:sz w:val="24"/>
          <w:szCs w:val="24"/>
        </w:rPr>
      </w:pPr>
    </w:p>
    <w:p w:rsidR="003A148E" w:rsidRPr="001F5526" w:rsidRDefault="003A148E" w:rsidP="00A06366">
      <w:pPr>
        <w:pStyle w:val="Ttulo2"/>
        <w:rPr>
          <w:b w:val="0"/>
          <w:szCs w:val="24"/>
        </w:rPr>
      </w:pPr>
      <w:r w:rsidRPr="00FA25FA">
        <w:rPr>
          <w:szCs w:val="24"/>
        </w:rPr>
        <w:t xml:space="preserve">NBC TSP </w:t>
      </w:r>
      <w:r w:rsidR="003B288B" w:rsidRPr="00FA25FA">
        <w:rPr>
          <w:szCs w:val="24"/>
        </w:rPr>
        <w:t>12</w:t>
      </w:r>
      <w:r w:rsidRPr="00FA25FA">
        <w:rPr>
          <w:szCs w:val="24"/>
        </w:rPr>
        <w:t xml:space="preserve"> – </w:t>
      </w:r>
      <w:r w:rsidR="003B288B" w:rsidRPr="00FA25FA">
        <w:rPr>
          <w:szCs w:val="24"/>
        </w:rPr>
        <w:t>DEMONSTRAÇÃO DOS FLUXOS DE CAIXA</w:t>
      </w:r>
    </w:p>
    <w:p w:rsidR="003A148E" w:rsidRPr="00FA25FA" w:rsidRDefault="003A148E" w:rsidP="003A148E">
      <w:pPr>
        <w:spacing w:after="0" w:line="276" w:lineRule="auto"/>
        <w:rPr>
          <w:rFonts w:ascii="Times New Roman" w:hAnsi="Times New Roman" w:cs="Times New Roman"/>
          <w:sz w:val="24"/>
          <w:szCs w:val="24"/>
        </w:rPr>
      </w:pP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4"/>
        <w:gridCol w:w="1470"/>
      </w:tblGrid>
      <w:tr w:rsidR="003A148E" w:rsidRPr="00FA25FA" w:rsidTr="00574912">
        <w:trPr>
          <w:jc w:val="center"/>
        </w:trPr>
        <w:tc>
          <w:tcPr>
            <w:tcW w:w="8264" w:type="dxa"/>
          </w:tcPr>
          <w:p w:rsidR="003A148E" w:rsidRPr="00FA25FA" w:rsidRDefault="00787617" w:rsidP="00376E65">
            <w:pPr>
              <w:spacing w:before="60" w:after="60" w:line="240" w:lineRule="auto"/>
              <w:jc w:val="both"/>
              <w:rPr>
                <w:rFonts w:ascii="Times New Roman" w:hAnsi="Times New Roman" w:cs="Times New Roman"/>
                <w:b/>
                <w:bCs/>
                <w:kern w:val="36"/>
                <w:sz w:val="24"/>
                <w:szCs w:val="24"/>
              </w:rPr>
            </w:pPr>
            <w:r w:rsidRPr="00FA25FA">
              <w:rPr>
                <w:rFonts w:ascii="Times New Roman" w:hAnsi="Times New Roman" w:cs="Times New Roman"/>
                <w:b/>
                <w:bCs/>
                <w:kern w:val="36"/>
                <w:sz w:val="24"/>
                <w:szCs w:val="24"/>
              </w:rPr>
              <w:t>Sumário</w:t>
            </w:r>
          </w:p>
        </w:tc>
        <w:tc>
          <w:tcPr>
            <w:tcW w:w="1470" w:type="dxa"/>
          </w:tcPr>
          <w:p w:rsidR="003A148E" w:rsidRPr="00FA25FA" w:rsidRDefault="003A148E" w:rsidP="0030550C">
            <w:pPr>
              <w:spacing w:before="60" w:after="60" w:line="240" w:lineRule="auto"/>
              <w:jc w:val="center"/>
              <w:rPr>
                <w:rFonts w:ascii="Times New Roman" w:hAnsi="Times New Roman" w:cs="Times New Roman"/>
                <w:b/>
                <w:bCs/>
                <w:kern w:val="36"/>
                <w:sz w:val="24"/>
                <w:szCs w:val="24"/>
              </w:rPr>
            </w:pPr>
            <w:r w:rsidRPr="00FA25FA">
              <w:rPr>
                <w:rFonts w:ascii="Times New Roman" w:hAnsi="Times New Roman" w:cs="Times New Roman"/>
                <w:b/>
                <w:bCs/>
                <w:kern w:val="36"/>
                <w:sz w:val="24"/>
                <w:szCs w:val="24"/>
              </w:rPr>
              <w:t>Item</w:t>
            </w:r>
          </w:p>
        </w:tc>
      </w:tr>
      <w:tr w:rsidR="003A148E" w:rsidRPr="00FA25FA" w:rsidTr="00574912">
        <w:trPr>
          <w:jc w:val="center"/>
        </w:trPr>
        <w:tc>
          <w:tcPr>
            <w:tcW w:w="8264" w:type="dxa"/>
          </w:tcPr>
          <w:p w:rsidR="003A148E" w:rsidRPr="00FA25FA" w:rsidRDefault="00FF32A9" w:rsidP="00376E65">
            <w:pPr>
              <w:spacing w:before="60" w:after="60" w:line="240" w:lineRule="auto"/>
              <w:jc w:val="both"/>
              <w:rPr>
                <w:rFonts w:ascii="Times New Roman" w:hAnsi="Times New Roman" w:cs="Times New Roman"/>
                <w:bCs/>
                <w:kern w:val="36"/>
                <w:sz w:val="24"/>
                <w:szCs w:val="24"/>
              </w:rPr>
            </w:pPr>
            <w:r w:rsidRPr="00FA25FA">
              <w:rPr>
                <w:rFonts w:ascii="Times New Roman" w:hAnsi="Times New Roman" w:cs="Times New Roman"/>
                <w:bCs/>
                <w:kern w:val="36"/>
                <w:sz w:val="24"/>
                <w:szCs w:val="24"/>
              </w:rPr>
              <w:t>Objetivo</w:t>
            </w:r>
          </w:p>
        </w:tc>
        <w:tc>
          <w:tcPr>
            <w:tcW w:w="1470" w:type="dxa"/>
            <w:vAlign w:val="center"/>
          </w:tcPr>
          <w:p w:rsidR="003A148E" w:rsidRPr="00FA25FA" w:rsidRDefault="003A148E" w:rsidP="0030550C">
            <w:pPr>
              <w:spacing w:before="60" w:after="60" w:line="240" w:lineRule="auto"/>
              <w:jc w:val="center"/>
              <w:rPr>
                <w:rFonts w:ascii="Times New Roman" w:hAnsi="Times New Roman" w:cs="Times New Roman"/>
                <w:bCs/>
                <w:kern w:val="36"/>
                <w:sz w:val="24"/>
                <w:szCs w:val="24"/>
              </w:rPr>
            </w:pPr>
          </w:p>
        </w:tc>
      </w:tr>
      <w:tr w:rsidR="003A148E" w:rsidRPr="00FA25FA" w:rsidTr="00574912">
        <w:trPr>
          <w:jc w:val="center"/>
        </w:trPr>
        <w:tc>
          <w:tcPr>
            <w:tcW w:w="8264" w:type="dxa"/>
          </w:tcPr>
          <w:p w:rsidR="003A148E" w:rsidRPr="00FA25FA" w:rsidRDefault="00787617" w:rsidP="00376E65">
            <w:pPr>
              <w:spacing w:before="60" w:after="60" w:line="240" w:lineRule="auto"/>
              <w:jc w:val="both"/>
              <w:rPr>
                <w:rFonts w:ascii="Times New Roman" w:hAnsi="Times New Roman" w:cs="Times New Roman"/>
                <w:bCs/>
                <w:kern w:val="36"/>
                <w:sz w:val="24"/>
                <w:szCs w:val="24"/>
              </w:rPr>
            </w:pPr>
            <w:r w:rsidRPr="00FA25FA">
              <w:rPr>
                <w:rFonts w:ascii="Times New Roman" w:hAnsi="Times New Roman" w:cs="Times New Roman"/>
                <w:bCs/>
                <w:kern w:val="36"/>
                <w:sz w:val="24"/>
                <w:szCs w:val="24"/>
              </w:rPr>
              <w:t>Alcance</w:t>
            </w:r>
          </w:p>
        </w:tc>
        <w:tc>
          <w:tcPr>
            <w:tcW w:w="1470" w:type="dxa"/>
            <w:vAlign w:val="center"/>
          </w:tcPr>
          <w:p w:rsidR="003A148E" w:rsidRPr="00FA25FA" w:rsidRDefault="0072761B" w:rsidP="0072761B">
            <w:pPr>
              <w:spacing w:before="60" w:after="60" w:line="240" w:lineRule="auto"/>
              <w:jc w:val="center"/>
              <w:rPr>
                <w:rFonts w:ascii="Times New Roman" w:hAnsi="Times New Roman" w:cs="Times New Roman"/>
                <w:bCs/>
                <w:kern w:val="36"/>
                <w:sz w:val="24"/>
                <w:szCs w:val="24"/>
              </w:rPr>
            </w:pPr>
            <w:r w:rsidRPr="00FA25FA">
              <w:rPr>
                <w:rFonts w:ascii="Times New Roman" w:hAnsi="Times New Roman" w:cs="Times New Roman"/>
                <w:bCs/>
                <w:kern w:val="36"/>
                <w:sz w:val="24"/>
                <w:szCs w:val="24"/>
              </w:rPr>
              <w:t>1</w:t>
            </w:r>
            <w:r w:rsidR="00787617" w:rsidRPr="00FA25FA">
              <w:rPr>
                <w:rFonts w:ascii="Times New Roman" w:hAnsi="Times New Roman" w:cs="Times New Roman"/>
                <w:bCs/>
                <w:kern w:val="36"/>
                <w:sz w:val="24"/>
                <w:szCs w:val="24"/>
              </w:rPr>
              <w:t xml:space="preserve"> – </w:t>
            </w:r>
            <w:r w:rsidRPr="00FA25FA">
              <w:rPr>
                <w:rFonts w:ascii="Times New Roman" w:hAnsi="Times New Roman" w:cs="Times New Roman"/>
                <w:bCs/>
                <w:kern w:val="36"/>
                <w:sz w:val="24"/>
                <w:szCs w:val="24"/>
              </w:rPr>
              <w:t>4</w:t>
            </w:r>
          </w:p>
        </w:tc>
      </w:tr>
      <w:tr w:rsidR="0072761B" w:rsidRPr="00FA25FA" w:rsidTr="00574912">
        <w:trPr>
          <w:jc w:val="center"/>
        </w:trPr>
        <w:tc>
          <w:tcPr>
            <w:tcW w:w="8264" w:type="dxa"/>
          </w:tcPr>
          <w:p w:rsidR="0072761B" w:rsidRPr="00FA25FA" w:rsidRDefault="0072761B" w:rsidP="006551DB">
            <w:pPr>
              <w:spacing w:before="60" w:after="60" w:line="240" w:lineRule="auto"/>
              <w:jc w:val="both"/>
              <w:rPr>
                <w:rFonts w:ascii="Times New Roman" w:hAnsi="Times New Roman" w:cs="Times New Roman"/>
                <w:bCs/>
                <w:kern w:val="36"/>
                <w:sz w:val="24"/>
                <w:szCs w:val="24"/>
              </w:rPr>
            </w:pPr>
            <w:r w:rsidRPr="00FA25FA">
              <w:rPr>
                <w:rFonts w:ascii="Times New Roman" w:hAnsi="Times New Roman" w:cs="Times New Roman"/>
                <w:sz w:val="24"/>
                <w:szCs w:val="24"/>
              </w:rPr>
              <w:t xml:space="preserve">Benefícios da </w:t>
            </w:r>
            <w:r w:rsidR="006551DB">
              <w:rPr>
                <w:rFonts w:ascii="Times New Roman" w:hAnsi="Times New Roman" w:cs="Times New Roman"/>
                <w:sz w:val="24"/>
                <w:szCs w:val="24"/>
              </w:rPr>
              <w:t>i</w:t>
            </w:r>
            <w:r w:rsidRPr="00FA25FA">
              <w:rPr>
                <w:rFonts w:ascii="Times New Roman" w:hAnsi="Times New Roman" w:cs="Times New Roman"/>
                <w:sz w:val="24"/>
                <w:szCs w:val="24"/>
              </w:rPr>
              <w:t xml:space="preserve">nformação dos </w:t>
            </w:r>
            <w:r w:rsidR="006551DB">
              <w:rPr>
                <w:rFonts w:ascii="Times New Roman" w:hAnsi="Times New Roman" w:cs="Times New Roman"/>
                <w:sz w:val="24"/>
                <w:szCs w:val="24"/>
              </w:rPr>
              <w:t>f</w:t>
            </w:r>
            <w:r w:rsidRPr="00FA25FA">
              <w:rPr>
                <w:rFonts w:ascii="Times New Roman" w:hAnsi="Times New Roman" w:cs="Times New Roman"/>
                <w:sz w:val="24"/>
                <w:szCs w:val="24"/>
              </w:rPr>
              <w:t xml:space="preserve">luxos de </w:t>
            </w:r>
            <w:r w:rsidR="006551DB">
              <w:rPr>
                <w:rFonts w:ascii="Times New Roman" w:hAnsi="Times New Roman" w:cs="Times New Roman"/>
                <w:sz w:val="24"/>
                <w:szCs w:val="24"/>
              </w:rPr>
              <w:t>c</w:t>
            </w:r>
            <w:r w:rsidRPr="00FA25FA">
              <w:rPr>
                <w:rFonts w:ascii="Times New Roman" w:hAnsi="Times New Roman" w:cs="Times New Roman"/>
                <w:sz w:val="24"/>
                <w:szCs w:val="24"/>
              </w:rPr>
              <w:t>aixa</w:t>
            </w:r>
          </w:p>
        </w:tc>
        <w:tc>
          <w:tcPr>
            <w:tcW w:w="1470" w:type="dxa"/>
            <w:vAlign w:val="center"/>
          </w:tcPr>
          <w:p w:rsidR="0072761B" w:rsidRPr="00FA25FA" w:rsidRDefault="0072761B" w:rsidP="008F043D">
            <w:pPr>
              <w:spacing w:before="60" w:after="60" w:line="240" w:lineRule="auto"/>
              <w:jc w:val="center"/>
              <w:rPr>
                <w:rFonts w:ascii="Times New Roman" w:hAnsi="Times New Roman" w:cs="Times New Roman"/>
                <w:bCs/>
                <w:kern w:val="36"/>
                <w:sz w:val="24"/>
                <w:szCs w:val="24"/>
              </w:rPr>
            </w:pPr>
            <w:r w:rsidRPr="00FA25FA">
              <w:rPr>
                <w:rFonts w:ascii="Times New Roman" w:hAnsi="Times New Roman" w:cs="Times New Roman"/>
                <w:bCs/>
                <w:kern w:val="36"/>
                <w:sz w:val="24"/>
                <w:szCs w:val="24"/>
              </w:rPr>
              <w:t>5 – 7</w:t>
            </w:r>
          </w:p>
        </w:tc>
      </w:tr>
      <w:tr w:rsidR="003A148E" w:rsidRPr="00FA25FA" w:rsidTr="00574912">
        <w:trPr>
          <w:jc w:val="center"/>
        </w:trPr>
        <w:tc>
          <w:tcPr>
            <w:tcW w:w="8264" w:type="dxa"/>
          </w:tcPr>
          <w:p w:rsidR="003A148E" w:rsidRPr="00FA25FA" w:rsidRDefault="00FF32A9" w:rsidP="00376E65">
            <w:pPr>
              <w:spacing w:before="60" w:after="60" w:line="240" w:lineRule="auto"/>
              <w:jc w:val="both"/>
              <w:rPr>
                <w:rFonts w:ascii="Times New Roman" w:hAnsi="Times New Roman" w:cs="Times New Roman"/>
                <w:bCs/>
                <w:kern w:val="36"/>
                <w:sz w:val="24"/>
                <w:szCs w:val="24"/>
              </w:rPr>
            </w:pPr>
            <w:r w:rsidRPr="00FA25FA">
              <w:rPr>
                <w:rFonts w:ascii="Times New Roman" w:hAnsi="Times New Roman" w:cs="Times New Roman"/>
                <w:bCs/>
                <w:kern w:val="36"/>
                <w:sz w:val="24"/>
                <w:szCs w:val="24"/>
              </w:rPr>
              <w:t>Definições</w:t>
            </w:r>
          </w:p>
        </w:tc>
        <w:tc>
          <w:tcPr>
            <w:tcW w:w="1470" w:type="dxa"/>
            <w:vAlign w:val="center"/>
          </w:tcPr>
          <w:p w:rsidR="003A148E" w:rsidRPr="00FA25FA" w:rsidRDefault="0072761B" w:rsidP="0072761B">
            <w:pPr>
              <w:spacing w:before="60" w:after="60" w:line="240" w:lineRule="auto"/>
              <w:jc w:val="center"/>
              <w:rPr>
                <w:rFonts w:ascii="Times New Roman" w:hAnsi="Times New Roman" w:cs="Times New Roman"/>
                <w:bCs/>
                <w:kern w:val="36"/>
                <w:sz w:val="24"/>
                <w:szCs w:val="24"/>
              </w:rPr>
            </w:pPr>
            <w:r w:rsidRPr="00FA25FA">
              <w:rPr>
                <w:rFonts w:ascii="Times New Roman" w:hAnsi="Times New Roman" w:cs="Times New Roman"/>
                <w:bCs/>
                <w:kern w:val="36"/>
                <w:sz w:val="24"/>
                <w:szCs w:val="24"/>
              </w:rPr>
              <w:t>8</w:t>
            </w:r>
            <w:r w:rsidR="00A44357" w:rsidRPr="00FA25FA">
              <w:rPr>
                <w:rFonts w:ascii="Times New Roman" w:hAnsi="Times New Roman" w:cs="Times New Roman"/>
                <w:bCs/>
                <w:kern w:val="36"/>
                <w:sz w:val="24"/>
                <w:szCs w:val="24"/>
              </w:rPr>
              <w:t xml:space="preserve"> – 1</w:t>
            </w:r>
            <w:r w:rsidRPr="00FA25FA">
              <w:rPr>
                <w:rFonts w:ascii="Times New Roman" w:hAnsi="Times New Roman" w:cs="Times New Roman"/>
                <w:bCs/>
                <w:kern w:val="36"/>
                <w:sz w:val="24"/>
                <w:szCs w:val="24"/>
              </w:rPr>
              <w:t>7</w:t>
            </w:r>
          </w:p>
        </w:tc>
      </w:tr>
      <w:tr w:rsidR="003A148E" w:rsidRPr="00FA25FA" w:rsidTr="00574912">
        <w:trPr>
          <w:jc w:val="center"/>
        </w:trPr>
        <w:tc>
          <w:tcPr>
            <w:tcW w:w="8264" w:type="dxa"/>
          </w:tcPr>
          <w:p w:rsidR="003A148E" w:rsidRPr="00FA25FA" w:rsidRDefault="0072761B" w:rsidP="00376E65">
            <w:pPr>
              <w:spacing w:before="60" w:after="60" w:line="240" w:lineRule="auto"/>
              <w:ind w:left="366"/>
              <w:jc w:val="both"/>
              <w:rPr>
                <w:rFonts w:ascii="Times New Roman" w:hAnsi="Times New Roman" w:cs="Times New Roman"/>
                <w:bCs/>
                <w:kern w:val="36"/>
                <w:sz w:val="24"/>
                <w:szCs w:val="24"/>
              </w:rPr>
            </w:pPr>
            <w:r w:rsidRPr="00FA25FA">
              <w:rPr>
                <w:rFonts w:ascii="Times New Roman" w:hAnsi="Times New Roman" w:cs="Times New Roman"/>
                <w:sz w:val="24"/>
                <w:szCs w:val="24"/>
              </w:rPr>
              <w:t>Caixa e equivalentes de caixa</w:t>
            </w:r>
          </w:p>
        </w:tc>
        <w:tc>
          <w:tcPr>
            <w:tcW w:w="1470" w:type="dxa"/>
            <w:vAlign w:val="center"/>
          </w:tcPr>
          <w:p w:rsidR="003A148E" w:rsidRPr="00FA25FA" w:rsidRDefault="0072761B" w:rsidP="0072761B">
            <w:pPr>
              <w:spacing w:before="60" w:after="60" w:line="240" w:lineRule="auto"/>
              <w:jc w:val="center"/>
              <w:rPr>
                <w:rFonts w:ascii="Times New Roman" w:hAnsi="Times New Roman" w:cs="Times New Roman"/>
                <w:bCs/>
                <w:kern w:val="36"/>
                <w:sz w:val="24"/>
                <w:szCs w:val="24"/>
              </w:rPr>
            </w:pPr>
            <w:r w:rsidRPr="00FA25FA">
              <w:rPr>
                <w:rFonts w:ascii="Times New Roman" w:hAnsi="Times New Roman" w:cs="Times New Roman"/>
                <w:bCs/>
                <w:kern w:val="36"/>
                <w:sz w:val="24"/>
                <w:szCs w:val="24"/>
              </w:rPr>
              <w:t>9 – 11</w:t>
            </w:r>
          </w:p>
        </w:tc>
      </w:tr>
      <w:tr w:rsidR="0072761B" w:rsidRPr="00FA25FA" w:rsidTr="00574912">
        <w:trPr>
          <w:jc w:val="center"/>
        </w:trPr>
        <w:tc>
          <w:tcPr>
            <w:tcW w:w="8264" w:type="dxa"/>
          </w:tcPr>
          <w:p w:rsidR="0072761B" w:rsidRPr="00FA25FA" w:rsidRDefault="0072761B" w:rsidP="00376E65">
            <w:pPr>
              <w:spacing w:before="60" w:after="60" w:line="240" w:lineRule="auto"/>
              <w:ind w:left="366"/>
              <w:jc w:val="both"/>
              <w:rPr>
                <w:rFonts w:ascii="Times New Roman" w:hAnsi="Times New Roman" w:cs="Times New Roman"/>
                <w:bCs/>
                <w:kern w:val="36"/>
                <w:sz w:val="24"/>
                <w:szCs w:val="24"/>
              </w:rPr>
            </w:pPr>
            <w:r w:rsidRPr="00FA25FA">
              <w:rPr>
                <w:rFonts w:ascii="Times New Roman" w:hAnsi="Times New Roman" w:cs="Times New Roman"/>
                <w:sz w:val="24"/>
                <w:szCs w:val="24"/>
              </w:rPr>
              <w:t>Entidade econômica</w:t>
            </w:r>
          </w:p>
        </w:tc>
        <w:tc>
          <w:tcPr>
            <w:tcW w:w="1470" w:type="dxa"/>
            <w:vAlign w:val="center"/>
          </w:tcPr>
          <w:p w:rsidR="0072761B" w:rsidRPr="00FA25FA" w:rsidRDefault="0072761B" w:rsidP="008F043D">
            <w:pPr>
              <w:spacing w:before="60" w:after="60" w:line="240" w:lineRule="auto"/>
              <w:jc w:val="center"/>
              <w:rPr>
                <w:rFonts w:ascii="Times New Roman" w:hAnsi="Times New Roman" w:cs="Times New Roman"/>
                <w:bCs/>
                <w:kern w:val="36"/>
                <w:sz w:val="24"/>
                <w:szCs w:val="24"/>
              </w:rPr>
            </w:pPr>
            <w:r w:rsidRPr="00FA25FA">
              <w:rPr>
                <w:rFonts w:ascii="Times New Roman" w:hAnsi="Times New Roman" w:cs="Times New Roman"/>
                <w:bCs/>
                <w:kern w:val="36"/>
                <w:sz w:val="24"/>
                <w:szCs w:val="24"/>
              </w:rPr>
              <w:t>12 – 14</w:t>
            </w:r>
          </w:p>
        </w:tc>
      </w:tr>
      <w:tr w:rsidR="0072761B" w:rsidRPr="00FA25FA" w:rsidTr="00574912">
        <w:trPr>
          <w:jc w:val="center"/>
        </w:trPr>
        <w:tc>
          <w:tcPr>
            <w:tcW w:w="8264" w:type="dxa"/>
          </w:tcPr>
          <w:p w:rsidR="0072761B" w:rsidRPr="00FA25FA" w:rsidRDefault="0072761B" w:rsidP="00376E65">
            <w:pPr>
              <w:spacing w:before="60" w:after="60" w:line="240" w:lineRule="auto"/>
              <w:ind w:left="366"/>
              <w:jc w:val="both"/>
              <w:rPr>
                <w:rFonts w:ascii="Times New Roman" w:hAnsi="Times New Roman" w:cs="Times New Roman"/>
                <w:bCs/>
                <w:kern w:val="36"/>
                <w:sz w:val="24"/>
                <w:szCs w:val="24"/>
              </w:rPr>
            </w:pPr>
            <w:r w:rsidRPr="00FA25FA">
              <w:rPr>
                <w:rFonts w:ascii="Times New Roman" w:hAnsi="Times New Roman" w:cs="Times New Roman"/>
                <w:sz w:val="24"/>
                <w:szCs w:val="24"/>
              </w:rPr>
              <w:t>Benefícios econômicos futuros ou potencial de serviços</w:t>
            </w:r>
          </w:p>
        </w:tc>
        <w:tc>
          <w:tcPr>
            <w:tcW w:w="1470" w:type="dxa"/>
            <w:vAlign w:val="center"/>
          </w:tcPr>
          <w:p w:rsidR="0072761B" w:rsidRPr="00FA25FA" w:rsidRDefault="0072761B" w:rsidP="008F043D">
            <w:pPr>
              <w:spacing w:before="60" w:after="60" w:line="240" w:lineRule="auto"/>
              <w:jc w:val="center"/>
              <w:rPr>
                <w:rFonts w:ascii="Times New Roman" w:hAnsi="Times New Roman" w:cs="Times New Roman"/>
                <w:bCs/>
                <w:kern w:val="36"/>
                <w:sz w:val="24"/>
                <w:szCs w:val="24"/>
              </w:rPr>
            </w:pPr>
            <w:r w:rsidRPr="00FA25FA">
              <w:rPr>
                <w:rFonts w:ascii="Times New Roman" w:hAnsi="Times New Roman" w:cs="Times New Roman"/>
                <w:bCs/>
                <w:kern w:val="36"/>
                <w:sz w:val="24"/>
                <w:szCs w:val="24"/>
              </w:rPr>
              <w:t>15 – 16</w:t>
            </w:r>
          </w:p>
        </w:tc>
      </w:tr>
      <w:tr w:rsidR="003A148E" w:rsidRPr="00FA25FA" w:rsidTr="00574912">
        <w:trPr>
          <w:jc w:val="center"/>
        </w:trPr>
        <w:tc>
          <w:tcPr>
            <w:tcW w:w="8264" w:type="dxa"/>
          </w:tcPr>
          <w:p w:rsidR="003A148E" w:rsidRPr="00FA25FA" w:rsidRDefault="0072761B" w:rsidP="00376E65">
            <w:pPr>
              <w:spacing w:before="60" w:after="60" w:line="240" w:lineRule="auto"/>
              <w:ind w:left="366"/>
              <w:jc w:val="both"/>
              <w:rPr>
                <w:rFonts w:ascii="Times New Roman" w:hAnsi="Times New Roman" w:cs="Times New Roman"/>
                <w:bCs/>
                <w:kern w:val="36"/>
                <w:sz w:val="24"/>
                <w:szCs w:val="24"/>
              </w:rPr>
            </w:pPr>
            <w:r w:rsidRPr="00FA25FA">
              <w:rPr>
                <w:rFonts w:ascii="Times New Roman" w:hAnsi="Times New Roman" w:cs="Times New Roman"/>
                <w:sz w:val="24"/>
                <w:szCs w:val="24"/>
              </w:rPr>
              <w:t>Patrimônio líquido</w:t>
            </w:r>
          </w:p>
        </w:tc>
        <w:tc>
          <w:tcPr>
            <w:tcW w:w="1470" w:type="dxa"/>
            <w:vAlign w:val="center"/>
          </w:tcPr>
          <w:p w:rsidR="003A148E" w:rsidRPr="00FA25FA" w:rsidRDefault="0072761B" w:rsidP="0072761B">
            <w:pPr>
              <w:spacing w:before="60" w:after="60" w:line="240" w:lineRule="auto"/>
              <w:jc w:val="center"/>
              <w:rPr>
                <w:rFonts w:ascii="Times New Roman" w:hAnsi="Times New Roman" w:cs="Times New Roman"/>
                <w:bCs/>
                <w:kern w:val="36"/>
                <w:sz w:val="24"/>
                <w:szCs w:val="24"/>
              </w:rPr>
            </w:pPr>
            <w:r w:rsidRPr="00FA25FA">
              <w:rPr>
                <w:rFonts w:ascii="Times New Roman" w:hAnsi="Times New Roman" w:cs="Times New Roman"/>
                <w:bCs/>
                <w:kern w:val="36"/>
                <w:sz w:val="24"/>
                <w:szCs w:val="24"/>
              </w:rPr>
              <w:t>17</w:t>
            </w:r>
          </w:p>
        </w:tc>
      </w:tr>
      <w:tr w:rsidR="003A148E" w:rsidRPr="00FA25FA" w:rsidTr="00574912">
        <w:trPr>
          <w:jc w:val="center"/>
        </w:trPr>
        <w:tc>
          <w:tcPr>
            <w:tcW w:w="8264" w:type="dxa"/>
          </w:tcPr>
          <w:p w:rsidR="003A148E" w:rsidRPr="00FA25FA" w:rsidRDefault="0072761B" w:rsidP="00376E65">
            <w:pPr>
              <w:spacing w:before="60" w:after="60" w:line="240" w:lineRule="auto"/>
              <w:jc w:val="both"/>
              <w:rPr>
                <w:rFonts w:ascii="Times New Roman" w:hAnsi="Times New Roman" w:cs="Times New Roman"/>
                <w:bCs/>
                <w:kern w:val="36"/>
                <w:sz w:val="24"/>
                <w:szCs w:val="24"/>
              </w:rPr>
            </w:pPr>
            <w:r w:rsidRPr="00FA25FA">
              <w:rPr>
                <w:rFonts w:ascii="Times New Roman" w:hAnsi="Times New Roman" w:cs="Times New Roman"/>
                <w:sz w:val="24"/>
                <w:szCs w:val="24"/>
              </w:rPr>
              <w:t>Apresentação da demonstração dos fluxos de caixa</w:t>
            </w:r>
          </w:p>
        </w:tc>
        <w:tc>
          <w:tcPr>
            <w:tcW w:w="1470" w:type="dxa"/>
            <w:vAlign w:val="center"/>
          </w:tcPr>
          <w:p w:rsidR="003A148E" w:rsidRPr="00FA25FA" w:rsidRDefault="00376E65" w:rsidP="00376E65">
            <w:pPr>
              <w:spacing w:before="60" w:after="60" w:line="240" w:lineRule="auto"/>
              <w:jc w:val="center"/>
              <w:rPr>
                <w:rFonts w:ascii="Times New Roman" w:hAnsi="Times New Roman" w:cs="Times New Roman"/>
                <w:bCs/>
                <w:kern w:val="36"/>
                <w:sz w:val="24"/>
                <w:szCs w:val="24"/>
              </w:rPr>
            </w:pPr>
            <w:r w:rsidRPr="00FA25FA">
              <w:rPr>
                <w:rFonts w:ascii="Times New Roman" w:hAnsi="Times New Roman" w:cs="Times New Roman"/>
                <w:bCs/>
                <w:kern w:val="36"/>
                <w:sz w:val="24"/>
                <w:szCs w:val="24"/>
              </w:rPr>
              <w:t>18</w:t>
            </w:r>
            <w:r w:rsidR="00787617" w:rsidRPr="00FA25FA">
              <w:rPr>
                <w:rFonts w:ascii="Times New Roman" w:hAnsi="Times New Roman" w:cs="Times New Roman"/>
                <w:bCs/>
                <w:kern w:val="36"/>
                <w:sz w:val="24"/>
                <w:szCs w:val="24"/>
              </w:rPr>
              <w:t xml:space="preserve"> – </w:t>
            </w:r>
            <w:r w:rsidR="008F043D" w:rsidRPr="00FA25FA">
              <w:rPr>
                <w:rFonts w:ascii="Times New Roman" w:hAnsi="Times New Roman" w:cs="Times New Roman"/>
                <w:bCs/>
                <w:kern w:val="36"/>
                <w:sz w:val="24"/>
                <w:szCs w:val="24"/>
              </w:rPr>
              <w:t>2</w:t>
            </w:r>
            <w:r w:rsidRPr="00FA25FA">
              <w:rPr>
                <w:rFonts w:ascii="Times New Roman" w:hAnsi="Times New Roman" w:cs="Times New Roman"/>
                <w:bCs/>
                <w:kern w:val="36"/>
                <w:sz w:val="24"/>
                <w:szCs w:val="24"/>
              </w:rPr>
              <w:t>6</w:t>
            </w:r>
          </w:p>
        </w:tc>
      </w:tr>
      <w:tr w:rsidR="00376E65" w:rsidRPr="00FA25FA" w:rsidTr="0097641C">
        <w:trPr>
          <w:jc w:val="center"/>
        </w:trPr>
        <w:tc>
          <w:tcPr>
            <w:tcW w:w="8264" w:type="dxa"/>
          </w:tcPr>
          <w:p w:rsidR="00376E65" w:rsidRPr="00FA25FA" w:rsidRDefault="00376E65" w:rsidP="00376E65">
            <w:pPr>
              <w:spacing w:before="60" w:after="60" w:line="240" w:lineRule="auto"/>
              <w:ind w:left="366"/>
              <w:jc w:val="both"/>
              <w:rPr>
                <w:rFonts w:ascii="Times New Roman" w:hAnsi="Times New Roman" w:cs="Times New Roman"/>
                <w:bCs/>
                <w:kern w:val="36"/>
                <w:sz w:val="24"/>
                <w:szCs w:val="24"/>
              </w:rPr>
            </w:pPr>
            <w:r w:rsidRPr="00FA25FA">
              <w:rPr>
                <w:rFonts w:ascii="Times New Roman" w:hAnsi="Times New Roman" w:cs="Times New Roman"/>
                <w:sz w:val="24"/>
                <w:szCs w:val="24"/>
              </w:rPr>
              <w:t>Atividades operacionais</w:t>
            </w:r>
          </w:p>
        </w:tc>
        <w:tc>
          <w:tcPr>
            <w:tcW w:w="1470" w:type="dxa"/>
            <w:vAlign w:val="center"/>
          </w:tcPr>
          <w:p w:rsidR="00376E65" w:rsidRPr="00FA25FA" w:rsidRDefault="00376E65" w:rsidP="00376E65">
            <w:pPr>
              <w:spacing w:before="60" w:after="60" w:line="240" w:lineRule="auto"/>
              <w:jc w:val="center"/>
              <w:rPr>
                <w:rFonts w:ascii="Times New Roman" w:hAnsi="Times New Roman" w:cs="Times New Roman"/>
                <w:bCs/>
                <w:kern w:val="36"/>
                <w:sz w:val="24"/>
                <w:szCs w:val="24"/>
              </w:rPr>
            </w:pPr>
            <w:r w:rsidRPr="00FA25FA">
              <w:rPr>
                <w:rFonts w:ascii="Times New Roman" w:hAnsi="Times New Roman" w:cs="Times New Roman"/>
                <w:bCs/>
                <w:kern w:val="36"/>
                <w:sz w:val="24"/>
                <w:szCs w:val="24"/>
              </w:rPr>
              <w:t>21 – 24</w:t>
            </w:r>
          </w:p>
        </w:tc>
      </w:tr>
      <w:tr w:rsidR="00376E65" w:rsidRPr="00FA25FA" w:rsidTr="0097641C">
        <w:trPr>
          <w:jc w:val="center"/>
        </w:trPr>
        <w:tc>
          <w:tcPr>
            <w:tcW w:w="8264" w:type="dxa"/>
          </w:tcPr>
          <w:p w:rsidR="00376E65" w:rsidRPr="00FA25FA" w:rsidRDefault="00376E65" w:rsidP="006551DB">
            <w:pPr>
              <w:spacing w:before="60" w:after="60" w:line="240" w:lineRule="auto"/>
              <w:ind w:left="366"/>
              <w:jc w:val="both"/>
              <w:rPr>
                <w:rFonts w:ascii="Times New Roman" w:hAnsi="Times New Roman" w:cs="Times New Roman"/>
                <w:bCs/>
                <w:kern w:val="36"/>
                <w:sz w:val="24"/>
                <w:szCs w:val="24"/>
              </w:rPr>
            </w:pPr>
            <w:r w:rsidRPr="00FA25FA">
              <w:rPr>
                <w:rFonts w:ascii="Times New Roman" w:hAnsi="Times New Roman" w:cs="Times New Roman"/>
                <w:sz w:val="24"/>
                <w:szCs w:val="24"/>
              </w:rPr>
              <w:t xml:space="preserve">Atividades de </w:t>
            </w:r>
            <w:r w:rsidR="006551DB">
              <w:rPr>
                <w:rFonts w:ascii="Times New Roman" w:hAnsi="Times New Roman" w:cs="Times New Roman"/>
                <w:sz w:val="24"/>
                <w:szCs w:val="24"/>
              </w:rPr>
              <w:t>i</w:t>
            </w:r>
            <w:r w:rsidRPr="00FA25FA">
              <w:rPr>
                <w:rFonts w:ascii="Times New Roman" w:hAnsi="Times New Roman" w:cs="Times New Roman"/>
                <w:sz w:val="24"/>
                <w:szCs w:val="24"/>
              </w:rPr>
              <w:t>nvestimento</w:t>
            </w:r>
          </w:p>
        </w:tc>
        <w:tc>
          <w:tcPr>
            <w:tcW w:w="1470" w:type="dxa"/>
            <w:vAlign w:val="center"/>
          </w:tcPr>
          <w:p w:rsidR="00376E65" w:rsidRPr="00FA25FA" w:rsidRDefault="00376E65" w:rsidP="00376E65">
            <w:pPr>
              <w:spacing w:before="60" w:after="60" w:line="240" w:lineRule="auto"/>
              <w:jc w:val="center"/>
              <w:rPr>
                <w:rFonts w:ascii="Times New Roman" w:hAnsi="Times New Roman" w:cs="Times New Roman"/>
                <w:bCs/>
                <w:kern w:val="36"/>
                <w:sz w:val="24"/>
                <w:szCs w:val="24"/>
              </w:rPr>
            </w:pPr>
            <w:r w:rsidRPr="00FA25FA">
              <w:rPr>
                <w:rFonts w:ascii="Times New Roman" w:hAnsi="Times New Roman" w:cs="Times New Roman"/>
                <w:bCs/>
                <w:kern w:val="36"/>
                <w:sz w:val="24"/>
                <w:szCs w:val="24"/>
              </w:rPr>
              <w:t>25</w:t>
            </w:r>
          </w:p>
        </w:tc>
      </w:tr>
      <w:tr w:rsidR="00376E65" w:rsidRPr="00FA25FA" w:rsidTr="0097641C">
        <w:trPr>
          <w:jc w:val="center"/>
        </w:trPr>
        <w:tc>
          <w:tcPr>
            <w:tcW w:w="8264" w:type="dxa"/>
          </w:tcPr>
          <w:p w:rsidR="00376E65" w:rsidRPr="00FA25FA" w:rsidRDefault="00376E65" w:rsidP="00376E65">
            <w:pPr>
              <w:spacing w:before="60" w:after="60" w:line="240" w:lineRule="auto"/>
              <w:ind w:left="366"/>
              <w:jc w:val="both"/>
              <w:rPr>
                <w:rFonts w:ascii="Times New Roman" w:hAnsi="Times New Roman" w:cs="Times New Roman"/>
                <w:bCs/>
                <w:kern w:val="36"/>
                <w:sz w:val="24"/>
                <w:szCs w:val="24"/>
              </w:rPr>
            </w:pPr>
            <w:r w:rsidRPr="00FA25FA">
              <w:rPr>
                <w:rFonts w:ascii="Times New Roman" w:hAnsi="Times New Roman" w:cs="Times New Roman"/>
                <w:sz w:val="24"/>
                <w:szCs w:val="24"/>
              </w:rPr>
              <w:t>Atividades de financiamento</w:t>
            </w:r>
          </w:p>
        </w:tc>
        <w:tc>
          <w:tcPr>
            <w:tcW w:w="1470" w:type="dxa"/>
            <w:vAlign w:val="center"/>
          </w:tcPr>
          <w:p w:rsidR="00376E65" w:rsidRPr="00FA25FA" w:rsidRDefault="00376E65" w:rsidP="00376E65">
            <w:pPr>
              <w:spacing w:before="60" w:after="60" w:line="240" w:lineRule="auto"/>
              <w:jc w:val="center"/>
              <w:rPr>
                <w:rFonts w:ascii="Times New Roman" w:hAnsi="Times New Roman" w:cs="Times New Roman"/>
                <w:bCs/>
                <w:kern w:val="36"/>
                <w:sz w:val="24"/>
                <w:szCs w:val="24"/>
              </w:rPr>
            </w:pPr>
            <w:r w:rsidRPr="00FA25FA">
              <w:rPr>
                <w:rFonts w:ascii="Times New Roman" w:hAnsi="Times New Roman" w:cs="Times New Roman"/>
                <w:bCs/>
                <w:kern w:val="36"/>
                <w:sz w:val="24"/>
                <w:szCs w:val="24"/>
              </w:rPr>
              <w:t>26</w:t>
            </w:r>
          </w:p>
        </w:tc>
      </w:tr>
      <w:tr w:rsidR="0072761B" w:rsidRPr="00FA25FA" w:rsidTr="00574912">
        <w:trPr>
          <w:jc w:val="center"/>
        </w:trPr>
        <w:tc>
          <w:tcPr>
            <w:tcW w:w="8264" w:type="dxa"/>
          </w:tcPr>
          <w:p w:rsidR="0072761B" w:rsidRPr="00FA25FA" w:rsidRDefault="00376E65" w:rsidP="00376E65">
            <w:pPr>
              <w:spacing w:before="60" w:after="60" w:line="240" w:lineRule="auto"/>
              <w:jc w:val="both"/>
              <w:rPr>
                <w:rFonts w:ascii="Times New Roman" w:hAnsi="Times New Roman" w:cs="Times New Roman"/>
                <w:bCs/>
                <w:kern w:val="36"/>
                <w:sz w:val="24"/>
                <w:szCs w:val="24"/>
              </w:rPr>
            </w:pPr>
            <w:r w:rsidRPr="00FA25FA">
              <w:rPr>
                <w:rFonts w:ascii="Times New Roman" w:hAnsi="Times New Roman" w:cs="Times New Roman"/>
                <w:sz w:val="24"/>
                <w:szCs w:val="24"/>
              </w:rPr>
              <w:t>Apresentação de fluxos de caixa das atividades operacionais</w:t>
            </w:r>
          </w:p>
        </w:tc>
        <w:tc>
          <w:tcPr>
            <w:tcW w:w="1470" w:type="dxa"/>
            <w:vAlign w:val="center"/>
          </w:tcPr>
          <w:p w:rsidR="0072761B" w:rsidRPr="00FA25FA" w:rsidRDefault="00376E65" w:rsidP="008F043D">
            <w:pPr>
              <w:spacing w:before="60" w:after="60" w:line="240" w:lineRule="auto"/>
              <w:jc w:val="center"/>
              <w:rPr>
                <w:rFonts w:ascii="Times New Roman" w:hAnsi="Times New Roman" w:cs="Times New Roman"/>
                <w:bCs/>
                <w:kern w:val="36"/>
                <w:sz w:val="24"/>
                <w:szCs w:val="24"/>
              </w:rPr>
            </w:pPr>
            <w:r w:rsidRPr="00FA25FA">
              <w:rPr>
                <w:rFonts w:ascii="Times New Roman" w:hAnsi="Times New Roman" w:cs="Times New Roman"/>
                <w:bCs/>
                <w:kern w:val="36"/>
                <w:sz w:val="24"/>
                <w:szCs w:val="24"/>
              </w:rPr>
              <w:t>27 – 30</w:t>
            </w:r>
          </w:p>
        </w:tc>
      </w:tr>
      <w:tr w:rsidR="0072761B" w:rsidRPr="00FA25FA" w:rsidTr="00574912">
        <w:trPr>
          <w:jc w:val="center"/>
        </w:trPr>
        <w:tc>
          <w:tcPr>
            <w:tcW w:w="8264" w:type="dxa"/>
          </w:tcPr>
          <w:p w:rsidR="0072761B" w:rsidRPr="00FA25FA" w:rsidRDefault="00376E65" w:rsidP="00376E65">
            <w:pPr>
              <w:spacing w:before="60" w:after="60" w:line="240" w:lineRule="auto"/>
              <w:jc w:val="both"/>
              <w:rPr>
                <w:rFonts w:ascii="Times New Roman" w:hAnsi="Times New Roman" w:cs="Times New Roman"/>
                <w:bCs/>
                <w:kern w:val="36"/>
                <w:sz w:val="24"/>
                <w:szCs w:val="24"/>
              </w:rPr>
            </w:pPr>
            <w:r w:rsidRPr="00FA25FA">
              <w:rPr>
                <w:rFonts w:ascii="Times New Roman" w:hAnsi="Times New Roman" w:cs="Times New Roman"/>
                <w:sz w:val="24"/>
                <w:szCs w:val="24"/>
              </w:rPr>
              <w:t>Apresentação dos fluxos de caixa das atividades de investimento e de financiamento</w:t>
            </w:r>
          </w:p>
        </w:tc>
        <w:tc>
          <w:tcPr>
            <w:tcW w:w="1470" w:type="dxa"/>
            <w:vAlign w:val="center"/>
          </w:tcPr>
          <w:p w:rsidR="0072761B" w:rsidRPr="00FA25FA" w:rsidRDefault="00376E65" w:rsidP="008F043D">
            <w:pPr>
              <w:spacing w:before="60" w:after="60" w:line="240" w:lineRule="auto"/>
              <w:jc w:val="center"/>
              <w:rPr>
                <w:rFonts w:ascii="Times New Roman" w:hAnsi="Times New Roman" w:cs="Times New Roman"/>
                <w:bCs/>
                <w:kern w:val="36"/>
                <w:sz w:val="24"/>
                <w:szCs w:val="24"/>
              </w:rPr>
            </w:pPr>
            <w:r w:rsidRPr="00FA25FA">
              <w:rPr>
                <w:rFonts w:ascii="Times New Roman" w:hAnsi="Times New Roman" w:cs="Times New Roman"/>
                <w:bCs/>
                <w:kern w:val="36"/>
                <w:sz w:val="24"/>
                <w:szCs w:val="24"/>
              </w:rPr>
              <w:t>31</w:t>
            </w:r>
          </w:p>
        </w:tc>
      </w:tr>
      <w:tr w:rsidR="003A148E" w:rsidRPr="00FA25FA" w:rsidTr="00574912">
        <w:trPr>
          <w:jc w:val="center"/>
        </w:trPr>
        <w:tc>
          <w:tcPr>
            <w:tcW w:w="8264" w:type="dxa"/>
          </w:tcPr>
          <w:p w:rsidR="003A148E" w:rsidRPr="00FA25FA" w:rsidRDefault="00376E65" w:rsidP="00376E65">
            <w:pPr>
              <w:spacing w:before="60" w:after="60" w:line="240" w:lineRule="auto"/>
              <w:jc w:val="both"/>
              <w:rPr>
                <w:rFonts w:ascii="Times New Roman" w:hAnsi="Times New Roman" w:cs="Times New Roman"/>
                <w:bCs/>
                <w:kern w:val="36"/>
                <w:sz w:val="24"/>
                <w:szCs w:val="24"/>
              </w:rPr>
            </w:pPr>
            <w:r w:rsidRPr="00FA25FA">
              <w:rPr>
                <w:rFonts w:ascii="Times New Roman" w:hAnsi="Times New Roman" w:cs="Times New Roman"/>
                <w:sz w:val="24"/>
                <w:szCs w:val="24"/>
              </w:rPr>
              <w:t>Apresentação dos fluxos de caixa em base líquida</w:t>
            </w:r>
          </w:p>
        </w:tc>
        <w:tc>
          <w:tcPr>
            <w:tcW w:w="1470" w:type="dxa"/>
            <w:vAlign w:val="center"/>
          </w:tcPr>
          <w:p w:rsidR="003A148E" w:rsidRPr="00FA25FA" w:rsidRDefault="00376E65" w:rsidP="00376E65">
            <w:pPr>
              <w:spacing w:before="60" w:after="60" w:line="240" w:lineRule="auto"/>
              <w:jc w:val="center"/>
              <w:rPr>
                <w:rFonts w:ascii="Times New Roman" w:hAnsi="Times New Roman" w:cs="Times New Roman"/>
                <w:bCs/>
                <w:kern w:val="36"/>
                <w:sz w:val="24"/>
                <w:szCs w:val="24"/>
              </w:rPr>
            </w:pPr>
            <w:r w:rsidRPr="00FA25FA">
              <w:rPr>
                <w:rFonts w:ascii="Times New Roman" w:hAnsi="Times New Roman" w:cs="Times New Roman"/>
                <w:bCs/>
                <w:kern w:val="36"/>
                <w:sz w:val="24"/>
                <w:szCs w:val="24"/>
              </w:rPr>
              <w:t>32</w:t>
            </w:r>
            <w:r w:rsidR="00787617" w:rsidRPr="00FA25FA">
              <w:rPr>
                <w:rFonts w:ascii="Times New Roman" w:hAnsi="Times New Roman" w:cs="Times New Roman"/>
                <w:bCs/>
                <w:kern w:val="36"/>
                <w:sz w:val="24"/>
                <w:szCs w:val="24"/>
              </w:rPr>
              <w:t xml:space="preserve"> – </w:t>
            </w:r>
            <w:r w:rsidR="008F043D" w:rsidRPr="00FA25FA">
              <w:rPr>
                <w:rFonts w:ascii="Times New Roman" w:hAnsi="Times New Roman" w:cs="Times New Roman"/>
                <w:bCs/>
                <w:kern w:val="36"/>
                <w:sz w:val="24"/>
                <w:szCs w:val="24"/>
              </w:rPr>
              <w:t>3</w:t>
            </w:r>
            <w:r w:rsidRPr="00FA25FA">
              <w:rPr>
                <w:rFonts w:ascii="Times New Roman" w:hAnsi="Times New Roman" w:cs="Times New Roman"/>
                <w:bCs/>
                <w:kern w:val="36"/>
                <w:sz w:val="24"/>
                <w:szCs w:val="24"/>
              </w:rPr>
              <w:t>5</w:t>
            </w:r>
          </w:p>
        </w:tc>
      </w:tr>
      <w:tr w:rsidR="003A148E" w:rsidRPr="00FA25FA" w:rsidTr="00574912">
        <w:trPr>
          <w:jc w:val="center"/>
        </w:trPr>
        <w:tc>
          <w:tcPr>
            <w:tcW w:w="8264" w:type="dxa"/>
          </w:tcPr>
          <w:p w:rsidR="003A148E" w:rsidRPr="00FA25FA" w:rsidRDefault="00376E65" w:rsidP="00376E65">
            <w:pPr>
              <w:spacing w:before="60" w:after="60" w:line="240" w:lineRule="auto"/>
              <w:jc w:val="both"/>
              <w:rPr>
                <w:rFonts w:ascii="Times New Roman" w:hAnsi="Times New Roman" w:cs="Times New Roman"/>
                <w:bCs/>
                <w:kern w:val="36"/>
                <w:sz w:val="24"/>
                <w:szCs w:val="24"/>
              </w:rPr>
            </w:pPr>
            <w:r w:rsidRPr="00FA25FA">
              <w:rPr>
                <w:rFonts w:ascii="Times New Roman" w:hAnsi="Times New Roman" w:cs="Times New Roman"/>
                <w:sz w:val="24"/>
                <w:szCs w:val="24"/>
              </w:rPr>
              <w:t>Fluxos de caixa em moeda estrangeira</w:t>
            </w:r>
          </w:p>
        </w:tc>
        <w:tc>
          <w:tcPr>
            <w:tcW w:w="1470" w:type="dxa"/>
            <w:vAlign w:val="center"/>
          </w:tcPr>
          <w:p w:rsidR="003A148E" w:rsidRPr="00FA25FA" w:rsidRDefault="008F043D" w:rsidP="00376E65">
            <w:pPr>
              <w:spacing w:before="60" w:after="60" w:line="240" w:lineRule="auto"/>
              <w:jc w:val="center"/>
              <w:rPr>
                <w:rFonts w:ascii="Times New Roman" w:hAnsi="Times New Roman" w:cs="Times New Roman"/>
                <w:bCs/>
                <w:kern w:val="36"/>
                <w:sz w:val="24"/>
                <w:szCs w:val="24"/>
              </w:rPr>
            </w:pPr>
            <w:r w:rsidRPr="00FA25FA">
              <w:rPr>
                <w:rFonts w:ascii="Times New Roman" w:hAnsi="Times New Roman" w:cs="Times New Roman"/>
                <w:bCs/>
                <w:kern w:val="36"/>
                <w:sz w:val="24"/>
                <w:szCs w:val="24"/>
              </w:rPr>
              <w:t>3</w:t>
            </w:r>
            <w:r w:rsidR="00376E65" w:rsidRPr="00FA25FA">
              <w:rPr>
                <w:rFonts w:ascii="Times New Roman" w:hAnsi="Times New Roman" w:cs="Times New Roman"/>
                <w:bCs/>
                <w:kern w:val="36"/>
                <w:sz w:val="24"/>
                <w:szCs w:val="24"/>
              </w:rPr>
              <w:t>6</w:t>
            </w:r>
            <w:r w:rsidRPr="00FA25FA">
              <w:rPr>
                <w:rFonts w:ascii="Times New Roman" w:hAnsi="Times New Roman" w:cs="Times New Roman"/>
                <w:bCs/>
                <w:kern w:val="36"/>
                <w:sz w:val="24"/>
                <w:szCs w:val="24"/>
              </w:rPr>
              <w:t xml:space="preserve"> – </w:t>
            </w:r>
            <w:r w:rsidR="00376E65" w:rsidRPr="00FA25FA">
              <w:rPr>
                <w:rFonts w:ascii="Times New Roman" w:hAnsi="Times New Roman" w:cs="Times New Roman"/>
                <w:bCs/>
                <w:kern w:val="36"/>
                <w:sz w:val="24"/>
                <w:szCs w:val="24"/>
              </w:rPr>
              <w:t>39</w:t>
            </w:r>
          </w:p>
        </w:tc>
      </w:tr>
      <w:tr w:rsidR="00376E65" w:rsidRPr="00FA25FA" w:rsidTr="00574912">
        <w:trPr>
          <w:jc w:val="center"/>
        </w:trPr>
        <w:tc>
          <w:tcPr>
            <w:tcW w:w="8264" w:type="dxa"/>
          </w:tcPr>
          <w:p w:rsidR="00376E65" w:rsidRPr="00FA25FA" w:rsidRDefault="00376E65" w:rsidP="006551DB">
            <w:pPr>
              <w:spacing w:before="60" w:after="60" w:line="240" w:lineRule="auto"/>
              <w:jc w:val="both"/>
              <w:rPr>
                <w:rFonts w:ascii="Times New Roman" w:hAnsi="Times New Roman" w:cs="Times New Roman"/>
                <w:bCs/>
                <w:kern w:val="36"/>
                <w:sz w:val="24"/>
                <w:szCs w:val="24"/>
              </w:rPr>
            </w:pPr>
            <w:r w:rsidRPr="00FA25FA">
              <w:rPr>
                <w:rFonts w:ascii="Times New Roman" w:hAnsi="Times New Roman" w:cs="Times New Roman"/>
                <w:sz w:val="24"/>
                <w:szCs w:val="24"/>
              </w:rPr>
              <w:t xml:space="preserve">Juros e </w:t>
            </w:r>
            <w:r w:rsidR="006551DB">
              <w:rPr>
                <w:rFonts w:ascii="Times New Roman" w:hAnsi="Times New Roman" w:cs="Times New Roman"/>
                <w:sz w:val="24"/>
                <w:szCs w:val="24"/>
              </w:rPr>
              <w:t>d</w:t>
            </w:r>
            <w:r w:rsidRPr="00FA25FA">
              <w:rPr>
                <w:rFonts w:ascii="Times New Roman" w:hAnsi="Times New Roman" w:cs="Times New Roman"/>
                <w:sz w:val="24"/>
                <w:szCs w:val="24"/>
              </w:rPr>
              <w:t xml:space="preserve">ividendos ou </w:t>
            </w:r>
            <w:r w:rsidR="006551DB">
              <w:rPr>
                <w:rFonts w:ascii="Times New Roman" w:hAnsi="Times New Roman" w:cs="Times New Roman"/>
                <w:sz w:val="24"/>
                <w:szCs w:val="24"/>
              </w:rPr>
              <w:t>d</w:t>
            </w:r>
            <w:r w:rsidRPr="00FA25FA">
              <w:rPr>
                <w:rFonts w:ascii="Times New Roman" w:hAnsi="Times New Roman" w:cs="Times New Roman"/>
                <w:sz w:val="24"/>
                <w:szCs w:val="24"/>
              </w:rPr>
              <w:t xml:space="preserve">istribuições </w:t>
            </w:r>
            <w:r w:rsidR="006551DB">
              <w:rPr>
                <w:rFonts w:ascii="Times New Roman" w:hAnsi="Times New Roman" w:cs="Times New Roman"/>
                <w:sz w:val="24"/>
                <w:szCs w:val="24"/>
              </w:rPr>
              <w:t>s</w:t>
            </w:r>
            <w:r w:rsidRPr="00FA25FA">
              <w:rPr>
                <w:rFonts w:ascii="Times New Roman" w:hAnsi="Times New Roman" w:cs="Times New Roman"/>
                <w:sz w:val="24"/>
                <w:szCs w:val="24"/>
              </w:rPr>
              <w:t>imilares</w:t>
            </w:r>
          </w:p>
        </w:tc>
        <w:tc>
          <w:tcPr>
            <w:tcW w:w="1470" w:type="dxa"/>
            <w:vAlign w:val="center"/>
          </w:tcPr>
          <w:p w:rsidR="00376E65" w:rsidRPr="00FA25FA" w:rsidRDefault="00376E65" w:rsidP="00A44357">
            <w:pPr>
              <w:spacing w:before="60" w:after="60" w:line="240" w:lineRule="auto"/>
              <w:jc w:val="center"/>
              <w:rPr>
                <w:rFonts w:ascii="Times New Roman" w:hAnsi="Times New Roman" w:cs="Times New Roman"/>
                <w:bCs/>
                <w:kern w:val="36"/>
                <w:sz w:val="24"/>
                <w:szCs w:val="24"/>
              </w:rPr>
            </w:pPr>
            <w:r w:rsidRPr="00FA25FA">
              <w:rPr>
                <w:rFonts w:ascii="Times New Roman" w:hAnsi="Times New Roman" w:cs="Times New Roman"/>
                <w:bCs/>
                <w:kern w:val="36"/>
                <w:sz w:val="24"/>
                <w:szCs w:val="24"/>
              </w:rPr>
              <w:t>40 – 43</w:t>
            </w:r>
          </w:p>
        </w:tc>
      </w:tr>
      <w:tr w:rsidR="00376E65" w:rsidRPr="00FA25FA" w:rsidTr="00574912">
        <w:trPr>
          <w:jc w:val="center"/>
        </w:trPr>
        <w:tc>
          <w:tcPr>
            <w:tcW w:w="8264" w:type="dxa"/>
          </w:tcPr>
          <w:p w:rsidR="00376E65" w:rsidRPr="00FA25FA" w:rsidRDefault="00376E65" w:rsidP="006551DB">
            <w:pPr>
              <w:spacing w:before="60" w:after="60" w:line="240" w:lineRule="auto"/>
              <w:jc w:val="both"/>
              <w:rPr>
                <w:rFonts w:ascii="Times New Roman" w:hAnsi="Times New Roman" w:cs="Times New Roman"/>
                <w:bCs/>
                <w:kern w:val="36"/>
                <w:sz w:val="24"/>
                <w:szCs w:val="24"/>
              </w:rPr>
            </w:pPr>
            <w:r w:rsidRPr="00FA25FA">
              <w:rPr>
                <w:rFonts w:ascii="Times New Roman" w:hAnsi="Times New Roman" w:cs="Times New Roman"/>
                <w:sz w:val="24"/>
                <w:szCs w:val="24"/>
              </w:rPr>
              <w:t xml:space="preserve">Tributos sobre o </w:t>
            </w:r>
            <w:r w:rsidR="006551DB">
              <w:rPr>
                <w:rFonts w:ascii="Times New Roman" w:hAnsi="Times New Roman" w:cs="Times New Roman"/>
                <w:sz w:val="24"/>
                <w:szCs w:val="24"/>
              </w:rPr>
              <w:t>r</w:t>
            </w:r>
            <w:r w:rsidRPr="00FA25FA">
              <w:rPr>
                <w:rFonts w:ascii="Times New Roman" w:hAnsi="Times New Roman" w:cs="Times New Roman"/>
                <w:sz w:val="24"/>
                <w:szCs w:val="24"/>
              </w:rPr>
              <w:t>esultado</w:t>
            </w:r>
          </w:p>
        </w:tc>
        <w:tc>
          <w:tcPr>
            <w:tcW w:w="1470" w:type="dxa"/>
            <w:vAlign w:val="center"/>
          </w:tcPr>
          <w:p w:rsidR="00376E65" w:rsidRPr="00FA25FA" w:rsidRDefault="00376E65" w:rsidP="00A44357">
            <w:pPr>
              <w:spacing w:before="60" w:after="60" w:line="240" w:lineRule="auto"/>
              <w:jc w:val="center"/>
              <w:rPr>
                <w:rFonts w:ascii="Times New Roman" w:hAnsi="Times New Roman" w:cs="Times New Roman"/>
                <w:bCs/>
                <w:kern w:val="36"/>
                <w:sz w:val="24"/>
                <w:szCs w:val="24"/>
              </w:rPr>
            </w:pPr>
            <w:r w:rsidRPr="00FA25FA">
              <w:rPr>
                <w:rFonts w:ascii="Times New Roman" w:hAnsi="Times New Roman" w:cs="Times New Roman"/>
                <w:bCs/>
                <w:kern w:val="36"/>
                <w:sz w:val="24"/>
                <w:szCs w:val="24"/>
              </w:rPr>
              <w:t>44 – 46</w:t>
            </w:r>
          </w:p>
        </w:tc>
      </w:tr>
      <w:tr w:rsidR="00376E65" w:rsidRPr="00FA25FA" w:rsidTr="00574912">
        <w:trPr>
          <w:jc w:val="center"/>
        </w:trPr>
        <w:tc>
          <w:tcPr>
            <w:tcW w:w="8264" w:type="dxa"/>
          </w:tcPr>
          <w:p w:rsidR="00376E65" w:rsidRPr="00FA25FA" w:rsidRDefault="00376E65" w:rsidP="00376E65">
            <w:pPr>
              <w:spacing w:before="60" w:after="60" w:line="240" w:lineRule="auto"/>
              <w:jc w:val="both"/>
              <w:rPr>
                <w:rFonts w:ascii="Times New Roman" w:hAnsi="Times New Roman" w:cs="Times New Roman"/>
                <w:bCs/>
                <w:kern w:val="36"/>
                <w:sz w:val="24"/>
                <w:szCs w:val="24"/>
              </w:rPr>
            </w:pPr>
            <w:r w:rsidRPr="00FA25FA">
              <w:rPr>
                <w:rFonts w:ascii="Times New Roman" w:hAnsi="Times New Roman" w:cs="Times New Roman"/>
                <w:sz w:val="24"/>
                <w:szCs w:val="24"/>
              </w:rPr>
              <w:t>Investimento em controlada, coligada e empreendimento</w:t>
            </w:r>
            <w:r w:rsidR="00964A64">
              <w:rPr>
                <w:rFonts w:ascii="Times New Roman" w:hAnsi="Times New Roman" w:cs="Times New Roman"/>
                <w:sz w:val="24"/>
                <w:szCs w:val="24"/>
              </w:rPr>
              <w:t xml:space="preserve"> controlado</w:t>
            </w:r>
            <w:r w:rsidRPr="00FA25FA">
              <w:rPr>
                <w:rFonts w:ascii="Times New Roman" w:hAnsi="Times New Roman" w:cs="Times New Roman"/>
                <w:sz w:val="24"/>
                <w:szCs w:val="24"/>
              </w:rPr>
              <w:t xml:space="preserve"> em conjunto</w:t>
            </w:r>
          </w:p>
        </w:tc>
        <w:tc>
          <w:tcPr>
            <w:tcW w:w="1470" w:type="dxa"/>
            <w:vAlign w:val="center"/>
          </w:tcPr>
          <w:p w:rsidR="00376E65" w:rsidRPr="00FA25FA" w:rsidRDefault="00376E65" w:rsidP="00A44357">
            <w:pPr>
              <w:spacing w:before="60" w:after="60" w:line="240" w:lineRule="auto"/>
              <w:jc w:val="center"/>
              <w:rPr>
                <w:rFonts w:ascii="Times New Roman" w:hAnsi="Times New Roman" w:cs="Times New Roman"/>
                <w:bCs/>
                <w:kern w:val="36"/>
                <w:sz w:val="24"/>
                <w:szCs w:val="24"/>
              </w:rPr>
            </w:pPr>
            <w:r w:rsidRPr="00FA25FA">
              <w:rPr>
                <w:rFonts w:ascii="Times New Roman" w:hAnsi="Times New Roman" w:cs="Times New Roman"/>
                <w:bCs/>
                <w:kern w:val="36"/>
                <w:sz w:val="24"/>
                <w:szCs w:val="24"/>
              </w:rPr>
              <w:t>47 – 48</w:t>
            </w:r>
          </w:p>
        </w:tc>
      </w:tr>
      <w:tr w:rsidR="00376E65" w:rsidRPr="00FA25FA" w:rsidTr="00574912">
        <w:trPr>
          <w:jc w:val="center"/>
        </w:trPr>
        <w:tc>
          <w:tcPr>
            <w:tcW w:w="8264" w:type="dxa"/>
          </w:tcPr>
          <w:p w:rsidR="00376E65" w:rsidRPr="00FA25FA" w:rsidRDefault="00376E65" w:rsidP="00376E65">
            <w:pPr>
              <w:spacing w:before="60" w:after="60" w:line="240" w:lineRule="auto"/>
              <w:jc w:val="both"/>
              <w:rPr>
                <w:rFonts w:ascii="Times New Roman" w:hAnsi="Times New Roman" w:cs="Times New Roman"/>
                <w:bCs/>
                <w:kern w:val="36"/>
                <w:sz w:val="24"/>
                <w:szCs w:val="24"/>
              </w:rPr>
            </w:pPr>
            <w:r w:rsidRPr="00FA25FA">
              <w:rPr>
                <w:rFonts w:ascii="Times New Roman" w:hAnsi="Times New Roman" w:cs="Times New Roman"/>
                <w:sz w:val="24"/>
                <w:szCs w:val="24"/>
              </w:rPr>
              <w:t>Aquisição e venda de controlada e outras unidades operacionais</w:t>
            </w:r>
          </w:p>
        </w:tc>
        <w:tc>
          <w:tcPr>
            <w:tcW w:w="1470" w:type="dxa"/>
            <w:vAlign w:val="center"/>
          </w:tcPr>
          <w:p w:rsidR="00376E65" w:rsidRPr="00FA25FA" w:rsidRDefault="00376E65" w:rsidP="00A44357">
            <w:pPr>
              <w:spacing w:before="60" w:after="60" w:line="240" w:lineRule="auto"/>
              <w:jc w:val="center"/>
              <w:rPr>
                <w:rFonts w:ascii="Times New Roman" w:hAnsi="Times New Roman" w:cs="Times New Roman"/>
                <w:bCs/>
                <w:kern w:val="36"/>
                <w:sz w:val="24"/>
                <w:szCs w:val="24"/>
              </w:rPr>
            </w:pPr>
            <w:r w:rsidRPr="00FA25FA">
              <w:rPr>
                <w:rFonts w:ascii="Times New Roman" w:hAnsi="Times New Roman" w:cs="Times New Roman"/>
                <w:bCs/>
                <w:kern w:val="36"/>
                <w:sz w:val="24"/>
                <w:szCs w:val="24"/>
              </w:rPr>
              <w:t>49 – 53</w:t>
            </w:r>
          </w:p>
        </w:tc>
      </w:tr>
      <w:tr w:rsidR="00376E65" w:rsidRPr="00FA25FA" w:rsidTr="00574912">
        <w:trPr>
          <w:jc w:val="center"/>
        </w:trPr>
        <w:tc>
          <w:tcPr>
            <w:tcW w:w="8264" w:type="dxa"/>
          </w:tcPr>
          <w:p w:rsidR="00376E65" w:rsidRPr="00FA25FA" w:rsidRDefault="00376E65" w:rsidP="00376E65">
            <w:pPr>
              <w:spacing w:before="60" w:after="60" w:line="240" w:lineRule="auto"/>
              <w:jc w:val="both"/>
              <w:rPr>
                <w:rFonts w:ascii="Times New Roman" w:hAnsi="Times New Roman" w:cs="Times New Roman"/>
                <w:bCs/>
                <w:kern w:val="36"/>
                <w:sz w:val="24"/>
                <w:szCs w:val="24"/>
              </w:rPr>
            </w:pPr>
            <w:r w:rsidRPr="00FA25FA">
              <w:rPr>
                <w:rFonts w:ascii="Times New Roman" w:hAnsi="Times New Roman" w:cs="Times New Roman"/>
                <w:sz w:val="24"/>
                <w:szCs w:val="24"/>
              </w:rPr>
              <w:lastRenderedPageBreak/>
              <w:t>Transações que não envolvem caixa ou equivalentes de caixa</w:t>
            </w:r>
          </w:p>
        </w:tc>
        <w:tc>
          <w:tcPr>
            <w:tcW w:w="1470" w:type="dxa"/>
            <w:vAlign w:val="center"/>
          </w:tcPr>
          <w:p w:rsidR="00376E65" w:rsidRPr="00FA25FA" w:rsidRDefault="00376E65" w:rsidP="00A44357">
            <w:pPr>
              <w:spacing w:before="60" w:after="60" w:line="240" w:lineRule="auto"/>
              <w:jc w:val="center"/>
              <w:rPr>
                <w:rFonts w:ascii="Times New Roman" w:hAnsi="Times New Roman" w:cs="Times New Roman"/>
                <w:bCs/>
                <w:kern w:val="36"/>
                <w:sz w:val="24"/>
                <w:szCs w:val="24"/>
              </w:rPr>
            </w:pPr>
            <w:r w:rsidRPr="00FA25FA">
              <w:rPr>
                <w:rFonts w:ascii="Times New Roman" w:hAnsi="Times New Roman" w:cs="Times New Roman"/>
                <w:bCs/>
                <w:kern w:val="36"/>
                <w:sz w:val="24"/>
                <w:szCs w:val="24"/>
              </w:rPr>
              <w:t>54 – 55</w:t>
            </w:r>
          </w:p>
        </w:tc>
      </w:tr>
      <w:tr w:rsidR="008F043D" w:rsidRPr="00FA25FA" w:rsidTr="00574912">
        <w:trPr>
          <w:jc w:val="center"/>
        </w:trPr>
        <w:tc>
          <w:tcPr>
            <w:tcW w:w="8264" w:type="dxa"/>
          </w:tcPr>
          <w:p w:rsidR="008F043D" w:rsidRPr="00FA25FA" w:rsidRDefault="00376E65" w:rsidP="00376E65">
            <w:pPr>
              <w:spacing w:before="60" w:after="60" w:line="240" w:lineRule="auto"/>
              <w:jc w:val="both"/>
              <w:rPr>
                <w:rFonts w:ascii="Times New Roman" w:hAnsi="Times New Roman" w:cs="Times New Roman"/>
                <w:bCs/>
                <w:kern w:val="36"/>
                <w:sz w:val="24"/>
                <w:szCs w:val="24"/>
              </w:rPr>
            </w:pPr>
            <w:r w:rsidRPr="00FA25FA">
              <w:rPr>
                <w:rFonts w:ascii="Times New Roman" w:hAnsi="Times New Roman" w:cs="Times New Roman"/>
                <w:sz w:val="24"/>
                <w:szCs w:val="24"/>
              </w:rPr>
              <w:t>Componente de caixa e equivalentes de caixa</w:t>
            </w:r>
          </w:p>
        </w:tc>
        <w:tc>
          <w:tcPr>
            <w:tcW w:w="1470" w:type="dxa"/>
            <w:vAlign w:val="center"/>
          </w:tcPr>
          <w:p w:rsidR="008F043D" w:rsidRPr="00FA25FA" w:rsidRDefault="00376E65" w:rsidP="00376E65">
            <w:pPr>
              <w:spacing w:before="60" w:after="60" w:line="240" w:lineRule="auto"/>
              <w:jc w:val="center"/>
              <w:rPr>
                <w:rFonts w:ascii="Times New Roman" w:hAnsi="Times New Roman" w:cs="Times New Roman"/>
                <w:bCs/>
                <w:kern w:val="36"/>
                <w:sz w:val="24"/>
                <w:szCs w:val="24"/>
              </w:rPr>
            </w:pPr>
            <w:r w:rsidRPr="00FA25FA">
              <w:rPr>
                <w:rFonts w:ascii="Times New Roman" w:hAnsi="Times New Roman" w:cs="Times New Roman"/>
                <w:bCs/>
                <w:kern w:val="36"/>
                <w:sz w:val="24"/>
                <w:szCs w:val="24"/>
              </w:rPr>
              <w:t>5</w:t>
            </w:r>
            <w:r w:rsidR="00A44357" w:rsidRPr="00FA25FA">
              <w:rPr>
                <w:rFonts w:ascii="Times New Roman" w:hAnsi="Times New Roman" w:cs="Times New Roman"/>
                <w:bCs/>
                <w:kern w:val="36"/>
                <w:sz w:val="24"/>
                <w:szCs w:val="24"/>
              </w:rPr>
              <w:t>6</w:t>
            </w:r>
            <w:r w:rsidR="008F043D" w:rsidRPr="00FA25FA">
              <w:rPr>
                <w:rFonts w:ascii="Times New Roman" w:hAnsi="Times New Roman" w:cs="Times New Roman"/>
                <w:bCs/>
                <w:kern w:val="36"/>
                <w:sz w:val="24"/>
                <w:szCs w:val="24"/>
              </w:rPr>
              <w:t xml:space="preserve"> – </w:t>
            </w:r>
            <w:r w:rsidRPr="00FA25FA">
              <w:rPr>
                <w:rFonts w:ascii="Times New Roman" w:hAnsi="Times New Roman" w:cs="Times New Roman"/>
                <w:bCs/>
                <w:kern w:val="36"/>
                <w:sz w:val="24"/>
                <w:szCs w:val="24"/>
              </w:rPr>
              <w:t>58</w:t>
            </w:r>
          </w:p>
        </w:tc>
      </w:tr>
      <w:tr w:rsidR="008F043D" w:rsidRPr="00D91836" w:rsidTr="00574912">
        <w:trPr>
          <w:jc w:val="center"/>
        </w:trPr>
        <w:tc>
          <w:tcPr>
            <w:tcW w:w="8264" w:type="dxa"/>
          </w:tcPr>
          <w:p w:rsidR="008F043D" w:rsidRPr="00D91836" w:rsidRDefault="00D91836" w:rsidP="00376E65">
            <w:pPr>
              <w:spacing w:before="60" w:after="60" w:line="240" w:lineRule="auto"/>
              <w:jc w:val="both"/>
              <w:rPr>
                <w:rFonts w:ascii="Times New Roman" w:hAnsi="Times New Roman" w:cs="Times New Roman"/>
                <w:bCs/>
                <w:kern w:val="36"/>
                <w:sz w:val="24"/>
                <w:szCs w:val="24"/>
              </w:rPr>
            </w:pPr>
            <w:r w:rsidRPr="00D91836">
              <w:rPr>
                <w:rFonts w:ascii="Times New Roman" w:hAnsi="Times New Roman" w:cs="Times New Roman"/>
                <w:sz w:val="24"/>
                <w:szCs w:val="24"/>
              </w:rPr>
              <w:t>Outras divulgações</w:t>
            </w:r>
          </w:p>
        </w:tc>
        <w:tc>
          <w:tcPr>
            <w:tcW w:w="1470" w:type="dxa"/>
            <w:vAlign w:val="center"/>
          </w:tcPr>
          <w:p w:rsidR="008F043D" w:rsidRPr="00D91836" w:rsidRDefault="00FA25FA" w:rsidP="00FA25FA">
            <w:pPr>
              <w:spacing w:before="60" w:after="60" w:line="240" w:lineRule="auto"/>
              <w:jc w:val="center"/>
              <w:rPr>
                <w:rFonts w:ascii="Times New Roman" w:hAnsi="Times New Roman" w:cs="Times New Roman"/>
                <w:bCs/>
                <w:kern w:val="36"/>
                <w:sz w:val="24"/>
                <w:szCs w:val="24"/>
              </w:rPr>
            </w:pPr>
            <w:r w:rsidRPr="00D91836">
              <w:rPr>
                <w:rFonts w:ascii="Times New Roman" w:hAnsi="Times New Roman" w:cs="Times New Roman"/>
                <w:bCs/>
                <w:kern w:val="36"/>
                <w:sz w:val="24"/>
                <w:szCs w:val="24"/>
              </w:rPr>
              <w:t>59</w:t>
            </w:r>
            <w:r w:rsidR="00A44357" w:rsidRPr="00D91836">
              <w:rPr>
                <w:rFonts w:ascii="Times New Roman" w:hAnsi="Times New Roman" w:cs="Times New Roman"/>
                <w:bCs/>
                <w:kern w:val="36"/>
                <w:sz w:val="24"/>
                <w:szCs w:val="24"/>
              </w:rPr>
              <w:t xml:space="preserve"> – </w:t>
            </w:r>
            <w:r w:rsidRPr="00D91836">
              <w:rPr>
                <w:rFonts w:ascii="Times New Roman" w:hAnsi="Times New Roman" w:cs="Times New Roman"/>
                <w:bCs/>
                <w:kern w:val="36"/>
                <w:sz w:val="24"/>
                <w:szCs w:val="24"/>
              </w:rPr>
              <w:t>6</w:t>
            </w:r>
            <w:r w:rsidR="00A44357" w:rsidRPr="00D91836">
              <w:rPr>
                <w:rFonts w:ascii="Times New Roman" w:hAnsi="Times New Roman" w:cs="Times New Roman"/>
                <w:bCs/>
                <w:kern w:val="36"/>
                <w:sz w:val="24"/>
                <w:szCs w:val="24"/>
              </w:rPr>
              <w:t>4</w:t>
            </w:r>
          </w:p>
        </w:tc>
      </w:tr>
      <w:tr w:rsidR="008F043D" w:rsidRPr="00FA25FA" w:rsidTr="00574912">
        <w:trPr>
          <w:jc w:val="center"/>
        </w:trPr>
        <w:tc>
          <w:tcPr>
            <w:tcW w:w="8264" w:type="dxa"/>
          </w:tcPr>
          <w:p w:rsidR="008F043D" w:rsidRPr="00FA25FA" w:rsidRDefault="008B024A" w:rsidP="00376E65">
            <w:pPr>
              <w:spacing w:before="60" w:after="60" w:line="240" w:lineRule="auto"/>
              <w:jc w:val="both"/>
              <w:rPr>
                <w:rFonts w:ascii="Times New Roman" w:hAnsi="Times New Roman" w:cs="Times New Roman"/>
                <w:bCs/>
                <w:kern w:val="36"/>
                <w:sz w:val="24"/>
                <w:szCs w:val="24"/>
              </w:rPr>
            </w:pPr>
            <w:r w:rsidRPr="00FA25FA">
              <w:rPr>
                <w:rFonts w:ascii="Times New Roman" w:hAnsi="Times New Roman" w:cs="Times New Roman"/>
                <w:bCs/>
                <w:kern w:val="36"/>
                <w:sz w:val="24"/>
                <w:szCs w:val="24"/>
              </w:rPr>
              <w:t>Vigência</w:t>
            </w:r>
          </w:p>
        </w:tc>
        <w:tc>
          <w:tcPr>
            <w:tcW w:w="1470" w:type="dxa"/>
            <w:vAlign w:val="center"/>
          </w:tcPr>
          <w:p w:rsidR="008F043D" w:rsidRPr="00FA25FA" w:rsidRDefault="008F043D" w:rsidP="008B024A">
            <w:pPr>
              <w:spacing w:before="60" w:after="60" w:line="240" w:lineRule="auto"/>
              <w:jc w:val="center"/>
              <w:rPr>
                <w:rFonts w:ascii="Times New Roman" w:hAnsi="Times New Roman" w:cs="Times New Roman"/>
                <w:bCs/>
                <w:kern w:val="36"/>
                <w:sz w:val="24"/>
                <w:szCs w:val="24"/>
              </w:rPr>
            </w:pPr>
          </w:p>
        </w:tc>
      </w:tr>
    </w:tbl>
    <w:p w:rsidR="00F6220C" w:rsidRDefault="00F6220C" w:rsidP="00F6220C">
      <w:pPr>
        <w:spacing w:after="0" w:line="240" w:lineRule="auto"/>
        <w:ind w:left="567" w:hanging="567"/>
        <w:jc w:val="both"/>
        <w:rPr>
          <w:rFonts w:ascii="Times New Roman" w:hAnsi="Times New Roman" w:cs="Times New Roman"/>
          <w:sz w:val="24"/>
          <w:szCs w:val="24"/>
        </w:rPr>
      </w:pPr>
    </w:p>
    <w:p w:rsidR="00FA25FA" w:rsidRDefault="00FA25FA" w:rsidP="00F6220C">
      <w:pPr>
        <w:spacing w:after="0" w:line="240" w:lineRule="auto"/>
        <w:ind w:left="567" w:hanging="567"/>
        <w:jc w:val="both"/>
        <w:rPr>
          <w:rFonts w:ascii="Times New Roman" w:hAnsi="Times New Roman" w:cs="Times New Roman"/>
          <w:sz w:val="24"/>
          <w:szCs w:val="24"/>
        </w:rPr>
      </w:pPr>
    </w:p>
    <w:p w:rsidR="00FA25FA" w:rsidRPr="00FA25FA" w:rsidRDefault="00FA25FA" w:rsidP="00F6220C">
      <w:pPr>
        <w:spacing w:after="0" w:line="240" w:lineRule="auto"/>
        <w:ind w:left="567" w:hanging="567"/>
        <w:jc w:val="both"/>
        <w:rPr>
          <w:rFonts w:ascii="Times New Roman" w:hAnsi="Times New Roman" w:cs="Times New Roman"/>
          <w:sz w:val="24"/>
          <w:szCs w:val="24"/>
        </w:rPr>
      </w:pPr>
    </w:p>
    <w:p w:rsidR="003B288B" w:rsidRPr="001F5526"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t>Objetivo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sz w:val="24"/>
          <w:szCs w:val="24"/>
        </w:rPr>
        <w:t xml:space="preserve">A demonstração dos fluxos de caixa identifica (a) </w:t>
      </w:r>
      <w:r w:rsidR="00D376AA">
        <w:rPr>
          <w:rFonts w:ascii="Times New Roman" w:hAnsi="Times New Roman" w:cs="Times New Roman"/>
          <w:sz w:val="24"/>
          <w:szCs w:val="24"/>
        </w:rPr>
        <w:t>a</w:t>
      </w:r>
      <w:r w:rsidRPr="00FA25FA">
        <w:rPr>
          <w:rFonts w:ascii="Times New Roman" w:hAnsi="Times New Roman" w:cs="Times New Roman"/>
          <w:sz w:val="24"/>
          <w:szCs w:val="24"/>
        </w:rPr>
        <w:t>s origens dos fluxos de entradas de caixa, (b) os itens que geraram desembolsos de caixa durante o período das demonstrações contábeis, e (c) o saldo do caixa na data das demonstrações contábeis. Os fluxos de caixa da entidade são úteis para fornecer aos usuários das demonstrações contábeis informações para prestação de contas e responsabilização (</w:t>
      </w:r>
      <w:r w:rsidRPr="00D376AA">
        <w:rPr>
          <w:rFonts w:ascii="Times New Roman" w:hAnsi="Times New Roman" w:cs="Times New Roman"/>
          <w:i/>
          <w:sz w:val="24"/>
          <w:szCs w:val="24"/>
        </w:rPr>
        <w:t>accountability</w:t>
      </w:r>
      <w:r w:rsidRPr="00FA25FA">
        <w:rPr>
          <w:rFonts w:ascii="Times New Roman" w:hAnsi="Times New Roman" w:cs="Times New Roman"/>
          <w:sz w:val="24"/>
          <w:szCs w:val="24"/>
        </w:rPr>
        <w:t>) e para a tomada de decisões. A informação dos fluxos de caixa permite aos usuários avaliar como a entidade do setor público obteve recursos para financiar suas atividades e a maneira como os recursos de caixa foram utilizados. Ao tomar decisões econômicas quanto à alocação de recursos que dizem respeito à sustentabilidade das atividades da entidade, os usuários precisam compreender o efeito temporal e o grau de certeza dos fluxos de caixa. O objetivo desta norma é fornecer informações acerca das alterações históricas de caixa e equivalentes de caixa da entidade por meio da demonstração dos fluxos de caixa que classifique os fluxos durante o período em fluxos das atividades operacionais, de investimento e de financiamento.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1F5526"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t>Alcance</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1.</w:t>
      </w:r>
      <w:r w:rsidRPr="00FA25FA">
        <w:rPr>
          <w:rFonts w:ascii="Times New Roman" w:hAnsi="Times New Roman" w:cs="Times New Roman"/>
          <w:sz w:val="24"/>
          <w:szCs w:val="24"/>
        </w:rPr>
        <w:tab/>
      </w:r>
      <w:r w:rsidRPr="00FA25FA">
        <w:rPr>
          <w:rFonts w:ascii="Times New Roman" w:hAnsi="Times New Roman" w:cs="Times New Roman"/>
          <w:b/>
          <w:sz w:val="24"/>
          <w:szCs w:val="24"/>
        </w:rPr>
        <w:t>A entidade que elabora e apresenta demonstrações contábeis de acordo com o regime de competência deve elaborar demonstração dos fluxos de caixa em conformidade com as exigências desta norma e deve apresentá-la como parte integrante das suas demonstrações contábeis divulgadas ao final para cada período para o qual as demonstrações contábeis são apresentadas.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2.</w:t>
      </w:r>
      <w:r w:rsidRPr="00FA25FA">
        <w:rPr>
          <w:rFonts w:ascii="Times New Roman" w:hAnsi="Times New Roman" w:cs="Times New Roman"/>
          <w:sz w:val="24"/>
          <w:szCs w:val="24"/>
        </w:rPr>
        <w:tab/>
        <w:t xml:space="preserve">Informações sobre fluxos de caixa podem ser úteis aos usuários das demonstrações contábeis da entidade ao (a) avaliar os fluxos de caixa da entidade, (b) avaliar a conformidade da entidade com a legislação e regulamentos (incluindo orçamentos aprovados, onde aplicável), e (c) tomar decisões entre prover recursos </w:t>
      </w:r>
      <w:r w:rsidR="00D376AA">
        <w:rPr>
          <w:rFonts w:ascii="Times New Roman" w:hAnsi="Times New Roman" w:cs="Times New Roman"/>
          <w:sz w:val="24"/>
          <w:szCs w:val="24"/>
        </w:rPr>
        <w:t>à</w:t>
      </w:r>
      <w:r w:rsidRPr="00FA25FA">
        <w:rPr>
          <w:rFonts w:ascii="Times New Roman" w:hAnsi="Times New Roman" w:cs="Times New Roman"/>
          <w:sz w:val="24"/>
          <w:szCs w:val="24"/>
        </w:rPr>
        <w:t xml:space="preserve"> entidade ou transacionar com ela. Os usuários da informação contábil estão geralmente interessados em saber como a entidade gera e usa os recursos de caixa e equivalentes de caixa. Es</w:t>
      </w:r>
      <w:r w:rsidR="00D376AA">
        <w:rPr>
          <w:rFonts w:ascii="Times New Roman" w:hAnsi="Times New Roman" w:cs="Times New Roman"/>
          <w:sz w:val="24"/>
          <w:szCs w:val="24"/>
        </w:rPr>
        <w:t>s</w:t>
      </w:r>
      <w:r w:rsidRPr="00FA25FA">
        <w:rPr>
          <w:rFonts w:ascii="Times New Roman" w:hAnsi="Times New Roman" w:cs="Times New Roman"/>
          <w:sz w:val="24"/>
          <w:szCs w:val="24"/>
        </w:rPr>
        <w:t>e é o caso independente da natureza das atividades da entidade e mesmo que o caixa seja considerado como produto da entidade, como pode ser o caso de</w:t>
      </w:r>
      <w:r w:rsidR="00D376AA">
        <w:rPr>
          <w:rFonts w:ascii="Times New Roman" w:hAnsi="Times New Roman" w:cs="Times New Roman"/>
          <w:sz w:val="24"/>
          <w:szCs w:val="24"/>
        </w:rPr>
        <w:t xml:space="preserve"> uma</w:t>
      </w:r>
      <w:r w:rsidRPr="00FA25FA">
        <w:rPr>
          <w:rFonts w:ascii="Times New Roman" w:hAnsi="Times New Roman" w:cs="Times New Roman"/>
          <w:sz w:val="24"/>
          <w:szCs w:val="24"/>
        </w:rPr>
        <w:t xml:space="preserve"> instituição financeira pública. As entidades necessitam de caixa essencialmente pelas mesmas razões, por mais diferentes que sejam as suas principais atividades geradoras de receita. Elas precisam de caixa para pagar pelos bens e serviços que consomem, para honrar os serviços da dívida e, em alguns casos, para reduzir </w:t>
      </w:r>
      <w:r w:rsidR="00A53F40">
        <w:rPr>
          <w:rFonts w:ascii="Times New Roman" w:hAnsi="Times New Roman" w:cs="Times New Roman"/>
          <w:sz w:val="24"/>
          <w:szCs w:val="24"/>
        </w:rPr>
        <w:t xml:space="preserve">o </w:t>
      </w:r>
      <w:r w:rsidRPr="00FA25FA">
        <w:rPr>
          <w:rFonts w:ascii="Times New Roman" w:hAnsi="Times New Roman" w:cs="Times New Roman"/>
          <w:sz w:val="24"/>
          <w:szCs w:val="24"/>
        </w:rPr>
        <w:t>seu endividamento. Como consequência, esta norma exige que todas as entidades apresentem a demonstração dos fluxos de caixa.</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3.</w:t>
      </w:r>
      <w:r w:rsidRPr="00FA25FA">
        <w:rPr>
          <w:rFonts w:ascii="Times New Roman" w:hAnsi="Times New Roman" w:cs="Times New Roman"/>
          <w:sz w:val="24"/>
          <w:szCs w:val="24"/>
        </w:rPr>
        <w:tab/>
      </w:r>
      <w:r w:rsidRPr="00FA25FA">
        <w:rPr>
          <w:rFonts w:ascii="Times New Roman" w:hAnsi="Times New Roman" w:cs="Times New Roman"/>
          <w:b/>
          <w:sz w:val="24"/>
          <w:szCs w:val="24"/>
        </w:rPr>
        <w:t>Esta norma se aplica às entidades do setor público, conforme o alcance definido na NBC TSP ESTRUTURA CONCEITUAL.</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4.</w:t>
      </w:r>
      <w:r w:rsidRPr="00FA25FA">
        <w:rPr>
          <w:rFonts w:ascii="Times New Roman" w:hAnsi="Times New Roman" w:cs="Times New Roman"/>
          <w:sz w:val="24"/>
          <w:szCs w:val="24"/>
        </w:rPr>
        <w:tab/>
        <w:t>(Não convergido).</w:t>
      </w:r>
    </w:p>
    <w:p w:rsidR="003B288B" w:rsidRDefault="003B288B" w:rsidP="003B288B">
      <w:pPr>
        <w:spacing w:after="0" w:line="240" w:lineRule="auto"/>
        <w:jc w:val="both"/>
        <w:rPr>
          <w:rFonts w:ascii="Times New Roman" w:hAnsi="Times New Roman" w:cs="Times New Roman"/>
          <w:sz w:val="24"/>
          <w:szCs w:val="24"/>
        </w:rPr>
      </w:pPr>
    </w:p>
    <w:p w:rsidR="00FA25FA" w:rsidRDefault="00FA25FA" w:rsidP="003B288B">
      <w:pPr>
        <w:spacing w:after="0" w:line="240" w:lineRule="auto"/>
        <w:jc w:val="both"/>
        <w:rPr>
          <w:rFonts w:ascii="Times New Roman" w:hAnsi="Times New Roman" w:cs="Times New Roman"/>
          <w:sz w:val="24"/>
          <w:szCs w:val="24"/>
        </w:rPr>
      </w:pPr>
    </w:p>
    <w:p w:rsidR="003B288B" w:rsidRPr="001F5526"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lastRenderedPageBreak/>
        <w:t xml:space="preserve">Benefícios da </w:t>
      </w:r>
      <w:r w:rsidR="00D376AA">
        <w:rPr>
          <w:rFonts w:ascii="Times New Roman" w:hAnsi="Times New Roman" w:cs="Times New Roman"/>
          <w:b/>
          <w:sz w:val="24"/>
          <w:szCs w:val="24"/>
        </w:rPr>
        <w:t>i</w:t>
      </w:r>
      <w:r w:rsidRPr="00FA25FA">
        <w:rPr>
          <w:rFonts w:ascii="Times New Roman" w:hAnsi="Times New Roman" w:cs="Times New Roman"/>
          <w:b/>
          <w:sz w:val="24"/>
          <w:szCs w:val="24"/>
        </w:rPr>
        <w:t xml:space="preserve">nformação dos </w:t>
      </w:r>
      <w:r w:rsidR="00D376AA">
        <w:rPr>
          <w:rFonts w:ascii="Times New Roman" w:hAnsi="Times New Roman" w:cs="Times New Roman"/>
          <w:b/>
          <w:sz w:val="24"/>
          <w:szCs w:val="24"/>
        </w:rPr>
        <w:t>f</w:t>
      </w:r>
      <w:r w:rsidRPr="00FA25FA">
        <w:rPr>
          <w:rFonts w:ascii="Times New Roman" w:hAnsi="Times New Roman" w:cs="Times New Roman"/>
          <w:b/>
          <w:sz w:val="24"/>
          <w:szCs w:val="24"/>
        </w:rPr>
        <w:t xml:space="preserve">luxos de </w:t>
      </w:r>
      <w:r w:rsidR="00D376AA">
        <w:rPr>
          <w:rFonts w:ascii="Times New Roman" w:hAnsi="Times New Roman" w:cs="Times New Roman"/>
          <w:b/>
          <w:sz w:val="24"/>
          <w:szCs w:val="24"/>
        </w:rPr>
        <w:t>c</w:t>
      </w:r>
      <w:r w:rsidRPr="00FA25FA">
        <w:rPr>
          <w:rFonts w:ascii="Times New Roman" w:hAnsi="Times New Roman" w:cs="Times New Roman"/>
          <w:b/>
          <w:sz w:val="24"/>
          <w:szCs w:val="24"/>
        </w:rPr>
        <w:t>aixa</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5.</w:t>
      </w:r>
      <w:r w:rsidRPr="00FA25FA">
        <w:rPr>
          <w:rFonts w:ascii="Times New Roman" w:hAnsi="Times New Roman" w:cs="Times New Roman"/>
          <w:sz w:val="24"/>
          <w:szCs w:val="24"/>
        </w:rPr>
        <w:tab/>
        <w:t>Informação sobre fluxos de caixa d</w:t>
      </w:r>
      <w:r w:rsidR="00D376AA">
        <w:rPr>
          <w:rFonts w:ascii="Times New Roman" w:hAnsi="Times New Roman" w:cs="Times New Roman"/>
          <w:sz w:val="24"/>
          <w:szCs w:val="24"/>
        </w:rPr>
        <w:t>a</w:t>
      </w:r>
      <w:r w:rsidRPr="00FA25FA">
        <w:rPr>
          <w:rFonts w:ascii="Times New Roman" w:hAnsi="Times New Roman" w:cs="Times New Roman"/>
          <w:sz w:val="24"/>
          <w:szCs w:val="24"/>
        </w:rPr>
        <w:t xml:space="preserve"> entidade é útil ao auxiliar usuários a prever (a) futuras necessidades de caixa da entidade, (b) sua capacidade de gerar fluxos de caixa no futuro, e (c) sua capacidade de financiar mudanças no alcance e na natureza de suas atividades. A demonstração dos fluxos de caixa também proporciona meios pelos quais a administração da entidade pode demonstrar o cumprimento dos requisitos exigidos pelo processo de prestação de contas e responsabilização (</w:t>
      </w:r>
      <w:r w:rsidRPr="00D376AA">
        <w:rPr>
          <w:rFonts w:ascii="Times New Roman" w:hAnsi="Times New Roman" w:cs="Times New Roman"/>
          <w:i/>
          <w:sz w:val="24"/>
          <w:szCs w:val="24"/>
        </w:rPr>
        <w:t>accountability</w:t>
      </w:r>
      <w:r w:rsidRPr="00FA25FA">
        <w:rPr>
          <w:rFonts w:ascii="Times New Roman" w:hAnsi="Times New Roman" w:cs="Times New Roman"/>
          <w:sz w:val="24"/>
          <w:szCs w:val="24"/>
        </w:rPr>
        <w:t xml:space="preserve">) referentes às entradas e às saídas de caixa ocorridas durante o período a que se referem </w:t>
      </w:r>
      <w:r w:rsidR="001E28CA" w:rsidRPr="00FA25FA">
        <w:rPr>
          <w:rFonts w:ascii="Times New Roman" w:hAnsi="Times New Roman" w:cs="Times New Roman"/>
          <w:sz w:val="24"/>
          <w:szCs w:val="24"/>
        </w:rPr>
        <w:t>às</w:t>
      </w:r>
      <w:r w:rsidRPr="00FA25FA">
        <w:rPr>
          <w:rFonts w:ascii="Times New Roman" w:hAnsi="Times New Roman" w:cs="Times New Roman"/>
          <w:sz w:val="24"/>
          <w:szCs w:val="24"/>
        </w:rPr>
        <w:t xml:space="preserve"> demonstrações contábeis.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6.</w:t>
      </w:r>
      <w:r w:rsidRPr="00FA25FA">
        <w:rPr>
          <w:rFonts w:ascii="Times New Roman" w:hAnsi="Times New Roman" w:cs="Times New Roman"/>
          <w:sz w:val="24"/>
          <w:szCs w:val="24"/>
        </w:rPr>
        <w:tab/>
        <w:t>A demonstração dos fluxos de caixa, quando usada em conjunto com as demais demonstrações contábeis, disponibiliza informações que permitem aos usuários avaliar as variações ocorridas no patrimônio líquido da entidade, sua estrutura financeira (inclusive sua liquidez e solvência) e sua capacidade para afetar os valores e momentos dos fluxos de caixa, a fim de adaptá-los às mudanças nas circunstâncias e oportunidades. A demonstração dos fluxos de caixa também melhora a comparabilidade dos relatórios de desempenho operacional de diferentes entidades porque elimina os efeitos decorrentes do uso de diferentes critérios contábeis para as mesmas transações e eventos.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7.</w:t>
      </w:r>
      <w:r w:rsidRPr="00FA25FA">
        <w:rPr>
          <w:rFonts w:ascii="Times New Roman" w:hAnsi="Times New Roman" w:cs="Times New Roman"/>
          <w:sz w:val="24"/>
          <w:szCs w:val="24"/>
        </w:rPr>
        <w:tab/>
        <w:t>Informações históricas dos fluxos de caixa são frequentemente utilizadas como elementos que irão compor indicadores do valor, do momento e do grau de certeza dos fluxos de caixa futuros. Também são úteis para verificar a exatidão das avaliações passadas dos fluxos de caixa futuros.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1F5526"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t>Definições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12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8.</w:t>
      </w:r>
      <w:r w:rsidRPr="00FA25FA">
        <w:rPr>
          <w:rFonts w:ascii="Times New Roman" w:hAnsi="Times New Roman" w:cs="Times New Roman"/>
          <w:sz w:val="24"/>
          <w:szCs w:val="24"/>
        </w:rPr>
        <w:tab/>
      </w:r>
      <w:r w:rsidRPr="00FA25FA">
        <w:rPr>
          <w:rFonts w:ascii="Times New Roman" w:hAnsi="Times New Roman" w:cs="Times New Roman"/>
          <w:b/>
          <w:sz w:val="24"/>
          <w:szCs w:val="24"/>
        </w:rPr>
        <w:t>Os termos a seguir são utilizados nesta norma com os seguintes significados:</w:t>
      </w:r>
    </w:p>
    <w:p w:rsidR="003B288B" w:rsidRPr="001F5526" w:rsidRDefault="003B288B" w:rsidP="003B288B">
      <w:pPr>
        <w:spacing w:after="120" w:line="240" w:lineRule="auto"/>
        <w:ind w:left="567"/>
        <w:jc w:val="both"/>
        <w:rPr>
          <w:rFonts w:ascii="Times New Roman" w:hAnsi="Times New Roman" w:cs="Times New Roman"/>
          <w:sz w:val="24"/>
          <w:szCs w:val="24"/>
        </w:rPr>
      </w:pPr>
      <w:r w:rsidRPr="00FA25FA">
        <w:rPr>
          <w:rFonts w:ascii="Times New Roman" w:hAnsi="Times New Roman" w:cs="Times New Roman"/>
          <w:b/>
          <w:sz w:val="24"/>
          <w:szCs w:val="24"/>
          <w:u w:val="single"/>
        </w:rPr>
        <w:t>Caixa</w:t>
      </w:r>
      <w:r w:rsidRPr="00FA25FA">
        <w:rPr>
          <w:rFonts w:ascii="Times New Roman" w:hAnsi="Times New Roman" w:cs="Times New Roman"/>
          <w:b/>
          <w:sz w:val="24"/>
          <w:szCs w:val="24"/>
        </w:rPr>
        <w:t xml:space="preserve"> compreende numerário em espécie e depósitos bancários disponíveis.</w:t>
      </w:r>
    </w:p>
    <w:p w:rsidR="003B288B" w:rsidRPr="001F5526" w:rsidRDefault="003B288B" w:rsidP="003B288B">
      <w:pPr>
        <w:spacing w:after="120" w:line="240" w:lineRule="auto"/>
        <w:ind w:left="567"/>
        <w:jc w:val="both"/>
        <w:rPr>
          <w:rFonts w:ascii="Times New Roman" w:hAnsi="Times New Roman" w:cs="Times New Roman"/>
          <w:sz w:val="24"/>
          <w:szCs w:val="24"/>
        </w:rPr>
      </w:pPr>
      <w:r w:rsidRPr="00FA25FA">
        <w:rPr>
          <w:rFonts w:ascii="Times New Roman" w:hAnsi="Times New Roman" w:cs="Times New Roman"/>
          <w:b/>
          <w:sz w:val="24"/>
          <w:szCs w:val="24"/>
          <w:u w:val="single"/>
        </w:rPr>
        <w:t>Equivalentes de caixa</w:t>
      </w:r>
      <w:r w:rsidRPr="00FA25FA">
        <w:rPr>
          <w:rFonts w:ascii="Times New Roman" w:hAnsi="Times New Roman" w:cs="Times New Roman"/>
          <w:b/>
          <w:sz w:val="24"/>
          <w:szCs w:val="24"/>
        </w:rPr>
        <w:t xml:space="preserve"> são aplicações financeiras de curto prazo, de alta liquidez, que são prontamente conversíveis em valor conhecido de caixa e que estão sujeitas a insignificante risco de mudança de valor.</w:t>
      </w:r>
    </w:p>
    <w:p w:rsidR="003B288B" w:rsidRPr="001F5526" w:rsidRDefault="003B288B" w:rsidP="003B288B">
      <w:pPr>
        <w:spacing w:after="120" w:line="240" w:lineRule="auto"/>
        <w:ind w:left="567"/>
        <w:jc w:val="both"/>
        <w:rPr>
          <w:rFonts w:ascii="Times New Roman" w:hAnsi="Times New Roman" w:cs="Times New Roman"/>
          <w:sz w:val="24"/>
          <w:szCs w:val="24"/>
        </w:rPr>
      </w:pPr>
      <w:r w:rsidRPr="00FA25FA">
        <w:rPr>
          <w:rFonts w:ascii="Times New Roman" w:hAnsi="Times New Roman" w:cs="Times New Roman"/>
          <w:b/>
          <w:sz w:val="24"/>
          <w:szCs w:val="24"/>
          <w:u w:val="single"/>
        </w:rPr>
        <w:t>Fluxos de caixa</w:t>
      </w:r>
      <w:r w:rsidRPr="00FA25FA">
        <w:rPr>
          <w:rFonts w:ascii="Times New Roman" w:hAnsi="Times New Roman" w:cs="Times New Roman"/>
          <w:b/>
          <w:sz w:val="24"/>
          <w:szCs w:val="24"/>
        </w:rPr>
        <w:t xml:space="preserve"> são as entradas e as saídas de caixa e de equivalentes de caixa.</w:t>
      </w:r>
    </w:p>
    <w:p w:rsidR="003B288B" w:rsidRPr="001F5526" w:rsidRDefault="003B288B" w:rsidP="003B288B">
      <w:pPr>
        <w:spacing w:after="120" w:line="240" w:lineRule="auto"/>
        <w:ind w:left="567"/>
        <w:jc w:val="both"/>
        <w:rPr>
          <w:rFonts w:ascii="Times New Roman" w:hAnsi="Times New Roman" w:cs="Times New Roman"/>
          <w:sz w:val="24"/>
          <w:szCs w:val="24"/>
        </w:rPr>
      </w:pPr>
      <w:r w:rsidRPr="00FA25FA">
        <w:rPr>
          <w:rFonts w:ascii="Times New Roman" w:hAnsi="Times New Roman" w:cs="Times New Roman"/>
          <w:b/>
          <w:sz w:val="24"/>
          <w:szCs w:val="24"/>
          <w:u w:val="single"/>
        </w:rPr>
        <w:t>Controle</w:t>
      </w:r>
      <w:r w:rsidRPr="00FA25FA">
        <w:rPr>
          <w:rFonts w:ascii="Times New Roman" w:hAnsi="Times New Roman" w:cs="Times New Roman"/>
          <w:b/>
          <w:sz w:val="24"/>
          <w:szCs w:val="24"/>
        </w:rPr>
        <w:t xml:space="preserve">: </w:t>
      </w:r>
      <w:r w:rsidR="00D376AA">
        <w:rPr>
          <w:rFonts w:ascii="Times New Roman" w:hAnsi="Times New Roman" w:cs="Times New Roman"/>
          <w:b/>
          <w:sz w:val="24"/>
          <w:szCs w:val="24"/>
        </w:rPr>
        <w:t>A</w:t>
      </w:r>
      <w:r w:rsidRPr="00FA25FA">
        <w:rPr>
          <w:rFonts w:ascii="Times New Roman" w:hAnsi="Times New Roman" w:cs="Times New Roman"/>
          <w:b/>
          <w:sz w:val="24"/>
          <w:szCs w:val="24"/>
        </w:rPr>
        <w:t xml:space="preserve"> entidade controla outra entidade quando está exposta, ou </w:t>
      </w:r>
      <w:proofErr w:type="gramStart"/>
      <w:r w:rsidR="009F2FFA" w:rsidRPr="00FA25FA">
        <w:rPr>
          <w:rFonts w:ascii="Times New Roman" w:hAnsi="Times New Roman" w:cs="Times New Roman"/>
          <w:b/>
          <w:sz w:val="24"/>
          <w:szCs w:val="24"/>
        </w:rPr>
        <w:t>t</w:t>
      </w:r>
      <w:r w:rsidR="009F2FFA">
        <w:rPr>
          <w:rFonts w:ascii="Times New Roman" w:hAnsi="Times New Roman" w:cs="Times New Roman"/>
          <w:b/>
          <w:sz w:val="24"/>
          <w:szCs w:val="24"/>
        </w:rPr>
        <w:t>e</w:t>
      </w:r>
      <w:r w:rsidR="009F2FFA" w:rsidRPr="00FA25FA">
        <w:rPr>
          <w:rFonts w:ascii="Times New Roman" w:hAnsi="Times New Roman" w:cs="Times New Roman"/>
          <w:b/>
          <w:sz w:val="24"/>
          <w:szCs w:val="24"/>
        </w:rPr>
        <w:t xml:space="preserve">m </w:t>
      </w:r>
      <w:r w:rsidR="001E28CA" w:rsidRPr="00FA25FA">
        <w:rPr>
          <w:rFonts w:ascii="Times New Roman" w:hAnsi="Times New Roman" w:cs="Times New Roman"/>
          <w:b/>
          <w:sz w:val="24"/>
          <w:szCs w:val="24"/>
        </w:rPr>
        <w:t>direitos</w:t>
      </w:r>
      <w:proofErr w:type="gramEnd"/>
      <w:r w:rsidRPr="00FA25FA">
        <w:rPr>
          <w:rFonts w:ascii="Times New Roman" w:hAnsi="Times New Roman" w:cs="Times New Roman"/>
          <w:b/>
          <w:sz w:val="24"/>
          <w:szCs w:val="24"/>
        </w:rPr>
        <w:t xml:space="preserve"> a benefícios variáveis de seu envolvimento com a entidade controlada e tem a capacidade de afetar a natureza e o montante desses benefícios por meio de seu poder sobre essa entidade.</w:t>
      </w:r>
    </w:p>
    <w:p w:rsidR="003B288B" w:rsidRPr="001F5526" w:rsidRDefault="003B288B" w:rsidP="003B288B">
      <w:pPr>
        <w:spacing w:after="120" w:line="240" w:lineRule="auto"/>
        <w:ind w:left="567"/>
        <w:jc w:val="both"/>
        <w:rPr>
          <w:rFonts w:ascii="Times New Roman" w:hAnsi="Times New Roman" w:cs="Times New Roman"/>
          <w:sz w:val="24"/>
          <w:szCs w:val="24"/>
        </w:rPr>
      </w:pPr>
      <w:r w:rsidRPr="00FA25FA">
        <w:rPr>
          <w:rFonts w:ascii="Times New Roman" w:hAnsi="Times New Roman" w:cs="Times New Roman"/>
          <w:b/>
          <w:sz w:val="24"/>
          <w:szCs w:val="24"/>
          <w:u w:val="single"/>
        </w:rPr>
        <w:t>Atividades de financiamento</w:t>
      </w:r>
      <w:r w:rsidRPr="00FA25FA">
        <w:rPr>
          <w:rFonts w:ascii="Times New Roman" w:hAnsi="Times New Roman" w:cs="Times New Roman"/>
          <w:b/>
          <w:sz w:val="24"/>
          <w:szCs w:val="24"/>
        </w:rPr>
        <w:t xml:space="preserve"> são aquelas que resultam em mudanças no tamanho e na composição do capital próprio e no endividamento da entidade.</w:t>
      </w:r>
    </w:p>
    <w:p w:rsidR="003B288B" w:rsidRPr="001F5526" w:rsidRDefault="003B288B" w:rsidP="003B288B">
      <w:pPr>
        <w:spacing w:after="120" w:line="240" w:lineRule="auto"/>
        <w:ind w:left="567"/>
        <w:jc w:val="both"/>
        <w:rPr>
          <w:rFonts w:ascii="Times New Roman" w:hAnsi="Times New Roman" w:cs="Times New Roman"/>
          <w:sz w:val="24"/>
          <w:szCs w:val="24"/>
        </w:rPr>
      </w:pPr>
      <w:r w:rsidRPr="00FA25FA">
        <w:rPr>
          <w:rFonts w:ascii="Times New Roman" w:hAnsi="Times New Roman" w:cs="Times New Roman"/>
          <w:b/>
          <w:sz w:val="24"/>
          <w:szCs w:val="24"/>
          <w:u w:val="single"/>
        </w:rPr>
        <w:t>Atividades de investimento</w:t>
      </w:r>
      <w:r w:rsidRPr="00FA25FA">
        <w:rPr>
          <w:rFonts w:ascii="Times New Roman" w:hAnsi="Times New Roman" w:cs="Times New Roman"/>
          <w:b/>
          <w:sz w:val="24"/>
          <w:szCs w:val="24"/>
        </w:rPr>
        <w:t xml:space="preserve"> são as referentes à aquisição e à venda de ativos de longo prazo e de outros investimentos não incluídos em equivalentes de caixa.</w:t>
      </w:r>
    </w:p>
    <w:p w:rsidR="003B288B" w:rsidRPr="001F5526" w:rsidRDefault="003B288B" w:rsidP="003B288B">
      <w:pPr>
        <w:spacing w:after="120" w:line="240" w:lineRule="auto"/>
        <w:ind w:left="567"/>
        <w:jc w:val="both"/>
        <w:rPr>
          <w:rFonts w:ascii="Times New Roman" w:hAnsi="Times New Roman" w:cs="Times New Roman"/>
          <w:sz w:val="24"/>
          <w:szCs w:val="24"/>
        </w:rPr>
      </w:pPr>
      <w:r w:rsidRPr="00FA25FA">
        <w:rPr>
          <w:rFonts w:ascii="Times New Roman" w:hAnsi="Times New Roman" w:cs="Times New Roman"/>
          <w:b/>
          <w:sz w:val="24"/>
          <w:szCs w:val="24"/>
          <w:u w:val="single"/>
        </w:rPr>
        <w:t>Atividades operacionais</w:t>
      </w:r>
      <w:r w:rsidRPr="00FA25FA">
        <w:rPr>
          <w:rFonts w:ascii="Times New Roman" w:hAnsi="Times New Roman" w:cs="Times New Roman"/>
          <w:b/>
          <w:sz w:val="24"/>
          <w:szCs w:val="24"/>
        </w:rPr>
        <w:t xml:space="preserve"> são as atividades da entidade que não as de investimento e de financiamento.</w:t>
      </w:r>
    </w:p>
    <w:p w:rsidR="003B288B" w:rsidRPr="001F5526" w:rsidRDefault="003B288B" w:rsidP="003B288B">
      <w:pPr>
        <w:spacing w:after="0" w:line="240" w:lineRule="auto"/>
        <w:ind w:left="567"/>
        <w:jc w:val="both"/>
        <w:rPr>
          <w:rFonts w:ascii="Times New Roman" w:hAnsi="Times New Roman" w:cs="Times New Roman"/>
          <w:sz w:val="24"/>
          <w:szCs w:val="24"/>
        </w:rPr>
      </w:pPr>
      <w:r w:rsidRPr="00FA25FA">
        <w:rPr>
          <w:rFonts w:ascii="Times New Roman" w:hAnsi="Times New Roman" w:cs="Times New Roman"/>
          <w:b/>
          <w:sz w:val="24"/>
          <w:szCs w:val="24"/>
          <w:u w:val="single"/>
        </w:rPr>
        <w:t>Data das demonstrações contábeis</w:t>
      </w:r>
      <w:r w:rsidRPr="00FA25FA">
        <w:rPr>
          <w:rFonts w:ascii="Times New Roman" w:hAnsi="Times New Roman" w:cs="Times New Roman"/>
          <w:b/>
          <w:sz w:val="24"/>
          <w:szCs w:val="24"/>
        </w:rPr>
        <w:t xml:space="preserve"> é a data do último dia do período ao qual as demonstrações contábeis se referem.</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1F5526"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t>Caixa e equivalentes de caixa</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9.</w:t>
      </w:r>
      <w:r w:rsidRPr="00FA25FA">
        <w:rPr>
          <w:rFonts w:ascii="Times New Roman" w:hAnsi="Times New Roman" w:cs="Times New Roman"/>
          <w:sz w:val="24"/>
          <w:szCs w:val="24"/>
        </w:rPr>
        <w:tab/>
        <w:t xml:space="preserve">Os equivalentes de caixa são mantidos com a finalidade de atender a compromissos de caixa de curto prazo e não para investimento ou outros fins. Para que </w:t>
      </w:r>
      <w:r w:rsidR="00D376AA">
        <w:rPr>
          <w:rFonts w:ascii="Times New Roman" w:hAnsi="Times New Roman" w:cs="Times New Roman"/>
          <w:sz w:val="24"/>
          <w:szCs w:val="24"/>
        </w:rPr>
        <w:t>o</w:t>
      </w:r>
      <w:r w:rsidRPr="00FA25FA">
        <w:rPr>
          <w:rFonts w:ascii="Times New Roman" w:hAnsi="Times New Roman" w:cs="Times New Roman"/>
          <w:sz w:val="24"/>
          <w:szCs w:val="24"/>
        </w:rPr>
        <w:t xml:space="preserve"> investimento seja </w:t>
      </w:r>
      <w:r w:rsidRPr="00FA25FA">
        <w:rPr>
          <w:rFonts w:ascii="Times New Roman" w:hAnsi="Times New Roman" w:cs="Times New Roman"/>
          <w:sz w:val="24"/>
          <w:szCs w:val="24"/>
        </w:rPr>
        <w:lastRenderedPageBreak/>
        <w:t xml:space="preserve">qualificado como equivalente de caixa, ele deve ser prontamente conversível em quantia conhecida de caixa e estar sujeito a risco insignificante de mudanças de valor. Portanto, </w:t>
      </w:r>
      <w:r w:rsidR="00D376AA">
        <w:rPr>
          <w:rFonts w:ascii="Times New Roman" w:hAnsi="Times New Roman" w:cs="Times New Roman"/>
          <w:sz w:val="24"/>
          <w:szCs w:val="24"/>
        </w:rPr>
        <w:t>o</w:t>
      </w:r>
      <w:r w:rsidRPr="00FA25FA">
        <w:rPr>
          <w:rFonts w:ascii="Times New Roman" w:hAnsi="Times New Roman" w:cs="Times New Roman"/>
          <w:sz w:val="24"/>
          <w:szCs w:val="24"/>
        </w:rPr>
        <w:t xml:space="preserve"> investimento normalmente se qualifica como equivalente de caixa somente quando tiver vencimento de curto prazo de, por exemplo, três meses ou menos a partir da data de aquisição. Os investimentos em ações de outras entidades são excluídos dos equivalentes de caixa, a menos que sejam, substancialmente, equivalentes de caixa.</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10.</w:t>
      </w:r>
      <w:r w:rsidRPr="00FA25FA">
        <w:rPr>
          <w:rFonts w:ascii="Times New Roman" w:hAnsi="Times New Roman" w:cs="Times New Roman"/>
          <w:sz w:val="24"/>
          <w:szCs w:val="24"/>
        </w:rPr>
        <w:tab/>
        <w:t>Empréstimos bancários são geralmente considerados como atividades de financiamento. Entretanto, saldos bancários a descoberto, decorrentes de empréstimos obtidos por meio de instrumentos como cheques especiais ou contas correntes garantidas que são liquidados em curto espaço de tempo compõem a gestão de caixa da entidade. Nessas circunstâncias, saldos bancários a descoberto são incluídos como componente de caixa e equivalentes de caixa. Uma característica desses acordos oferecidos pelos bancos é que frequentemente os saldos flutuam de devedor para credor.</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11.</w:t>
      </w:r>
      <w:r w:rsidRPr="00FA25FA">
        <w:rPr>
          <w:rFonts w:ascii="Times New Roman" w:hAnsi="Times New Roman" w:cs="Times New Roman"/>
          <w:sz w:val="24"/>
          <w:szCs w:val="24"/>
        </w:rPr>
        <w:tab/>
        <w:t>Os fluxos de caixa excluem movimentos entre itens que constituem caixa ou equivalentes de caixa porque esses componentes são parte da gestão de caixa da entidade e não parte de suas atividades operacionais, de investimento e de financiamento. A gestão de caixa inclui o investimento do excesso de caixa em equivalentes de caixa.</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1F5526"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t>Entidade econômica</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12.</w:t>
      </w:r>
      <w:r w:rsidRPr="00FA25FA">
        <w:rPr>
          <w:rFonts w:ascii="Times New Roman" w:hAnsi="Times New Roman" w:cs="Times New Roman"/>
          <w:sz w:val="24"/>
          <w:szCs w:val="24"/>
        </w:rPr>
        <w:tab/>
        <w:t>O termo entidade econômica é utilizado nesta norma para definir, para fins de demonstrações contábeis, um grupo de entidades que inclui a entidade controladora e quaisquer entidades controladas.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13.</w:t>
      </w:r>
      <w:r w:rsidRPr="00FA25FA">
        <w:rPr>
          <w:rFonts w:ascii="Times New Roman" w:hAnsi="Times New Roman" w:cs="Times New Roman"/>
          <w:sz w:val="24"/>
          <w:szCs w:val="24"/>
        </w:rPr>
        <w:tab/>
        <w:t>(Não convergido).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14.</w:t>
      </w:r>
      <w:r w:rsidRPr="00FA25FA">
        <w:rPr>
          <w:rFonts w:ascii="Times New Roman" w:hAnsi="Times New Roman" w:cs="Times New Roman"/>
          <w:sz w:val="24"/>
          <w:szCs w:val="24"/>
        </w:rPr>
        <w:tab/>
        <w:t>A entidade econômica pode incluir entidades com objetivos direcionados a políticas sociais e objetivos comerciais. Por exemplo, a secretaria de habitação pode ser a entidade econômica que inclui entidades que fornecem habitação a</w:t>
      </w:r>
      <w:r w:rsidR="00B65A70">
        <w:rPr>
          <w:rFonts w:ascii="Times New Roman" w:hAnsi="Times New Roman" w:cs="Times New Roman"/>
          <w:sz w:val="24"/>
          <w:szCs w:val="24"/>
        </w:rPr>
        <w:t>o</w:t>
      </w:r>
      <w:r w:rsidRPr="00FA25FA">
        <w:rPr>
          <w:rFonts w:ascii="Times New Roman" w:hAnsi="Times New Roman" w:cs="Times New Roman"/>
          <w:sz w:val="24"/>
          <w:szCs w:val="24"/>
        </w:rPr>
        <w:t xml:space="preserve"> valor igual ou inferior ao custo, bem como entidades que fornecem moradia com fins comerciais.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1F5526"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t>Benefícios econômicos futuros ou potencial de serviços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15.</w:t>
      </w:r>
      <w:r w:rsidRPr="00FA25FA">
        <w:rPr>
          <w:rFonts w:ascii="Times New Roman" w:hAnsi="Times New Roman" w:cs="Times New Roman"/>
          <w:sz w:val="24"/>
          <w:szCs w:val="24"/>
        </w:rPr>
        <w:tab/>
        <w:t>Os ativos fornecem meios para que as entidades alcancem seus objetivos. Os ativos que são utilizados para entregar bens e serviços de acordo com os objetivos da entidade, mas que não geram diretamente fluxos de caixa líquidos positivos são geralmente descritos como aqueles que possuem potencial de serviços. Ativos que são utilizados para gerar fluxos de caixa líquidos são geralmente descritos como aqueles que contêm benefícios econômicos futuros. Para abranger todos os propósitos nos quais os ativos podem se encaixar, esta norma usa o termo “benefícios econômicos futuros ou potencial de serviços” para descrever as características essenciais dos ativos.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16.</w:t>
      </w:r>
      <w:r w:rsidRPr="00FA25FA">
        <w:rPr>
          <w:rFonts w:ascii="Times New Roman" w:hAnsi="Times New Roman" w:cs="Times New Roman"/>
          <w:sz w:val="24"/>
          <w:szCs w:val="24"/>
        </w:rPr>
        <w:tab/>
        <w:t>(Não convergido).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1F5526"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t>Patrimônio líquido</w:t>
      </w:r>
    </w:p>
    <w:p w:rsidR="003B288B" w:rsidRPr="00FA25FA" w:rsidRDefault="003B288B" w:rsidP="003B288B">
      <w:pPr>
        <w:spacing w:after="0" w:line="240" w:lineRule="auto"/>
        <w:jc w:val="both"/>
        <w:rPr>
          <w:rFonts w:ascii="Times New Roman" w:hAnsi="Times New Roman" w:cs="Times New Roman"/>
          <w:sz w:val="24"/>
          <w:szCs w:val="24"/>
        </w:rPr>
      </w:pPr>
    </w:p>
    <w:p w:rsidR="003B288B"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17.</w:t>
      </w:r>
      <w:r w:rsidRPr="00FA25FA">
        <w:rPr>
          <w:rFonts w:ascii="Times New Roman" w:hAnsi="Times New Roman" w:cs="Times New Roman"/>
          <w:sz w:val="24"/>
          <w:szCs w:val="24"/>
        </w:rPr>
        <w:tab/>
        <w:t>Patrimônio líquido é o termo usado nesta norma para se referir à mensuração residual no balanço patrimonial (ativos menos passivos). O patrimônio líquido pode ser positivo ou negativo. Outros termos podem ser utilizados no lugar de patrimônio líquido, desde que seu significado esteja claro.</w:t>
      </w:r>
    </w:p>
    <w:p w:rsidR="003B288B" w:rsidRPr="001F5526"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lastRenderedPageBreak/>
        <w:t>Apresentação da demonstração dos fluxos de caixa</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18.</w:t>
      </w:r>
      <w:r w:rsidRPr="00FA25FA">
        <w:rPr>
          <w:rFonts w:ascii="Times New Roman" w:hAnsi="Times New Roman" w:cs="Times New Roman"/>
          <w:sz w:val="24"/>
          <w:szCs w:val="24"/>
        </w:rPr>
        <w:tab/>
      </w:r>
      <w:r w:rsidRPr="00FA25FA">
        <w:rPr>
          <w:rFonts w:ascii="Times New Roman" w:hAnsi="Times New Roman" w:cs="Times New Roman"/>
          <w:b/>
          <w:sz w:val="24"/>
          <w:szCs w:val="24"/>
        </w:rPr>
        <w:t>A demonstração dos fluxos de caixa deve apresentar os fluxos de caixa do período classificados por atividades operacionais, de investimento e de financiamento.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19.</w:t>
      </w:r>
      <w:r w:rsidRPr="00FA25FA">
        <w:rPr>
          <w:rFonts w:ascii="Times New Roman" w:hAnsi="Times New Roman" w:cs="Times New Roman"/>
          <w:sz w:val="24"/>
          <w:szCs w:val="24"/>
        </w:rPr>
        <w:tab/>
        <w:t>A entidade deve apresentar seus fluxos de caixa decorrentes das atividades operacionais, de investimento e de financiamento da forma que seja mais apropriada às suas atividades. A classificação por atividade proporciona informações que permitem aos usuários avaliar o impacto de tais atividades sobre a posição financeira da entidade e o montante de seu caixa e equivalentes de caixa. Essas informações podem ser usadas também para avaliar a relação entre essas atividades.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20.</w:t>
      </w:r>
      <w:r w:rsidRPr="00FA25FA">
        <w:rPr>
          <w:rFonts w:ascii="Times New Roman" w:hAnsi="Times New Roman" w:cs="Times New Roman"/>
          <w:sz w:val="24"/>
          <w:szCs w:val="24"/>
        </w:rPr>
        <w:tab/>
        <w:t>Uma única transação pode incluir fluxos de caixa classificados em mais de uma atividade. Por exemplo, quando o desembolso de caixa para pagamento de empréstimo inclui tanto os juros como o principal, a parte dos juros pode ser classificada como atividade operacional, mas a parte do principal deve ser classificada como atividade de financiamento.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1F5526"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t>Atividades operacionais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12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21.</w:t>
      </w:r>
      <w:r w:rsidRPr="00FA25FA">
        <w:rPr>
          <w:rFonts w:ascii="Times New Roman" w:hAnsi="Times New Roman" w:cs="Times New Roman"/>
          <w:sz w:val="24"/>
          <w:szCs w:val="24"/>
        </w:rPr>
        <w:tab/>
        <w:t>O montante dos fluxos de caixa líquidos decorrentes das atividades operacionais é um indicador-chave da extensão na qual as operações da entidade são financiadas:</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(a)</w:t>
      </w:r>
      <w:r w:rsidRPr="00FA25FA">
        <w:rPr>
          <w:rFonts w:ascii="Times New Roman" w:hAnsi="Times New Roman" w:cs="Times New Roman"/>
          <w:sz w:val="24"/>
          <w:szCs w:val="24"/>
        </w:rPr>
        <w:tab/>
        <w:t>por meio de tributos (direta e indiretamente);</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(b)</w:t>
      </w:r>
      <w:r w:rsidRPr="00FA25FA">
        <w:rPr>
          <w:rFonts w:ascii="Times New Roman" w:hAnsi="Times New Roman" w:cs="Times New Roman"/>
          <w:sz w:val="24"/>
          <w:szCs w:val="24"/>
        </w:rPr>
        <w:tab/>
        <w:t>pelos destinatários dos bens e serviços oferecidos pela entidade.</w:t>
      </w:r>
    </w:p>
    <w:p w:rsidR="003B288B" w:rsidRPr="00FA25FA" w:rsidRDefault="003B288B" w:rsidP="003B288B">
      <w:pPr>
        <w:spacing w:after="0" w:line="240" w:lineRule="auto"/>
        <w:ind w:left="567"/>
        <w:jc w:val="both"/>
        <w:rPr>
          <w:rFonts w:ascii="Times New Roman" w:hAnsi="Times New Roman" w:cs="Times New Roman"/>
          <w:sz w:val="24"/>
          <w:szCs w:val="24"/>
        </w:rPr>
      </w:pPr>
      <w:r w:rsidRPr="00FA25FA">
        <w:rPr>
          <w:rFonts w:ascii="Times New Roman" w:hAnsi="Times New Roman" w:cs="Times New Roman"/>
          <w:sz w:val="24"/>
          <w:szCs w:val="24"/>
        </w:rPr>
        <w:t>O montante dos fluxos de caixa líquidos também auxilia ao demonstrar a condição da entidade de manter sua capacidade operacional, amortizar empréstimos, pagar dividendos ou distribuição similar ao proprietário e fazer novos investimentos sem recorrer a fontes externas de financiamento. Os fluxos de caixa operacionais consolidados do setor público em sentido amplo proporcionam uma indicação da medida do volume de recursos que o governo vem financiando suas atividades correntes por meio da tributação e outras cobranças. Informação sobre os componentes específicos dos fluxos de caixa operacionais históricos é útil, em conjunto com outras informações, na projeção de futuros fluxos de caixa operacionais.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12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22.</w:t>
      </w:r>
      <w:r w:rsidRPr="00FA25FA">
        <w:rPr>
          <w:rFonts w:ascii="Times New Roman" w:hAnsi="Times New Roman" w:cs="Times New Roman"/>
          <w:sz w:val="24"/>
          <w:szCs w:val="24"/>
        </w:rPr>
        <w:tab/>
        <w:t>Os fluxos de caixa decorrentes das atividades operacionais são basicamente derivados das principais atividades geradoras de caixa da entidade. São exemplos de fluxos de caixa que decorrem das atividades operacionais:</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(a)</w:t>
      </w:r>
      <w:r w:rsidRPr="00FA25FA">
        <w:rPr>
          <w:rFonts w:ascii="Times New Roman" w:hAnsi="Times New Roman" w:cs="Times New Roman"/>
          <w:sz w:val="24"/>
          <w:szCs w:val="24"/>
        </w:rPr>
        <w:tab/>
        <w:t>recebimentos de caixa decorrentes de impostos, taxas, contribuições e multas;</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(b)</w:t>
      </w:r>
      <w:r w:rsidRPr="00FA25FA">
        <w:rPr>
          <w:rFonts w:ascii="Times New Roman" w:hAnsi="Times New Roman" w:cs="Times New Roman"/>
          <w:sz w:val="24"/>
          <w:szCs w:val="24"/>
        </w:rPr>
        <w:tab/>
        <w:t>recebimentos de caixa pela venda de mercadorias e pela prestação de serviços;</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(c)</w:t>
      </w:r>
      <w:r w:rsidRPr="00FA25FA">
        <w:rPr>
          <w:rFonts w:ascii="Times New Roman" w:hAnsi="Times New Roman" w:cs="Times New Roman"/>
          <w:sz w:val="24"/>
          <w:szCs w:val="24"/>
        </w:rPr>
        <w:tab/>
        <w:t>recebimentos de caixa de concessões ou transferências e outras dotações ou autorizações orçamentárias feitas pelo governo central e subnacionais ou outras entidades do setor público;</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(d)</w:t>
      </w:r>
      <w:r w:rsidRPr="00FA25FA">
        <w:rPr>
          <w:rFonts w:ascii="Times New Roman" w:hAnsi="Times New Roman" w:cs="Times New Roman"/>
          <w:sz w:val="24"/>
          <w:szCs w:val="24"/>
        </w:rPr>
        <w:tab/>
        <w:t xml:space="preserve">recebimentos de caixa decorrentes de </w:t>
      </w:r>
      <w:r w:rsidRPr="006B6A05">
        <w:rPr>
          <w:rFonts w:ascii="Times New Roman" w:hAnsi="Times New Roman" w:cs="Times New Roman"/>
          <w:i/>
          <w:sz w:val="24"/>
          <w:szCs w:val="24"/>
        </w:rPr>
        <w:t>royalties</w:t>
      </w:r>
      <w:r w:rsidRPr="00FA25FA">
        <w:rPr>
          <w:rFonts w:ascii="Times New Roman" w:hAnsi="Times New Roman" w:cs="Times New Roman"/>
          <w:sz w:val="24"/>
          <w:szCs w:val="24"/>
        </w:rPr>
        <w:t>, honorários, comissões e outras receitas;</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(e)</w:t>
      </w:r>
      <w:r w:rsidRPr="00FA25FA">
        <w:rPr>
          <w:rFonts w:ascii="Times New Roman" w:hAnsi="Times New Roman" w:cs="Times New Roman"/>
          <w:sz w:val="24"/>
          <w:szCs w:val="24"/>
        </w:rPr>
        <w:tab/>
        <w:t>pagamentos em caixa a outras entidades do setor público para financiar suas operações (não inclui empréstimo);</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(f)</w:t>
      </w:r>
      <w:r w:rsidRPr="00FA25FA">
        <w:rPr>
          <w:rFonts w:ascii="Times New Roman" w:hAnsi="Times New Roman" w:cs="Times New Roman"/>
          <w:sz w:val="24"/>
          <w:szCs w:val="24"/>
        </w:rPr>
        <w:tab/>
        <w:t>pagamentos em caixa a fornecedores de mercadorias e serviços;</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(g)</w:t>
      </w:r>
      <w:r w:rsidRPr="00FA25FA">
        <w:rPr>
          <w:rFonts w:ascii="Times New Roman" w:hAnsi="Times New Roman" w:cs="Times New Roman"/>
          <w:sz w:val="24"/>
          <w:szCs w:val="24"/>
        </w:rPr>
        <w:tab/>
        <w:t>pagamentos em caixa a empregados ou em nome de empregados;</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(h)</w:t>
      </w:r>
      <w:r w:rsidRPr="00FA25FA">
        <w:rPr>
          <w:rFonts w:ascii="Times New Roman" w:hAnsi="Times New Roman" w:cs="Times New Roman"/>
          <w:sz w:val="24"/>
          <w:szCs w:val="24"/>
        </w:rPr>
        <w:tab/>
        <w:t>recebimentos e pagamentos em caixa por seguradora de prêmios e sinistros, anuidades e outros benefícios da apólice;</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lastRenderedPageBreak/>
        <w:t>(i)</w:t>
      </w:r>
      <w:r w:rsidRPr="00FA25FA">
        <w:rPr>
          <w:rFonts w:ascii="Times New Roman" w:hAnsi="Times New Roman" w:cs="Times New Roman"/>
          <w:sz w:val="24"/>
          <w:szCs w:val="24"/>
        </w:rPr>
        <w:tab/>
        <w:t>pagamentos em caixa de tributos locais sobre o patrimônio ou tributos sobre a renda (onde aplicável) em relação a atividades operacionais;</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(j)</w:t>
      </w:r>
      <w:r w:rsidRPr="00FA25FA">
        <w:rPr>
          <w:rFonts w:ascii="Times New Roman" w:hAnsi="Times New Roman" w:cs="Times New Roman"/>
          <w:sz w:val="24"/>
          <w:szCs w:val="24"/>
        </w:rPr>
        <w:tab/>
        <w:t>recebimentos e pagamentos em caixa de contratos mantidos para negociação imediata ou disponíveis para venda;</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(k)</w:t>
      </w:r>
      <w:r w:rsidRPr="00FA25FA">
        <w:rPr>
          <w:rFonts w:ascii="Times New Roman" w:hAnsi="Times New Roman" w:cs="Times New Roman"/>
          <w:sz w:val="24"/>
          <w:szCs w:val="24"/>
        </w:rPr>
        <w:tab/>
        <w:t>recebimentos ou pagamentos em caixa decorrentes de operações descontinuadas; e</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(l)</w:t>
      </w:r>
      <w:r w:rsidRPr="00FA25FA">
        <w:rPr>
          <w:rFonts w:ascii="Times New Roman" w:hAnsi="Times New Roman" w:cs="Times New Roman"/>
          <w:sz w:val="24"/>
          <w:szCs w:val="24"/>
        </w:rPr>
        <w:tab/>
        <w:t>recebimentos ou pagamentos em caixa decorrentes da solução de litígios.</w:t>
      </w:r>
    </w:p>
    <w:p w:rsidR="003B288B" w:rsidRPr="00FA25FA" w:rsidRDefault="003B288B" w:rsidP="003B288B">
      <w:pPr>
        <w:spacing w:after="0" w:line="240" w:lineRule="auto"/>
        <w:ind w:left="567"/>
        <w:jc w:val="both"/>
        <w:rPr>
          <w:rFonts w:ascii="Times New Roman" w:hAnsi="Times New Roman" w:cs="Times New Roman"/>
          <w:sz w:val="24"/>
          <w:szCs w:val="24"/>
        </w:rPr>
      </w:pPr>
      <w:r w:rsidRPr="00FA25FA">
        <w:rPr>
          <w:rFonts w:ascii="Times New Roman" w:hAnsi="Times New Roman" w:cs="Times New Roman"/>
          <w:sz w:val="24"/>
          <w:szCs w:val="24"/>
        </w:rPr>
        <w:t>Algumas transações, como a venda de ativo imobilizado, podem resultar em ganho ou perda que é incluído no resultado do período. Os fluxos de caixa relativos a tais transações são provenientes de atividades de investimento. Entretanto, pagamentos em caixa para construção ou aquisição de ativos mantidos para aluguel a terceiros e depois mantidos para venda</w:t>
      </w:r>
      <w:r w:rsidR="006551DB">
        <w:rPr>
          <w:rFonts w:ascii="Times New Roman" w:hAnsi="Times New Roman" w:cs="Times New Roman"/>
          <w:sz w:val="24"/>
          <w:szCs w:val="24"/>
        </w:rPr>
        <w:t>,</w:t>
      </w:r>
      <w:r w:rsidRPr="00FA25FA">
        <w:rPr>
          <w:rFonts w:ascii="Times New Roman" w:hAnsi="Times New Roman" w:cs="Times New Roman"/>
          <w:sz w:val="24"/>
          <w:szCs w:val="24"/>
        </w:rPr>
        <w:t xml:space="preserve"> conforme descrito no item 83A da NBC TSP 07</w:t>
      </w:r>
      <w:r w:rsidR="006551DB">
        <w:rPr>
          <w:rFonts w:ascii="Times New Roman" w:hAnsi="Times New Roman" w:cs="Times New Roman"/>
          <w:sz w:val="24"/>
          <w:szCs w:val="24"/>
        </w:rPr>
        <w:t xml:space="preserve"> – Ativo Imobilizado</w:t>
      </w:r>
      <w:r w:rsidRPr="00FA25FA">
        <w:rPr>
          <w:rFonts w:ascii="Times New Roman" w:hAnsi="Times New Roman" w:cs="Times New Roman"/>
          <w:sz w:val="24"/>
          <w:szCs w:val="24"/>
        </w:rPr>
        <w:t xml:space="preserve"> são fluxos de caixa provenientes das atividades operacionais. Os recebimentos de caixa referentes a aluguéis e vendas desses ativos também são considerados fluxos de caixa das atividades operacionais.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23.</w:t>
      </w:r>
      <w:r w:rsidRPr="00FA25FA">
        <w:rPr>
          <w:rFonts w:ascii="Times New Roman" w:hAnsi="Times New Roman" w:cs="Times New Roman"/>
          <w:sz w:val="24"/>
          <w:szCs w:val="24"/>
        </w:rPr>
        <w:tab/>
        <w:t xml:space="preserve">A entidade pode manter títulos e empréstimos para fins de negociação imediata ou futura, os quais, nesses casos, são semelhantes a estoques adquiridos especificamente para revenda. Dessa forma, os fluxos de caixa decorrentes da compra e venda desses títulos </w:t>
      </w:r>
      <w:r w:rsidR="006551DB">
        <w:rPr>
          <w:rFonts w:ascii="Times New Roman" w:hAnsi="Times New Roman" w:cs="Times New Roman"/>
          <w:sz w:val="24"/>
          <w:szCs w:val="24"/>
        </w:rPr>
        <w:t>devem ser</w:t>
      </w:r>
      <w:r w:rsidRPr="00FA25FA">
        <w:rPr>
          <w:rFonts w:ascii="Times New Roman" w:hAnsi="Times New Roman" w:cs="Times New Roman"/>
          <w:sz w:val="24"/>
          <w:szCs w:val="24"/>
        </w:rPr>
        <w:t xml:space="preserve"> classificados como atividades operacionais. Da mesma forma, as antecipações de caixa e os empréstimos feitos por instituições financeiras públicas </w:t>
      </w:r>
      <w:r w:rsidR="006551DB">
        <w:rPr>
          <w:rFonts w:ascii="Times New Roman" w:hAnsi="Times New Roman" w:cs="Times New Roman"/>
          <w:sz w:val="24"/>
          <w:szCs w:val="24"/>
        </w:rPr>
        <w:t>devem ser</w:t>
      </w:r>
      <w:r w:rsidRPr="00FA25FA">
        <w:rPr>
          <w:rFonts w:ascii="Times New Roman" w:hAnsi="Times New Roman" w:cs="Times New Roman"/>
          <w:sz w:val="24"/>
          <w:szCs w:val="24"/>
        </w:rPr>
        <w:t xml:space="preserve"> comumente classificados como atividades operacionais, uma vez que se referem à principal atividade geradora de caixa dessas entidades.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24.</w:t>
      </w:r>
      <w:r w:rsidRPr="00FA25FA">
        <w:rPr>
          <w:rFonts w:ascii="Times New Roman" w:hAnsi="Times New Roman" w:cs="Times New Roman"/>
          <w:sz w:val="24"/>
          <w:szCs w:val="24"/>
        </w:rPr>
        <w:tab/>
        <w:t>Em alguns casos, os governos ou outras entidades do setor público destinam recursos orçamentários ou alocações orçamentárias de fundos para financiar operações da entidade e não é feita distinção precisa da destinação dos recursos desses fundos entre atividades correntes, capital de giro e capital integralizado. Quando a entidade não é capaz de identificar separadamente recursos ou alocações orçamentárias entre atividades correntes, capital de giro e capital integralizado, esses recursos ou alocações orçamentárias devem ser classificados como fluxos de caixa das atividades operacionais e esse fato deve ser divulgado nas notas explicativas das demonstrações contábeis.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A6143A"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t xml:space="preserve">Atividades de </w:t>
      </w:r>
      <w:r w:rsidR="006551DB">
        <w:rPr>
          <w:rFonts w:ascii="Times New Roman" w:hAnsi="Times New Roman" w:cs="Times New Roman"/>
          <w:b/>
          <w:sz w:val="24"/>
          <w:szCs w:val="24"/>
        </w:rPr>
        <w:t>i</w:t>
      </w:r>
      <w:r w:rsidRPr="00FA25FA">
        <w:rPr>
          <w:rFonts w:ascii="Times New Roman" w:hAnsi="Times New Roman" w:cs="Times New Roman"/>
          <w:b/>
          <w:sz w:val="24"/>
          <w:szCs w:val="24"/>
        </w:rPr>
        <w:t>nvestimento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12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25.</w:t>
      </w:r>
      <w:r w:rsidRPr="00FA25FA">
        <w:rPr>
          <w:rFonts w:ascii="Times New Roman" w:hAnsi="Times New Roman" w:cs="Times New Roman"/>
          <w:sz w:val="24"/>
          <w:szCs w:val="24"/>
        </w:rPr>
        <w:tab/>
        <w:t>A divulgação em separado dos fluxos de caixa decorrentes das atividades de investimento é importante porque tais fluxos de caixa representam a extensão em que as saídas de caixa são feitas com a finalidade de contribuir para a futura prestação de serviços da entidade. Somente saídas de caixa que resultam em ativo reconhecido nas demonstrações contábeis são passíveis de classificação como atividades de investimento. São exemplos de fluxos de caixa advindos das atividades de investimento:</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(a)</w:t>
      </w:r>
      <w:r w:rsidRPr="00FA25FA">
        <w:rPr>
          <w:rFonts w:ascii="Times New Roman" w:hAnsi="Times New Roman" w:cs="Times New Roman"/>
          <w:sz w:val="24"/>
          <w:szCs w:val="24"/>
        </w:rPr>
        <w:tab/>
        <w:t>pagamentos em caixa para aquisição de ativo imobilizado, intangível e outros ativos de longo prazo. Esses pagamentos incluem os custos de desenvolvimento ativados e ativos imobilizados de construção própria;</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(b)</w:t>
      </w:r>
      <w:r w:rsidRPr="00FA25FA">
        <w:rPr>
          <w:rFonts w:ascii="Times New Roman" w:hAnsi="Times New Roman" w:cs="Times New Roman"/>
          <w:sz w:val="24"/>
          <w:szCs w:val="24"/>
        </w:rPr>
        <w:tab/>
        <w:t>recebimentos de caixa resultantes da venda de ativo imobilizado, intangível e outros ativos de longo prazo;</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(c)</w:t>
      </w:r>
      <w:r w:rsidRPr="00FA25FA">
        <w:rPr>
          <w:rFonts w:ascii="Times New Roman" w:hAnsi="Times New Roman" w:cs="Times New Roman"/>
          <w:sz w:val="24"/>
          <w:szCs w:val="24"/>
        </w:rPr>
        <w:tab/>
        <w:t xml:space="preserve">pagamentos para aquisição de instrumentos patrimoniais ou instrumentos de dívida de outras entidades e participações societárias em </w:t>
      </w:r>
      <w:r w:rsidRPr="001E28CA">
        <w:rPr>
          <w:rFonts w:ascii="Times New Roman" w:hAnsi="Times New Roman" w:cs="Times New Roman"/>
          <w:i/>
          <w:sz w:val="24"/>
          <w:szCs w:val="24"/>
        </w:rPr>
        <w:t>joint</w:t>
      </w:r>
      <w:r w:rsidRPr="00FA25FA">
        <w:rPr>
          <w:rFonts w:ascii="Times New Roman" w:hAnsi="Times New Roman" w:cs="Times New Roman"/>
          <w:sz w:val="24"/>
          <w:szCs w:val="24"/>
        </w:rPr>
        <w:t xml:space="preserve"> </w:t>
      </w:r>
      <w:r w:rsidRPr="001E28CA">
        <w:rPr>
          <w:rFonts w:ascii="Times New Roman" w:hAnsi="Times New Roman" w:cs="Times New Roman"/>
          <w:i/>
          <w:sz w:val="24"/>
          <w:szCs w:val="24"/>
        </w:rPr>
        <w:t>ventures</w:t>
      </w:r>
      <w:r w:rsidRPr="00FA25FA">
        <w:rPr>
          <w:rFonts w:ascii="Times New Roman" w:hAnsi="Times New Roman" w:cs="Times New Roman"/>
          <w:sz w:val="24"/>
          <w:szCs w:val="24"/>
        </w:rPr>
        <w:t xml:space="preserve"> (exceto aqueles pagamentos referentes a títulos considerados como equivalentes de caixa ou aqueles mantidos para negociação imediata ou disponível para venda);</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lastRenderedPageBreak/>
        <w:t>(d)</w:t>
      </w:r>
      <w:r w:rsidRPr="00FA25FA">
        <w:rPr>
          <w:rFonts w:ascii="Times New Roman" w:hAnsi="Times New Roman" w:cs="Times New Roman"/>
          <w:sz w:val="24"/>
          <w:szCs w:val="24"/>
        </w:rPr>
        <w:tab/>
        <w:t xml:space="preserve">recebimentos de caixa provenientes da venda de instrumentos patrimoniais ou instrumentos de dívida de outras entidades e participações societárias em </w:t>
      </w:r>
      <w:r w:rsidRPr="001E28CA">
        <w:rPr>
          <w:rFonts w:ascii="Times New Roman" w:hAnsi="Times New Roman" w:cs="Times New Roman"/>
          <w:i/>
          <w:sz w:val="24"/>
          <w:szCs w:val="24"/>
        </w:rPr>
        <w:t>joint</w:t>
      </w:r>
      <w:r w:rsidRPr="00FA25FA">
        <w:rPr>
          <w:rFonts w:ascii="Times New Roman" w:hAnsi="Times New Roman" w:cs="Times New Roman"/>
          <w:sz w:val="24"/>
          <w:szCs w:val="24"/>
        </w:rPr>
        <w:t xml:space="preserve"> </w:t>
      </w:r>
      <w:r w:rsidRPr="001E28CA">
        <w:rPr>
          <w:rFonts w:ascii="Times New Roman" w:hAnsi="Times New Roman" w:cs="Times New Roman"/>
          <w:i/>
          <w:sz w:val="24"/>
          <w:szCs w:val="24"/>
        </w:rPr>
        <w:t>ventures</w:t>
      </w:r>
      <w:r w:rsidRPr="00FA25FA">
        <w:rPr>
          <w:rFonts w:ascii="Times New Roman" w:hAnsi="Times New Roman" w:cs="Times New Roman"/>
          <w:sz w:val="24"/>
          <w:szCs w:val="24"/>
        </w:rPr>
        <w:t xml:space="preserve"> (exceto aqueles recebimentos referentes aos títulos considerados como equivalentes de caixa e aqueles mantidos para negociação imediata ou disponível para venda);</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(e)</w:t>
      </w:r>
      <w:r w:rsidRPr="00FA25FA">
        <w:rPr>
          <w:rFonts w:ascii="Times New Roman" w:hAnsi="Times New Roman" w:cs="Times New Roman"/>
          <w:sz w:val="24"/>
          <w:szCs w:val="24"/>
        </w:rPr>
        <w:tab/>
        <w:t>adiantamentos em caixa e empréstimos concedidos a terceiros (exceto aqueles adiantamentos e empréstimos feitos por instituição financeira pública);</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(f)</w:t>
      </w:r>
      <w:r w:rsidRPr="00FA25FA">
        <w:rPr>
          <w:rFonts w:ascii="Times New Roman" w:hAnsi="Times New Roman" w:cs="Times New Roman"/>
          <w:sz w:val="24"/>
          <w:szCs w:val="24"/>
        </w:rPr>
        <w:tab/>
        <w:t>recebimentos de caixa por liquidação de adiantamentos ou amortização de empréstimos concedidos a terceiros (exceto adiantamentos e empréstimos concedidos por instituição financeira pública);</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(g)</w:t>
      </w:r>
      <w:r w:rsidRPr="00FA25FA">
        <w:rPr>
          <w:rFonts w:ascii="Times New Roman" w:hAnsi="Times New Roman" w:cs="Times New Roman"/>
          <w:sz w:val="24"/>
          <w:szCs w:val="24"/>
        </w:rPr>
        <w:tab/>
        <w:t xml:space="preserve">pagamentos em caixa por contratos futuros, a termo, de opção e </w:t>
      </w:r>
      <w:r w:rsidRPr="004B5C84">
        <w:rPr>
          <w:rFonts w:ascii="Times New Roman" w:hAnsi="Times New Roman" w:cs="Times New Roman"/>
          <w:i/>
          <w:sz w:val="24"/>
          <w:szCs w:val="24"/>
        </w:rPr>
        <w:t>swap</w:t>
      </w:r>
      <w:r w:rsidRPr="00FA25FA">
        <w:rPr>
          <w:rFonts w:ascii="Times New Roman" w:hAnsi="Times New Roman" w:cs="Times New Roman"/>
          <w:sz w:val="24"/>
          <w:szCs w:val="24"/>
        </w:rPr>
        <w:t>, exceto quando tais contratos forem mantidos para negociação imediata ou disponível para venda ou os pagamentos forem classificados como atividades de financiamento; e</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(h)</w:t>
      </w:r>
      <w:r w:rsidRPr="00FA25FA">
        <w:rPr>
          <w:rFonts w:ascii="Times New Roman" w:hAnsi="Times New Roman" w:cs="Times New Roman"/>
          <w:sz w:val="24"/>
          <w:szCs w:val="24"/>
        </w:rPr>
        <w:tab/>
        <w:t xml:space="preserve">recebimentos de caixa por contratos futuros, a termo, de opção e </w:t>
      </w:r>
      <w:r w:rsidRPr="004B5C84">
        <w:rPr>
          <w:rFonts w:ascii="Times New Roman" w:hAnsi="Times New Roman" w:cs="Times New Roman"/>
          <w:i/>
          <w:sz w:val="24"/>
          <w:szCs w:val="24"/>
        </w:rPr>
        <w:t>swap</w:t>
      </w:r>
      <w:r w:rsidRPr="00FA25FA">
        <w:rPr>
          <w:rFonts w:ascii="Times New Roman" w:hAnsi="Times New Roman" w:cs="Times New Roman"/>
          <w:sz w:val="24"/>
          <w:szCs w:val="24"/>
        </w:rPr>
        <w:t>, exceto quando tais contratos forem mantidos para negociação imediata ou disponível para venda ou os recebimentos forem classificados como atividades de financiamento.</w:t>
      </w:r>
    </w:p>
    <w:p w:rsidR="003B288B" w:rsidRPr="00FA25FA" w:rsidRDefault="003B288B" w:rsidP="003B288B">
      <w:pPr>
        <w:spacing w:after="0" w:line="240" w:lineRule="auto"/>
        <w:ind w:left="567"/>
        <w:jc w:val="both"/>
        <w:rPr>
          <w:rFonts w:ascii="Times New Roman" w:hAnsi="Times New Roman" w:cs="Times New Roman"/>
          <w:sz w:val="24"/>
          <w:szCs w:val="24"/>
        </w:rPr>
      </w:pPr>
      <w:r w:rsidRPr="00FA25FA">
        <w:rPr>
          <w:rFonts w:ascii="Times New Roman" w:hAnsi="Times New Roman" w:cs="Times New Roman"/>
          <w:sz w:val="24"/>
          <w:szCs w:val="24"/>
        </w:rPr>
        <w:t xml:space="preserve">Quando </w:t>
      </w:r>
      <w:r w:rsidR="004B5C84">
        <w:rPr>
          <w:rFonts w:ascii="Times New Roman" w:hAnsi="Times New Roman" w:cs="Times New Roman"/>
          <w:sz w:val="24"/>
          <w:szCs w:val="24"/>
        </w:rPr>
        <w:t>o</w:t>
      </w:r>
      <w:r w:rsidRPr="00FA25FA">
        <w:rPr>
          <w:rFonts w:ascii="Times New Roman" w:hAnsi="Times New Roman" w:cs="Times New Roman"/>
          <w:sz w:val="24"/>
          <w:szCs w:val="24"/>
        </w:rPr>
        <w:t xml:space="preserve"> contrato for contabilizado como proteção (</w:t>
      </w:r>
      <w:r w:rsidRPr="004B5C84">
        <w:rPr>
          <w:rFonts w:ascii="Times New Roman" w:hAnsi="Times New Roman" w:cs="Times New Roman"/>
          <w:i/>
          <w:sz w:val="24"/>
          <w:szCs w:val="24"/>
        </w:rPr>
        <w:t>hedge</w:t>
      </w:r>
      <w:r w:rsidRPr="00FA25FA">
        <w:rPr>
          <w:rFonts w:ascii="Times New Roman" w:hAnsi="Times New Roman" w:cs="Times New Roman"/>
          <w:sz w:val="24"/>
          <w:szCs w:val="24"/>
        </w:rPr>
        <w:t>) de posição identificável, os fluxos de caixa do contrato devem ser classificados do mesmo modo como foram classificados os fluxos de caixa da posição que estiver sendo protegida.</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A6143A"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t>Atividades de financiamento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12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26.</w:t>
      </w:r>
      <w:r w:rsidRPr="00FA25FA">
        <w:rPr>
          <w:rFonts w:ascii="Times New Roman" w:hAnsi="Times New Roman" w:cs="Times New Roman"/>
          <w:sz w:val="24"/>
          <w:szCs w:val="24"/>
        </w:rPr>
        <w:tab/>
        <w:t>A divulgação separada dos fluxos de caixa decorrentes das atividades de financiamento é importante por ser útil na previsão de exigências de fluxos futuros de caixa por parte dos provedores de capital à entidade. São exemplos de fluxos de caixa advindos das atividades de financiamento:</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(a)</w:t>
      </w:r>
      <w:r w:rsidRPr="00FA25FA">
        <w:rPr>
          <w:rFonts w:ascii="Times New Roman" w:hAnsi="Times New Roman" w:cs="Times New Roman"/>
          <w:sz w:val="24"/>
          <w:szCs w:val="24"/>
        </w:rPr>
        <w:tab/>
        <w:t>caixa recebido proveniente da emissão de debêntures, empréstimos contraídos, notas promissórias, títulos e valores, hipotecas e outros empréstimos contraídos de curto e longo prazos;</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(b)</w:t>
      </w:r>
      <w:r w:rsidRPr="00FA25FA">
        <w:rPr>
          <w:rFonts w:ascii="Times New Roman" w:hAnsi="Times New Roman" w:cs="Times New Roman"/>
          <w:sz w:val="24"/>
          <w:szCs w:val="24"/>
        </w:rPr>
        <w:tab/>
        <w:t>amortização de empréstimos e financiamentos que foram contraídos; e</w:t>
      </w:r>
    </w:p>
    <w:p w:rsidR="003B288B" w:rsidRPr="00FA25FA" w:rsidRDefault="003B288B" w:rsidP="003B288B">
      <w:pPr>
        <w:spacing w:after="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(c)</w:t>
      </w:r>
      <w:r w:rsidRPr="00FA25FA">
        <w:rPr>
          <w:rFonts w:ascii="Times New Roman" w:hAnsi="Times New Roman" w:cs="Times New Roman"/>
          <w:sz w:val="24"/>
          <w:szCs w:val="24"/>
        </w:rPr>
        <w:tab/>
        <w:t>pagamentos em caixa por arrendatário, para redução do passivo relativo a arrendamento mercantil financeiro.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A6143A"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t>Apresentação de fluxos de caixa das atividades operacionais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12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27.</w:t>
      </w:r>
      <w:r w:rsidRPr="00FA25FA">
        <w:rPr>
          <w:rFonts w:ascii="Times New Roman" w:hAnsi="Times New Roman" w:cs="Times New Roman"/>
          <w:sz w:val="24"/>
          <w:szCs w:val="24"/>
        </w:rPr>
        <w:tab/>
      </w:r>
      <w:r w:rsidRPr="00FA25FA">
        <w:rPr>
          <w:rFonts w:ascii="Times New Roman" w:hAnsi="Times New Roman" w:cs="Times New Roman"/>
          <w:b/>
          <w:sz w:val="24"/>
          <w:szCs w:val="24"/>
        </w:rPr>
        <w:t>A entidade deve apresentar a demonstração dos fluxos de caixa das atividades operacionais, usando, alternativamente:</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(a)</w:t>
      </w:r>
      <w:r w:rsidRPr="00FA25FA">
        <w:rPr>
          <w:rFonts w:ascii="Times New Roman" w:hAnsi="Times New Roman" w:cs="Times New Roman"/>
          <w:sz w:val="24"/>
          <w:szCs w:val="24"/>
        </w:rPr>
        <w:tab/>
      </w:r>
      <w:r w:rsidRPr="00FA25FA">
        <w:rPr>
          <w:rFonts w:ascii="Times New Roman" w:hAnsi="Times New Roman" w:cs="Times New Roman"/>
          <w:b/>
          <w:sz w:val="24"/>
          <w:szCs w:val="24"/>
        </w:rPr>
        <w:t>o método direto, segundo o qual as principais classes de recebimentos brutos e pagamentos brutos são informadas; ou</w:t>
      </w:r>
    </w:p>
    <w:p w:rsidR="003B288B" w:rsidRPr="00FA25FA" w:rsidRDefault="003B288B" w:rsidP="003B288B">
      <w:pPr>
        <w:spacing w:after="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(b)</w:t>
      </w:r>
      <w:r w:rsidRPr="00FA25FA">
        <w:rPr>
          <w:rFonts w:ascii="Times New Roman" w:hAnsi="Times New Roman" w:cs="Times New Roman"/>
          <w:sz w:val="24"/>
          <w:szCs w:val="24"/>
        </w:rPr>
        <w:tab/>
      </w:r>
      <w:r w:rsidRPr="00FA25FA">
        <w:rPr>
          <w:rFonts w:ascii="Times New Roman" w:hAnsi="Times New Roman" w:cs="Times New Roman"/>
          <w:b/>
          <w:sz w:val="24"/>
          <w:szCs w:val="24"/>
        </w:rPr>
        <w:t xml:space="preserve">o método indireto, segundo o qual </w:t>
      </w:r>
      <w:r w:rsidR="004B5C84">
        <w:rPr>
          <w:rFonts w:ascii="Times New Roman" w:hAnsi="Times New Roman" w:cs="Times New Roman"/>
          <w:b/>
          <w:sz w:val="24"/>
          <w:szCs w:val="24"/>
        </w:rPr>
        <w:t xml:space="preserve">o </w:t>
      </w:r>
      <w:r w:rsidRPr="00FA25FA">
        <w:rPr>
          <w:rFonts w:ascii="Times New Roman" w:hAnsi="Times New Roman" w:cs="Times New Roman"/>
          <w:b/>
          <w:sz w:val="24"/>
          <w:szCs w:val="24"/>
        </w:rPr>
        <w:t>resultado do período é ajustado pelos efeitos de transações que não envolvem caixa, pelos efeitos de quaisquer diferimentos ou apropriações por competência sobre recebimentos ou pagamentos em caixa operacionais passados ou futuros, e pelos efeitos de itens de receita ou despesa associados com fluxos de caixa das atividades de investimento ou de financiamento.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12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28.</w:t>
      </w:r>
      <w:r w:rsidRPr="00FA25FA">
        <w:rPr>
          <w:rFonts w:ascii="Times New Roman" w:hAnsi="Times New Roman" w:cs="Times New Roman"/>
          <w:sz w:val="24"/>
          <w:szCs w:val="24"/>
        </w:rPr>
        <w:tab/>
        <w:t xml:space="preserve">As entidades são incentivadas a divulgar fluxos de caixa de atividades operacionais usando o método direto. Esse método proporciona informações que (a) podem ser úteis na estimativa de fluxos de caixa futuros, e (b) não estão disponíveis no método indireto. Por meio do método </w:t>
      </w:r>
      <w:r w:rsidRPr="00FA25FA">
        <w:rPr>
          <w:rFonts w:ascii="Times New Roman" w:hAnsi="Times New Roman" w:cs="Times New Roman"/>
          <w:sz w:val="24"/>
          <w:szCs w:val="24"/>
        </w:rPr>
        <w:lastRenderedPageBreak/>
        <w:t>direto a informação sobre as principais classes de recebimentos e pagamentos brutos de caixa podem ser obtidas, alternativamente:</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(a)</w:t>
      </w:r>
      <w:r w:rsidRPr="00FA25FA">
        <w:rPr>
          <w:rFonts w:ascii="Times New Roman" w:hAnsi="Times New Roman" w:cs="Times New Roman"/>
          <w:sz w:val="24"/>
          <w:szCs w:val="24"/>
        </w:rPr>
        <w:tab/>
        <w:t>dos registros contábeis da entidade; ou</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(b)</w:t>
      </w:r>
      <w:r w:rsidRPr="00FA25FA">
        <w:rPr>
          <w:rFonts w:ascii="Times New Roman" w:hAnsi="Times New Roman" w:cs="Times New Roman"/>
          <w:sz w:val="24"/>
          <w:szCs w:val="24"/>
        </w:rPr>
        <w:tab/>
        <w:t>pelo ajuste de receitas operacionais, despesas operacionais (as instituições financeiras públicas devem considerar as receitas de juros e as similares e as despesas com juros e encargos similares) e outros itens da demonstração d</w:t>
      </w:r>
      <w:r w:rsidR="004B5C84">
        <w:rPr>
          <w:rFonts w:ascii="Times New Roman" w:hAnsi="Times New Roman" w:cs="Times New Roman"/>
          <w:sz w:val="24"/>
          <w:szCs w:val="24"/>
        </w:rPr>
        <w:t>o</w:t>
      </w:r>
      <w:r w:rsidRPr="00FA25FA">
        <w:rPr>
          <w:rFonts w:ascii="Times New Roman" w:hAnsi="Times New Roman" w:cs="Times New Roman"/>
          <w:sz w:val="24"/>
          <w:szCs w:val="24"/>
        </w:rPr>
        <w:t xml:space="preserve"> resultado, referentes a:</w:t>
      </w:r>
    </w:p>
    <w:p w:rsidR="003B288B" w:rsidRPr="00FA25FA" w:rsidRDefault="003B288B" w:rsidP="003B288B">
      <w:pPr>
        <w:spacing w:after="120" w:line="240" w:lineRule="auto"/>
        <w:ind w:left="1418" w:hanging="425"/>
        <w:jc w:val="both"/>
        <w:rPr>
          <w:rFonts w:ascii="Times New Roman" w:hAnsi="Times New Roman" w:cs="Times New Roman"/>
          <w:sz w:val="24"/>
          <w:szCs w:val="24"/>
        </w:rPr>
      </w:pPr>
      <w:r w:rsidRPr="00FA25FA">
        <w:rPr>
          <w:rFonts w:ascii="Times New Roman" w:hAnsi="Times New Roman" w:cs="Times New Roman"/>
          <w:sz w:val="24"/>
          <w:szCs w:val="24"/>
        </w:rPr>
        <w:t>(i)</w:t>
      </w:r>
      <w:r w:rsidRPr="00FA25FA">
        <w:rPr>
          <w:rFonts w:ascii="Times New Roman" w:hAnsi="Times New Roman" w:cs="Times New Roman"/>
          <w:sz w:val="24"/>
          <w:szCs w:val="24"/>
        </w:rPr>
        <w:tab/>
        <w:t>variações ocorridas no período nos estoques e nas contas operacionais a receber e a pagar;</w:t>
      </w:r>
    </w:p>
    <w:p w:rsidR="003B288B" w:rsidRPr="00FA25FA" w:rsidRDefault="003B288B" w:rsidP="003B288B">
      <w:pPr>
        <w:spacing w:after="120" w:line="240" w:lineRule="auto"/>
        <w:ind w:left="1418" w:hanging="425"/>
        <w:jc w:val="both"/>
        <w:rPr>
          <w:rFonts w:ascii="Times New Roman" w:hAnsi="Times New Roman" w:cs="Times New Roman"/>
          <w:sz w:val="24"/>
          <w:szCs w:val="24"/>
        </w:rPr>
      </w:pPr>
      <w:r w:rsidRPr="00FA25FA">
        <w:rPr>
          <w:rFonts w:ascii="Times New Roman" w:hAnsi="Times New Roman" w:cs="Times New Roman"/>
          <w:sz w:val="24"/>
          <w:szCs w:val="24"/>
        </w:rPr>
        <w:t>(ii)</w:t>
      </w:r>
      <w:r w:rsidRPr="00FA25FA">
        <w:rPr>
          <w:rFonts w:ascii="Times New Roman" w:hAnsi="Times New Roman" w:cs="Times New Roman"/>
          <w:sz w:val="24"/>
          <w:szCs w:val="24"/>
        </w:rPr>
        <w:tab/>
        <w:t>outros itens que não envolvem caixa; e</w:t>
      </w:r>
    </w:p>
    <w:p w:rsidR="003B288B" w:rsidRPr="00FA25FA" w:rsidRDefault="003B288B" w:rsidP="003B288B">
      <w:pPr>
        <w:spacing w:after="0" w:line="240" w:lineRule="auto"/>
        <w:ind w:left="1418" w:hanging="425"/>
        <w:jc w:val="both"/>
        <w:rPr>
          <w:rFonts w:ascii="Times New Roman" w:hAnsi="Times New Roman" w:cs="Times New Roman"/>
          <w:sz w:val="24"/>
          <w:szCs w:val="24"/>
        </w:rPr>
      </w:pPr>
      <w:r w:rsidRPr="00FA25FA">
        <w:rPr>
          <w:rFonts w:ascii="Times New Roman" w:hAnsi="Times New Roman" w:cs="Times New Roman"/>
          <w:sz w:val="24"/>
          <w:szCs w:val="24"/>
        </w:rPr>
        <w:t>(iii)</w:t>
      </w:r>
      <w:r w:rsidRPr="00FA25FA">
        <w:rPr>
          <w:rFonts w:ascii="Times New Roman" w:hAnsi="Times New Roman" w:cs="Times New Roman"/>
          <w:sz w:val="24"/>
          <w:szCs w:val="24"/>
        </w:rPr>
        <w:tab/>
        <w:t>outros itens tratados como fluxos de caixa advindos das atividades de investimento e de financiamento.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29.</w:t>
      </w:r>
      <w:r w:rsidRPr="00FA25FA">
        <w:rPr>
          <w:rFonts w:ascii="Times New Roman" w:hAnsi="Times New Roman" w:cs="Times New Roman"/>
          <w:sz w:val="24"/>
          <w:szCs w:val="24"/>
        </w:rPr>
        <w:tab/>
        <w:t>Entidades que elaboram e apresentam fluxos de caixa decorrentes de atividades operacionais usando o método direto são incentivadas também a apresentar a conciliação do resultado das suas atividades usuais com o fluxo de caixa líquido de atividades operacionais. Essa conciliação deve ser apresentada como parte da demonstração dos fluxos de caixa ou nas notas explicativas das demonstrações contábeis.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12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30.</w:t>
      </w:r>
      <w:r w:rsidRPr="00FA25FA">
        <w:rPr>
          <w:rFonts w:ascii="Times New Roman" w:hAnsi="Times New Roman" w:cs="Times New Roman"/>
          <w:sz w:val="24"/>
          <w:szCs w:val="24"/>
        </w:rPr>
        <w:tab/>
        <w:t>De acordo com o método indireto, o fluxo de caixa líquido das atividades operacionais é determinado ajustando o resultado das atividades usuais da entidade em relação aos efeitos de:</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(a)</w:t>
      </w:r>
      <w:r w:rsidRPr="00FA25FA">
        <w:rPr>
          <w:rFonts w:ascii="Times New Roman" w:hAnsi="Times New Roman" w:cs="Times New Roman"/>
          <w:sz w:val="24"/>
          <w:szCs w:val="24"/>
        </w:rPr>
        <w:tab/>
        <w:t>mudanças ocorridas no período nos estoques e nas contas operacionais a receber e a pagar;</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(b)</w:t>
      </w:r>
      <w:r w:rsidRPr="00FA25FA">
        <w:rPr>
          <w:rFonts w:ascii="Times New Roman" w:hAnsi="Times New Roman" w:cs="Times New Roman"/>
          <w:sz w:val="24"/>
          <w:szCs w:val="24"/>
        </w:rPr>
        <w:tab/>
        <w:t>itens que não afetam o caixa, tais como depreciação, provisões, tributos diferidos, ganhos e perdas em moedas estrangeiras não realizados, resultados de coligadas</w:t>
      </w:r>
      <w:r w:rsidR="004B5C84">
        <w:rPr>
          <w:rFonts w:ascii="Times New Roman" w:hAnsi="Times New Roman" w:cs="Times New Roman"/>
          <w:sz w:val="24"/>
          <w:szCs w:val="24"/>
        </w:rPr>
        <w:t xml:space="preserve"> e controladas</w:t>
      </w:r>
      <w:r w:rsidRPr="00FA25FA">
        <w:rPr>
          <w:rFonts w:ascii="Times New Roman" w:hAnsi="Times New Roman" w:cs="Times New Roman"/>
          <w:sz w:val="24"/>
          <w:szCs w:val="24"/>
        </w:rPr>
        <w:t xml:space="preserve"> não distribuídos e participação de minoritários; e</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(c)</w:t>
      </w:r>
      <w:r w:rsidRPr="00FA25FA">
        <w:rPr>
          <w:rFonts w:ascii="Times New Roman" w:hAnsi="Times New Roman" w:cs="Times New Roman"/>
          <w:sz w:val="24"/>
          <w:szCs w:val="24"/>
        </w:rPr>
        <w:tab/>
        <w:t>todos os outros itens cujos efeitos sobre o caixa sejam fluxos de caixa decorrentes das atividades de investimento ou de financiamento.</w:t>
      </w:r>
    </w:p>
    <w:p w:rsidR="003B288B" w:rsidRPr="00FA25FA" w:rsidRDefault="003B288B" w:rsidP="003B288B">
      <w:pPr>
        <w:spacing w:after="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(d)</w:t>
      </w:r>
      <w:r w:rsidRPr="00FA25FA">
        <w:rPr>
          <w:rFonts w:ascii="Times New Roman" w:hAnsi="Times New Roman" w:cs="Times New Roman"/>
          <w:sz w:val="24"/>
          <w:szCs w:val="24"/>
        </w:rPr>
        <w:tab/>
        <w:t>(</w:t>
      </w:r>
      <w:r w:rsidR="004B5C84">
        <w:rPr>
          <w:rFonts w:ascii="Times New Roman" w:hAnsi="Times New Roman" w:cs="Times New Roman"/>
          <w:sz w:val="24"/>
          <w:szCs w:val="24"/>
        </w:rPr>
        <w:t>e</w:t>
      </w:r>
      <w:r w:rsidRPr="00FA25FA">
        <w:rPr>
          <w:rFonts w:ascii="Times New Roman" w:hAnsi="Times New Roman" w:cs="Times New Roman"/>
          <w:sz w:val="24"/>
          <w:szCs w:val="24"/>
        </w:rPr>
        <w:t>liminado).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A6143A"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t>Apresentação dos fluxos de caixa das atividades de investimento e de financiamento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31.</w:t>
      </w:r>
      <w:r w:rsidRPr="00FA25FA">
        <w:rPr>
          <w:rFonts w:ascii="Times New Roman" w:hAnsi="Times New Roman" w:cs="Times New Roman"/>
          <w:sz w:val="24"/>
          <w:szCs w:val="24"/>
        </w:rPr>
        <w:tab/>
      </w:r>
      <w:r w:rsidRPr="00FA25FA">
        <w:rPr>
          <w:rFonts w:ascii="Times New Roman" w:hAnsi="Times New Roman" w:cs="Times New Roman"/>
          <w:b/>
          <w:sz w:val="24"/>
          <w:szCs w:val="24"/>
        </w:rPr>
        <w:t>A entidade deve apresentar</w:t>
      </w:r>
      <w:r w:rsidR="00844615">
        <w:rPr>
          <w:rFonts w:ascii="Times New Roman" w:hAnsi="Times New Roman" w:cs="Times New Roman"/>
          <w:b/>
          <w:sz w:val="24"/>
          <w:szCs w:val="24"/>
        </w:rPr>
        <w:t>,</w:t>
      </w:r>
      <w:r w:rsidRPr="00FA25FA">
        <w:rPr>
          <w:rFonts w:ascii="Times New Roman" w:hAnsi="Times New Roman" w:cs="Times New Roman"/>
          <w:b/>
          <w:sz w:val="24"/>
          <w:szCs w:val="24"/>
        </w:rPr>
        <w:t xml:space="preserve"> separadamente</w:t>
      </w:r>
      <w:r w:rsidR="00844615">
        <w:rPr>
          <w:rFonts w:ascii="Times New Roman" w:hAnsi="Times New Roman" w:cs="Times New Roman"/>
          <w:b/>
          <w:sz w:val="24"/>
          <w:szCs w:val="24"/>
        </w:rPr>
        <w:t>,</w:t>
      </w:r>
      <w:r w:rsidRPr="00FA25FA">
        <w:rPr>
          <w:rFonts w:ascii="Times New Roman" w:hAnsi="Times New Roman" w:cs="Times New Roman"/>
          <w:b/>
          <w:sz w:val="24"/>
          <w:szCs w:val="24"/>
        </w:rPr>
        <w:t xml:space="preserve"> as principais classes de recebimentos e de pagamentos brutos decorrentes das atividades de investimento e de financiamento, exceto quando os fluxos de caixa, nas condições descritas nos itens 32 e 35, forem apresentados em base líquida.</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A6143A"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t>Apresentação dos fluxos de caixa em base líquida</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12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32.</w:t>
      </w:r>
      <w:r w:rsidRPr="00FA25FA">
        <w:rPr>
          <w:rFonts w:ascii="Times New Roman" w:hAnsi="Times New Roman" w:cs="Times New Roman"/>
          <w:sz w:val="24"/>
          <w:szCs w:val="24"/>
        </w:rPr>
        <w:tab/>
      </w:r>
      <w:r w:rsidRPr="00FA25FA">
        <w:rPr>
          <w:rFonts w:ascii="Times New Roman" w:hAnsi="Times New Roman" w:cs="Times New Roman"/>
          <w:b/>
          <w:sz w:val="24"/>
          <w:szCs w:val="24"/>
        </w:rPr>
        <w:t>Os fluxos de caixa decorrentes das seguintes atividades operacionais, de investimento e de financiamento podem ser apresentados em base líquida:</w:t>
      </w:r>
    </w:p>
    <w:p w:rsidR="003B288B" w:rsidRPr="00FA25FA" w:rsidRDefault="003B288B" w:rsidP="003B288B">
      <w:pPr>
        <w:spacing w:after="120" w:line="240" w:lineRule="auto"/>
        <w:ind w:left="992" w:hanging="425"/>
        <w:jc w:val="both"/>
        <w:rPr>
          <w:rFonts w:ascii="Times New Roman" w:hAnsi="Times New Roman" w:cs="Times New Roman"/>
          <w:sz w:val="24"/>
          <w:szCs w:val="24"/>
        </w:rPr>
      </w:pPr>
      <w:r w:rsidRPr="00FA25FA">
        <w:rPr>
          <w:rFonts w:ascii="Times New Roman" w:hAnsi="Times New Roman" w:cs="Times New Roman"/>
          <w:sz w:val="24"/>
          <w:szCs w:val="24"/>
        </w:rPr>
        <w:t>(a</w:t>
      </w:r>
      <w:proofErr w:type="gramStart"/>
      <w:r w:rsidRPr="00FA25FA">
        <w:rPr>
          <w:rFonts w:ascii="Times New Roman" w:hAnsi="Times New Roman" w:cs="Times New Roman"/>
          <w:sz w:val="24"/>
          <w:szCs w:val="24"/>
        </w:rPr>
        <w:t>)</w:t>
      </w:r>
      <w:proofErr w:type="gramEnd"/>
      <w:r w:rsidRPr="00FA25FA">
        <w:rPr>
          <w:rFonts w:ascii="Times New Roman" w:hAnsi="Times New Roman" w:cs="Times New Roman"/>
          <w:sz w:val="24"/>
          <w:szCs w:val="24"/>
        </w:rPr>
        <w:tab/>
      </w:r>
      <w:r w:rsidRPr="00FA25FA">
        <w:rPr>
          <w:rFonts w:ascii="Times New Roman" w:hAnsi="Times New Roman" w:cs="Times New Roman"/>
          <w:b/>
          <w:sz w:val="24"/>
          <w:szCs w:val="24"/>
        </w:rPr>
        <w:t>recebimentos e pagamentos em caixa em favor ou em nome de clientes, contribuintes ou beneficiários</w:t>
      </w:r>
      <w:r w:rsidR="00844615">
        <w:rPr>
          <w:rFonts w:ascii="Times New Roman" w:hAnsi="Times New Roman" w:cs="Times New Roman"/>
          <w:b/>
          <w:sz w:val="24"/>
          <w:szCs w:val="24"/>
        </w:rPr>
        <w:t>,</w:t>
      </w:r>
      <w:r w:rsidRPr="00FA25FA">
        <w:rPr>
          <w:rFonts w:ascii="Times New Roman" w:hAnsi="Times New Roman" w:cs="Times New Roman"/>
          <w:b/>
          <w:sz w:val="24"/>
          <w:szCs w:val="24"/>
        </w:rPr>
        <w:t xml:space="preserve"> quando os fluxos de caixa refletirem mais as atividades dessas partes do que as da própria entidade; e</w:t>
      </w:r>
    </w:p>
    <w:p w:rsidR="003B288B" w:rsidRPr="00FA25FA" w:rsidRDefault="003B288B" w:rsidP="003B288B">
      <w:pPr>
        <w:spacing w:after="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(b)</w:t>
      </w:r>
      <w:r w:rsidRPr="00FA25FA">
        <w:rPr>
          <w:rFonts w:ascii="Times New Roman" w:hAnsi="Times New Roman" w:cs="Times New Roman"/>
          <w:sz w:val="24"/>
          <w:szCs w:val="24"/>
        </w:rPr>
        <w:tab/>
      </w:r>
      <w:r w:rsidRPr="00FA25FA">
        <w:rPr>
          <w:rFonts w:ascii="Times New Roman" w:hAnsi="Times New Roman" w:cs="Times New Roman"/>
          <w:b/>
          <w:sz w:val="24"/>
          <w:szCs w:val="24"/>
        </w:rPr>
        <w:t>recebimentos e pagamentos em caixa para itens cujo giro seja rápido, os montantes sejam significativos e os vencimentos sejam de curto prazo.</w:t>
      </w:r>
    </w:p>
    <w:p w:rsidR="003B288B" w:rsidRDefault="003B288B" w:rsidP="003B288B">
      <w:pPr>
        <w:spacing w:after="0" w:line="240" w:lineRule="auto"/>
        <w:jc w:val="both"/>
        <w:rPr>
          <w:rFonts w:ascii="Times New Roman" w:hAnsi="Times New Roman" w:cs="Times New Roman"/>
          <w:sz w:val="24"/>
          <w:szCs w:val="24"/>
        </w:rPr>
      </w:pPr>
    </w:p>
    <w:p w:rsidR="00FA25FA" w:rsidRDefault="00FA25FA" w:rsidP="003B288B">
      <w:pPr>
        <w:spacing w:after="0" w:line="240" w:lineRule="auto"/>
        <w:jc w:val="both"/>
        <w:rPr>
          <w:rFonts w:ascii="Times New Roman" w:hAnsi="Times New Roman" w:cs="Times New Roman"/>
          <w:sz w:val="24"/>
          <w:szCs w:val="24"/>
        </w:rPr>
      </w:pPr>
    </w:p>
    <w:p w:rsidR="00FA25FA" w:rsidRDefault="00FA25FA" w:rsidP="003B288B">
      <w:pPr>
        <w:spacing w:after="0" w:line="240" w:lineRule="auto"/>
        <w:jc w:val="both"/>
        <w:rPr>
          <w:rFonts w:ascii="Times New Roman" w:hAnsi="Times New Roman" w:cs="Times New Roman"/>
          <w:sz w:val="24"/>
          <w:szCs w:val="24"/>
        </w:rPr>
      </w:pPr>
    </w:p>
    <w:p w:rsidR="003B288B" w:rsidRPr="00FA25FA" w:rsidRDefault="003B288B" w:rsidP="003B288B">
      <w:pPr>
        <w:spacing w:after="12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lastRenderedPageBreak/>
        <w:t>33.</w:t>
      </w:r>
      <w:r w:rsidRPr="00FA25FA">
        <w:rPr>
          <w:rFonts w:ascii="Times New Roman" w:hAnsi="Times New Roman" w:cs="Times New Roman"/>
          <w:sz w:val="24"/>
          <w:szCs w:val="24"/>
        </w:rPr>
        <w:tab/>
        <w:t>O item 32(a) se refere</w:t>
      </w:r>
      <w:r w:rsidR="00844615">
        <w:rPr>
          <w:rFonts w:ascii="Times New Roman" w:hAnsi="Times New Roman" w:cs="Times New Roman"/>
          <w:sz w:val="24"/>
          <w:szCs w:val="24"/>
        </w:rPr>
        <w:t>,</w:t>
      </w:r>
      <w:r w:rsidRPr="00FA25FA">
        <w:rPr>
          <w:rFonts w:ascii="Times New Roman" w:hAnsi="Times New Roman" w:cs="Times New Roman"/>
          <w:sz w:val="24"/>
          <w:szCs w:val="24"/>
        </w:rPr>
        <w:t xml:space="preserve"> exclusivamente</w:t>
      </w:r>
      <w:r w:rsidR="00844615">
        <w:rPr>
          <w:rFonts w:ascii="Times New Roman" w:hAnsi="Times New Roman" w:cs="Times New Roman"/>
          <w:sz w:val="24"/>
          <w:szCs w:val="24"/>
        </w:rPr>
        <w:t>,</w:t>
      </w:r>
      <w:r w:rsidRPr="00FA25FA">
        <w:rPr>
          <w:rFonts w:ascii="Times New Roman" w:hAnsi="Times New Roman" w:cs="Times New Roman"/>
          <w:sz w:val="24"/>
          <w:szCs w:val="24"/>
        </w:rPr>
        <w:t xml:space="preserve"> a transações cujos saldos de caixa resultantes são controlados pela entidade que apresenta as demonstrações contábeis. Exemplos de tais recebimentos e pagamentos incluem:</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(a)</w:t>
      </w:r>
      <w:r w:rsidRPr="00FA25FA">
        <w:rPr>
          <w:rFonts w:ascii="Times New Roman" w:hAnsi="Times New Roman" w:cs="Times New Roman"/>
          <w:sz w:val="24"/>
          <w:szCs w:val="24"/>
        </w:rPr>
        <w:tab/>
        <w:t>a arrecadação de tributos executada por um nível de governo em favor de outro nível de governo, não incluindo tributos arrecadados pelo governo para seu uso próprio como parte de dispositivo normativo de repartição tributária;</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(b</w:t>
      </w:r>
      <w:proofErr w:type="gramStart"/>
      <w:r w:rsidRPr="00FA25FA">
        <w:rPr>
          <w:rFonts w:ascii="Times New Roman" w:hAnsi="Times New Roman" w:cs="Times New Roman"/>
          <w:sz w:val="24"/>
          <w:szCs w:val="24"/>
        </w:rPr>
        <w:t>)</w:t>
      </w:r>
      <w:proofErr w:type="gramEnd"/>
      <w:r w:rsidRPr="00FA25FA">
        <w:rPr>
          <w:rFonts w:ascii="Times New Roman" w:hAnsi="Times New Roman" w:cs="Times New Roman"/>
          <w:sz w:val="24"/>
          <w:szCs w:val="24"/>
        </w:rPr>
        <w:tab/>
        <w:t xml:space="preserve">movimentação (depósitos e saques) em contas de depósitos à vista em instituição financeira </w:t>
      </w:r>
      <w:r w:rsidR="00844615" w:rsidRPr="00FA25FA">
        <w:rPr>
          <w:rFonts w:ascii="Times New Roman" w:hAnsi="Times New Roman" w:cs="Times New Roman"/>
          <w:sz w:val="24"/>
          <w:szCs w:val="24"/>
        </w:rPr>
        <w:t>p</w:t>
      </w:r>
      <w:r w:rsidR="00844615">
        <w:rPr>
          <w:rFonts w:ascii="Times New Roman" w:hAnsi="Times New Roman" w:cs="Times New Roman"/>
          <w:sz w:val="24"/>
          <w:szCs w:val="24"/>
        </w:rPr>
        <w:t>ú</w:t>
      </w:r>
      <w:r w:rsidR="00844615" w:rsidRPr="00FA25FA">
        <w:rPr>
          <w:rFonts w:ascii="Times New Roman" w:hAnsi="Times New Roman" w:cs="Times New Roman"/>
          <w:sz w:val="24"/>
          <w:szCs w:val="24"/>
        </w:rPr>
        <w:t>blica</w:t>
      </w:r>
      <w:r w:rsidRPr="00FA25FA">
        <w:rPr>
          <w:rFonts w:ascii="Times New Roman" w:hAnsi="Times New Roman" w:cs="Times New Roman"/>
          <w:sz w:val="24"/>
          <w:szCs w:val="24"/>
        </w:rPr>
        <w:t>;</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(c)</w:t>
      </w:r>
      <w:r w:rsidRPr="00FA25FA">
        <w:rPr>
          <w:rFonts w:ascii="Times New Roman" w:hAnsi="Times New Roman" w:cs="Times New Roman"/>
          <w:sz w:val="24"/>
          <w:szCs w:val="24"/>
        </w:rPr>
        <w:tab/>
        <w:t xml:space="preserve">fundos mantidos para clientes por entidade de fundos de investimento ou de </w:t>
      </w:r>
      <w:r w:rsidRPr="004B5C84">
        <w:rPr>
          <w:rFonts w:ascii="Times New Roman" w:hAnsi="Times New Roman" w:cs="Times New Roman"/>
          <w:i/>
          <w:sz w:val="24"/>
          <w:szCs w:val="24"/>
        </w:rPr>
        <w:t>truste</w:t>
      </w:r>
      <w:r w:rsidRPr="00FA25FA">
        <w:rPr>
          <w:rFonts w:ascii="Times New Roman" w:hAnsi="Times New Roman" w:cs="Times New Roman"/>
          <w:sz w:val="24"/>
          <w:szCs w:val="24"/>
        </w:rPr>
        <w:t>; e</w:t>
      </w:r>
    </w:p>
    <w:p w:rsidR="003B288B" w:rsidRPr="00FA25FA" w:rsidRDefault="003B288B" w:rsidP="003B288B">
      <w:pPr>
        <w:spacing w:after="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(d)</w:t>
      </w:r>
      <w:r w:rsidRPr="00FA25FA">
        <w:rPr>
          <w:rFonts w:ascii="Times New Roman" w:hAnsi="Times New Roman" w:cs="Times New Roman"/>
          <w:sz w:val="24"/>
          <w:szCs w:val="24"/>
        </w:rPr>
        <w:tab/>
        <w:t>aluguéis cobrados em nome de terceiros e pagos inteiramente aos proprietários do bem alugado.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12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34.</w:t>
      </w:r>
      <w:r w:rsidRPr="00FA25FA">
        <w:rPr>
          <w:rFonts w:ascii="Times New Roman" w:hAnsi="Times New Roman" w:cs="Times New Roman"/>
          <w:sz w:val="24"/>
          <w:szCs w:val="24"/>
        </w:rPr>
        <w:tab/>
        <w:t>Exemplos de recebimentos e pagamentos referentes ao item 32(b) são adiantamentos destinados a, e reembolso de:</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(a)</w:t>
      </w:r>
      <w:r w:rsidRPr="00FA25FA">
        <w:rPr>
          <w:rFonts w:ascii="Times New Roman" w:hAnsi="Times New Roman" w:cs="Times New Roman"/>
          <w:sz w:val="24"/>
          <w:szCs w:val="24"/>
        </w:rPr>
        <w:tab/>
        <w:t>compra e venda de investimentos; e</w:t>
      </w:r>
    </w:p>
    <w:p w:rsidR="003B288B" w:rsidRPr="00FA25FA" w:rsidRDefault="003B288B" w:rsidP="003B288B">
      <w:pPr>
        <w:spacing w:after="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(b)</w:t>
      </w:r>
      <w:r w:rsidRPr="00FA25FA">
        <w:rPr>
          <w:rFonts w:ascii="Times New Roman" w:hAnsi="Times New Roman" w:cs="Times New Roman"/>
          <w:sz w:val="24"/>
          <w:szCs w:val="24"/>
        </w:rPr>
        <w:tab/>
        <w:t>outros empréstimos tomados a curto prazo, como, por exemplo, os que têm vencimento em três meses ou menos contados a partir da respectiva contratação.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12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35.</w:t>
      </w:r>
      <w:r w:rsidRPr="00FA25FA">
        <w:rPr>
          <w:rFonts w:ascii="Times New Roman" w:hAnsi="Times New Roman" w:cs="Times New Roman"/>
          <w:sz w:val="24"/>
          <w:szCs w:val="24"/>
        </w:rPr>
        <w:tab/>
      </w:r>
      <w:r w:rsidRPr="00FA25FA">
        <w:rPr>
          <w:rFonts w:ascii="Times New Roman" w:hAnsi="Times New Roman" w:cs="Times New Roman"/>
          <w:b/>
          <w:sz w:val="24"/>
          <w:szCs w:val="24"/>
        </w:rPr>
        <w:t>Os fluxos de caixa decorrentes de cada uma das seguintes atividades de instituição financeira pública podem ser apresentados em base líquida:</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(a)</w:t>
      </w:r>
      <w:r w:rsidRPr="00FA25FA">
        <w:rPr>
          <w:rFonts w:ascii="Times New Roman" w:hAnsi="Times New Roman" w:cs="Times New Roman"/>
          <w:sz w:val="24"/>
          <w:szCs w:val="24"/>
        </w:rPr>
        <w:tab/>
      </w:r>
      <w:r w:rsidRPr="00FA25FA">
        <w:rPr>
          <w:rFonts w:ascii="Times New Roman" w:hAnsi="Times New Roman" w:cs="Times New Roman"/>
          <w:b/>
          <w:sz w:val="24"/>
          <w:szCs w:val="24"/>
        </w:rPr>
        <w:t>recebimentos e pagamentos em caixa pela aplicação e resgate de depósitos a prazo fixo;</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(b)</w:t>
      </w:r>
      <w:r w:rsidRPr="00FA25FA">
        <w:rPr>
          <w:rFonts w:ascii="Times New Roman" w:hAnsi="Times New Roman" w:cs="Times New Roman"/>
          <w:sz w:val="24"/>
          <w:szCs w:val="24"/>
        </w:rPr>
        <w:tab/>
      </w:r>
      <w:r w:rsidRPr="00FA25FA">
        <w:rPr>
          <w:rFonts w:ascii="Times New Roman" w:hAnsi="Times New Roman" w:cs="Times New Roman"/>
          <w:b/>
          <w:sz w:val="24"/>
          <w:szCs w:val="24"/>
        </w:rPr>
        <w:t>alocação de depósitos efetuados por meio da retirada de recursos de outras instituições financeiras; e</w:t>
      </w:r>
    </w:p>
    <w:p w:rsidR="003B288B" w:rsidRPr="00FA25FA" w:rsidRDefault="003B288B" w:rsidP="003B288B">
      <w:pPr>
        <w:spacing w:after="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(c)</w:t>
      </w:r>
      <w:r w:rsidRPr="00FA25FA">
        <w:rPr>
          <w:rFonts w:ascii="Times New Roman" w:hAnsi="Times New Roman" w:cs="Times New Roman"/>
          <w:sz w:val="24"/>
          <w:szCs w:val="24"/>
        </w:rPr>
        <w:tab/>
      </w:r>
      <w:r w:rsidRPr="00FA25FA">
        <w:rPr>
          <w:rFonts w:ascii="Times New Roman" w:hAnsi="Times New Roman" w:cs="Times New Roman"/>
          <w:b/>
          <w:sz w:val="24"/>
          <w:szCs w:val="24"/>
        </w:rPr>
        <w:t>adiantamentos e empréstimos de caixa concedidos a clientes e a amortização desses adiantamentos e empréstimos.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A6143A"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t>Fluxos de caixa em moeda estrangeira</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36.</w:t>
      </w:r>
      <w:r w:rsidRPr="00FA25FA">
        <w:rPr>
          <w:rFonts w:ascii="Times New Roman" w:hAnsi="Times New Roman" w:cs="Times New Roman"/>
          <w:sz w:val="24"/>
          <w:szCs w:val="24"/>
        </w:rPr>
        <w:tab/>
      </w:r>
      <w:r w:rsidRPr="00FA25FA">
        <w:rPr>
          <w:rFonts w:ascii="Times New Roman" w:hAnsi="Times New Roman" w:cs="Times New Roman"/>
          <w:b/>
          <w:sz w:val="24"/>
          <w:szCs w:val="24"/>
        </w:rPr>
        <w:t>Os fluxos de caixa decorrentes de transações em moeda estrangeira devem ser registrados na moeda funcional da entidade, convertendo-se o valor da moeda estrangeira à taxa cambial na data da ocorrência do fluxo de caixa.</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37.</w:t>
      </w:r>
      <w:r w:rsidRPr="00FA25FA">
        <w:rPr>
          <w:rFonts w:ascii="Times New Roman" w:hAnsi="Times New Roman" w:cs="Times New Roman"/>
          <w:sz w:val="24"/>
          <w:szCs w:val="24"/>
        </w:rPr>
        <w:tab/>
      </w:r>
      <w:r w:rsidRPr="00FA25FA">
        <w:rPr>
          <w:rFonts w:ascii="Times New Roman" w:hAnsi="Times New Roman" w:cs="Times New Roman"/>
          <w:b/>
          <w:sz w:val="24"/>
          <w:szCs w:val="24"/>
        </w:rPr>
        <w:t>Os fluxos de caixa de entidade controlada no exterior devem ser convertidos pela aplicação das taxas de câmbio entre a moeda funcional e a moeda estrangeira observadas na data da ocorrência dos fluxos de caixa.</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38.</w:t>
      </w:r>
      <w:r w:rsidRPr="00FA25FA">
        <w:rPr>
          <w:rFonts w:ascii="Times New Roman" w:hAnsi="Times New Roman" w:cs="Times New Roman"/>
          <w:sz w:val="24"/>
          <w:szCs w:val="24"/>
        </w:rPr>
        <w:tab/>
        <w:t>(Não convergido).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39.</w:t>
      </w:r>
      <w:r w:rsidRPr="00FA25FA">
        <w:rPr>
          <w:rFonts w:ascii="Times New Roman" w:hAnsi="Times New Roman" w:cs="Times New Roman"/>
          <w:sz w:val="24"/>
          <w:szCs w:val="24"/>
        </w:rPr>
        <w:tab/>
        <w:t>Ganhos e perdas não realizados resultantes de mudanças nas taxas de câmbio de moedas estrangeiras não são fluxos de caixa. Todavia, o efeito das mudanças nas taxas cambiais sobre o caixa e equivalentes de caixa, mantidos ou devidos em moeda estrangeira, é apresentado na demonstração dos fluxos de caixa, a fim de conciliar o caixa e equivalentes de caixa no começo e no fim do período. Esse valor é apresentado separadamente dos fluxos de caixa das atividades operacionais, de investimento e de financiamento e inclui as diferenças, se existirem, caso tais fluxos de caixa tenham sido convertidos e registrados com base nas taxas de câmbio do fim do período.</w:t>
      </w:r>
    </w:p>
    <w:p w:rsidR="003B288B" w:rsidRDefault="003B288B" w:rsidP="003B288B">
      <w:pPr>
        <w:spacing w:after="0" w:line="240" w:lineRule="auto"/>
        <w:jc w:val="both"/>
        <w:rPr>
          <w:rFonts w:ascii="Times New Roman" w:hAnsi="Times New Roman" w:cs="Times New Roman"/>
          <w:sz w:val="24"/>
          <w:szCs w:val="24"/>
        </w:rPr>
      </w:pPr>
    </w:p>
    <w:p w:rsidR="003B288B" w:rsidRPr="00A6143A"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lastRenderedPageBreak/>
        <w:t xml:space="preserve">Juros e </w:t>
      </w:r>
      <w:r w:rsidR="004B5C84">
        <w:rPr>
          <w:rFonts w:ascii="Times New Roman" w:hAnsi="Times New Roman" w:cs="Times New Roman"/>
          <w:b/>
          <w:sz w:val="24"/>
          <w:szCs w:val="24"/>
        </w:rPr>
        <w:t>d</w:t>
      </w:r>
      <w:r w:rsidRPr="00FA25FA">
        <w:rPr>
          <w:rFonts w:ascii="Times New Roman" w:hAnsi="Times New Roman" w:cs="Times New Roman"/>
          <w:b/>
          <w:sz w:val="24"/>
          <w:szCs w:val="24"/>
        </w:rPr>
        <w:t xml:space="preserve">ividendos ou </w:t>
      </w:r>
      <w:r w:rsidR="004B5C84">
        <w:rPr>
          <w:rFonts w:ascii="Times New Roman" w:hAnsi="Times New Roman" w:cs="Times New Roman"/>
          <w:b/>
          <w:sz w:val="24"/>
          <w:szCs w:val="24"/>
        </w:rPr>
        <w:t>d</w:t>
      </w:r>
      <w:r w:rsidRPr="00FA25FA">
        <w:rPr>
          <w:rFonts w:ascii="Times New Roman" w:hAnsi="Times New Roman" w:cs="Times New Roman"/>
          <w:b/>
          <w:sz w:val="24"/>
          <w:szCs w:val="24"/>
        </w:rPr>
        <w:t xml:space="preserve">istribuições </w:t>
      </w:r>
      <w:r w:rsidR="004B5C84">
        <w:rPr>
          <w:rFonts w:ascii="Times New Roman" w:hAnsi="Times New Roman" w:cs="Times New Roman"/>
          <w:b/>
          <w:sz w:val="24"/>
          <w:szCs w:val="24"/>
        </w:rPr>
        <w:t>s</w:t>
      </w:r>
      <w:r w:rsidRPr="00FA25FA">
        <w:rPr>
          <w:rFonts w:ascii="Times New Roman" w:hAnsi="Times New Roman" w:cs="Times New Roman"/>
          <w:b/>
          <w:sz w:val="24"/>
          <w:szCs w:val="24"/>
        </w:rPr>
        <w:t>imilares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40.</w:t>
      </w:r>
      <w:r w:rsidRPr="00FA25FA">
        <w:rPr>
          <w:rFonts w:ascii="Times New Roman" w:hAnsi="Times New Roman" w:cs="Times New Roman"/>
          <w:sz w:val="24"/>
          <w:szCs w:val="24"/>
        </w:rPr>
        <w:tab/>
      </w:r>
      <w:r w:rsidRPr="00FA25FA">
        <w:rPr>
          <w:rFonts w:ascii="Times New Roman" w:hAnsi="Times New Roman" w:cs="Times New Roman"/>
          <w:b/>
          <w:sz w:val="24"/>
          <w:szCs w:val="24"/>
        </w:rPr>
        <w:t>Os fluxos de caixa referentes a juros, dividendos ou distribuições similares recebidos e pagos devem ser apresentados separadamente. Cada um deles deve ser classificado de maneira consistente, de período a período, como atividades operacionais, de investimento ou de financiamento.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41.</w:t>
      </w:r>
      <w:r w:rsidRPr="00FA25FA">
        <w:rPr>
          <w:rFonts w:ascii="Times New Roman" w:hAnsi="Times New Roman" w:cs="Times New Roman"/>
          <w:sz w:val="24"/>
          <w:szCs w:val="24"/>
        </w:rPr>
        <w:tab/>
        <w:t>O valor total dos juros pagos durante o período é apresentado na demonstração dos fluxos de caixa, quer tenha sido reconhecido como despesa na demonstração d</w:t>
      </w:r>
      <w:r w:rsidR="009C616B">
        <w:rPr>
          <w:rFonts w:ascii="Times New Roman" w:hAnsi="Times New Roman" w:cs="Times New Roman"/>
          <w:sz w:val="24"/>
          <w:szCs w:val="24"/>
        </w:rPr>
        <w:t>o</w:t>
      </w:r>
      <w:r w:rsidRPr="00FA25FA">
        <w:rPr>
          <w:rFonts w:ascii="Times New Roman" w:hAnsi="Times New Roman" w:cs="Times New Roman"/>
          <w:sz w:val="24"/>
          <w:szCs w:val="24"/>
        </w:rPr>
        <w:t xml:space="preserve"> resultado, quer tenha sido capitalizado.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42.</w:t>
      </w:r>
      <w:r w:rsidRPr="00FA25FA">
        <w:rPr>
          <w:rFonts w:ascii="Times New Roman" w:hAnsi="Times New Roman" w:cs="Times New Roman"/>
          <w:sz w:val="24"/>
          <w:szCs w:val="24"/>
        </w:rPr>
        <w:tab/>
        <w:t>Os juros pagos e recebidos e os dividendos ou distribuições similares recebidas são comumente classificados como fluxos de caixa operacionais em instituições financeiras públicas. Todavia, não há consenso sobre a classificação desses fluxos de caixa para os outros tipos de entidades. Os juros pagos e recebidos e os dividendos ou distribuições similares recebidas podem ser classificados como fluxos de caixa operacionais, porque eles entram na determinação do resultado. Alternativamente, podem ser classificados como fluxos de caixa de financiamento e fluxos de caixa de investimento, respectivamente, porque são custos de obtenção de recursos financeiros ou retorno sobre investimentos.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43.</w:t>
      </w:r>
      <w:r w:rsidRPr="00FA25FA">
        <w:rPr>
          <w:rFonts w:ascii="Times New Roman" w:hAnsi="Times New Roman" w:cs="Times New Roman"/>
          <w:sz w:val="24"/>
          <w:szCs w:val="24"/>
        </w:rPr>
        <w:tab/>
        <w:t>Os dividendos ou distribuições similares pagas podem ser classificados como fluxo de caixa de financiamento porque são custos da obtenção de recursos financeiros. Alternativamente, podem ser classificados como componente dos fluxos de caixa decorrentes das atividades operacionais, a fim de auxiliar os usuários a determinar a capacidade de a entidade pagar dividendos utilizando os fluxos de caixa operacionais.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A6143A"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t xml:space="preserve">Tributos sobre o </w:t>
      </w:r>
      <w:r w:rsidR="009C616B">
        <w:rPr>
          <w:rFonts w:ascii="Times New Roman" w:hAnsi="Times New Roman" w:cs="Times New Roman"/>
          <w:b/>
          <w:sz w:val="24"/>
          <w:szCs w:val="24"/>
        </w:rPr>
        <w:t>r</w:t>
      </w:r>
      <w:r w:rsidRPr="00FA25FA">
        <w:rPr>
          <w:rFonts w:ascii="Times New Roman" w:hAnsi="Times New Roman" w:cs="Times New Roman"/>
          <w:b/>
          <w:sz w:val="24"/>
          <w:szCs w:val="24"/>
        </w:rPr>
        <w:t>esultado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44.</w:t>
      </w:r>
      <w:r w:rsidRPr="00FA25FA">
        <w:rPr>
          <w:rFonts w:ascii="Times New Roman" w:hAnsi="Times New Roman" w:cs="Times New Roman"/>
          <w:sz w:val="24"/>
          <w:szCs w:val="24"/>
        </w:rPr>
        <w:tab/>
      </w:r>
      <w:r w:rsidRPr="00FA25FA">
        <w:rPr>
          <w:rFonts w:ascii="Times New Roman" w:hAnsi="Times New Roman" w:cs="Times New Roman"/>
          <w:b/>
          <w:sz w:val="24"/>
          <w:szCs w:val="24"/>
        </w:rPr>
        <w:t>Os fluxos de caixa referentes aos tributos incidentes sobre o resultado devem ser apresentados separadamente e classificados como fluxos de caixa das atividades operacionais, a menos que possam ser especificamente identificados como atividades de financiamento e de investimento.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45.</w:t>
      </w:r>
      <w:r w:rsidRPr="00FA25FA">
        <w:rPr>
          <w:rFonts w:ascii="Times New Roman" w:hAnsi="Times New Roman" w:cs="Times New Roman"/>
          <w:sz w:val="24"/>
          <w:szCs w:val="24"/>
        </w:rPr>
        <w:tab/>
        <w:t>Entidades do setor público normalmente são isentas de tributos sobre o resultado. Todavia, algumas entidades do setor público podem operar sob regimes de equivalência tributária, nos quais os tributos são cobrados da mesma forma daqueles de entidades do setor privado.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46.</w:t>
      </w:r>
      <w:r w:rsidRPr="00FA25FA">
        <w:rPr>
          <w:rFonts w:ascii="Times New Roman" w:hAnsi="Times New Roman" w:cs="Times New Roman"/>
          <w:sz w:val="24"/>
          <w:szCs w:val="24"/>
        </w:rPr>
        <w:tab/>
        <w:t xml:space="preserve">Os tributos incidentes sobre o resultado decorrem de transações que originam fluxos de caixa que são classificados como atividades operacionais, de investimento ou de financiamento na demonstração dos fluxos de caixa. Embora a despesa com esses tributos possa ser prontamente identificável com as atividades de investimento ou de financiamento, torna-se, às vezes, impraticável identificar os respectivos fluxos de caixa dos tributos, que podem, também, ocorrer em período diferente dos fluxos de caixa da transação subjacente. Portanto, os tributos pagos </w:t>
      </w:r>
      <w:r w:rsidR="009C616B">
        <w:rPr>
          <w:rFonts w:ascii="Times New Roman" w:hAnsi="Times New Roman" w:cs="Times New Roman"/>
          <w:sz w:val="24"/>
          <w:szCs w:val="24"/>
        </w:rPr>
        <w:t>devem ser</w:t>
      </w:r>
      <w:r w:rsidRPr="00FA25FA">
        <w:rPr>
          <w:rFonts w:ascii="Times New Roman" w:hAnsi="Times New Roman" w:cs="Times New Roman"/>
          <w:sz w:val="24"/>
          <w:szCs w:val="24"/>
        </w:rPr>
        <w:t xml:space="preserve"> comumente classificados como fluxos de caixa das atividades operacionais. Todavia, quando for praticável identificar o fluxo de caixa dos tributos com uma determinada transação, da qual resultem fluxos de caixa que sejam classificados como atividades de investimento ou de financiamento, o fluxo de caixa dos tributos deve ser classificado como atividade de investimento ou de financiamento, conforme apropriado. Quando os fluxos de caixa dos tributos forem alocados em mais de uma classe de atividade, o valor total dos tributos pagos no período também deve ser divulgado.</w:t>
      </w:r>
    </w:p>
    <w:p w:rsidR="003B288B" w:rsidRDefault="003B288B" w:rsidP="003B288B">
      <w:pPr>
        <w:spacing w:after="0" w:line="240" w:lineRule="auto"/>
        <w:jc w:val="both"/>
        <w:rPr>
          <w:rFonts w:ascii="Times New Roman" w:hAnsi="Times New Roman" w:cs="Times New Roman"/>
          <w:sz w:val="24"/>
          <w:szCs w:val="24"/>
        </w:rPr>
      </w:pPr>
    </w:p>
    <w:p w:rsidR="00FA25FA" w:rsidRDefault="00FA25FA" w:rsidP="003B288B">
      <w:pPr>
        <w:spacing w:after="0" w:line="240" w:lineRule="auto"/>
        <w:jc w:val="both"/>
        <w:rPr>
          <w:rFonts w:ascii="Times New Roman" w:hAnsi="Times New Roman" w:cs="Times New Roman"/>
          <w:sz w:val="24"/>
          <w:szCs w:val="24"/>
        </w:rPr>
      </w:pPr>
    </w:p>
    <w:p w:rsidR="003B288B" w:rsidRPr="00695650"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lastRenderedPageBreak/>
        <w:t xml:space="preserve">Investimento em controlada, coligada e empreendimento </w:t>
      </w:r>
      <w:r w:rsidR="00964A64">
        <w:rPr>
          <w:rFonts w:ascii="Times New Roman" w:hAnsi="Times New Roman" w:cs="Times New Roman"/>
          <w:b/>
          <w:sz w:val="24"/>
          <w:szCs w:val="24"/>
        </w:rPr>
        <w:t xml:space="preserve">controlado </w:t>
      </w:r>
      <w:r w:rsidRPr="00FA25FA">
        <w:rPr>
          <w:rFonts w:ascii="Times New Roman" w:hAnsi="Times New Roman" w:cs="Times New Roman"/>
          <w:b/>
          <w:sz w:val="24"/>
          <w:szCs w:val="24"/>
        </w:rPr>
        <w:t xml:space="preserve">em </w:t>
      </w:r>
      <w:proofErr w:type="gramStart"/>
      <w:r w:rsidRPr="00FA25FA">
        <w:rPr>
          <w:rFonts w:ascii="Times New Roman" w:hAnsi="Times New Roman" w:cs="Times New Roman"/>
          <w:b/>
          <w:sz w:val="24"/>
          <w:szCs w:val="24"/>
        </w:rPr>
        <w:t>conjunto</w:t>
      </w:r>
      <w:proofErr w:type="gramEnd"/>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47.</w:t>
      </w:r>
      <w:r w:rsidRPr="00FA25FA">
        <w:rPr>
          <w:rFonts w:ascii="Times New Roman" w:hAnsi="Times New Roman" w:cs="Times New Roman"/>
          <w:sz w:val="24"/>
          <w:szCs w:val="24"/>
        </w:rPr>
        <w:tab/>
        <w:t>Quando a contabilização de investimento</w:t>
      </w:r>
      <w:r w:rsidR="009C616B">
        <w:rPr>
          <w:rFonts w:ascii="Times New Roman" w:hAnsi="Times New Roman" w:cs="Times New Roman"/>
          <w:sz w:val="24"/>
          <w:szCs w:val="24"/>
        </w:rPr>
        <w:t xml:space="preserve"> em controlada, </w:t>
      </w:r>
      <w:r w:rsidRPr="00FA25FA">
        <w:rPr>
          <w:rFonts w:ascii="Times New Roman" w:hAnsi="Times New Roman" w:cs="Times New Roman"/>
          <w:sz w:val="24"/>
          <w:szCs w:val="24"/>
        </w:rPr>
        <w:t>em coligada</w:t>
      </w:r>
      <w:r w:rsidR="009C616B">
        <w:rPr>
          <w:rFonts w:ascii="Times New Roman" w:hAnsi="Times New Roman" w:cs="Times New Roman"/>
          <w:sz w:val="24"/>
          <w:szCs w:val="24"/>
        </w:rPr>
        <w:t xml:space="preserve"> ou em </w:t>
      </w:r>
      <w:r w:rsidRPr="00FA25FA">
        <w:rPr>
          <w:rFonts w:ascii="Times New Roman" w:hAnsi="Times New Roman" w:cs="Times New Roman"/>
          <w:sz w:val="24"/>
          <w:szCs w:val="24"/>
        </w:rPr>
        <w:t>empreendimento controlado em conjunto basear-se no método da equivalência patrimonial ou no método de custo, a entidade investidora fica limitada a apresentar, na demonstração dos fluxos de caixa, os fluxos de caixa entre a própria entidade investidora e a investida, representados, por exemplo, por dividendos ou distribuições similares e por adiantamentos.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48.</w:t>
      </w:r>
      <w:r w:rsidRPr="00FA25FA">
        <w:rPr>
          <w:rFonts w:ascii="Times New Roman" w:hAnsi="Times New Roman" w:cs="Times New Roman"/>
          <w:sz w:val="24"/>
          <w:szCs w:val="24"/>
        </w:rPr>
        <w:tab/>
        <w:t>A entidade que apresente suas participações</w:t>
      </w:r>
      <w:r w:rsidR="00EF3CBF">
        <w:rPr>
          <w:rFonts w:ascii="Times New Roman" w:hAnsi="Times New Roman" w:cs="Times New Roman"/>
          <w:sz w:val="24"/>
          <w:szCs w:val="24"/>
        </w:rPr>
        <w:t xml:space="preserve"> em controlada,</w:t>
      </w:r>
      <w:r w:rsidRPr="00FA25FA">
        <w:rPr>
          <w:rFonts w:ascii="Times New Roman" w:hAnsi="Times New Roman" w:cs="Times New Roman"/>
          <w:sz w:val="24"/>
          <w:szCs w:val="24"/>
        </w:rPr>
        <w:t xml:space="preserve"> em coligada ou </w:t>
      </w:r>
      <w:r w:rsidR="00EF3CBF">
        <w:rPr>
          <w:rFonts w:ascii="Times New Roman" w:hAnsi="Times New Roman" w:cs="Times New Roman"/>
          <w:sz w:val="24"/>
          <w:szCs w:val="24"/>
        </w:rPr>
        <w:t xml:space="preserve">em </w:t>
      </w:r>
      <w:r w:rsidRPr="00FA25FA">
        <w:rPr>
          <w:rFonts w:ascii="Times New Roman" w:hAnsi="Times New Roman" w:cs="Times New Roman"/>
          <w:sz w:val="24"/>
          <w:szCs w:val="24"/>
        </w:rPr>
        <w:t>empreendimento controlado em conjunto, utilizando o método da equivalência patrimonial</w:t>
      </w:r>
      <w:r w:rsidR="00EF3CBF">
        <w:rPr>
          <w:rFonts w:ascii="Times New Roman" w:hAnsi="Times New Roman" w:cs="Times New Roman"/>
          <w:sz w:val="24"/>
          <w:szCs w:val="24"/>
        </w:rPr>
        <w:t>,</w:t>
      </w:r>
      <w:r w:rsidRPr="00FA25FA">
        <w:rPr>
          <w:rFonts w:ascii="Times New Roman" w:hAnsi="Times New Roman" w:cs="Times New Roman"/>
          <w:sz w:val="24"/>
          <w:szCs w:val="24"/>
        </w:rPr>
        <w:t xml:space="preserve"> deve incluir, em sua demonstração dos fluxos de caixa, os fluxos referentes a esses investimentos e as distribuições e outros pagamentos ou recebimentos entre a entidade e as entidades investidas.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A6143A"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t>Aquisição e venda de controlada e outras unidades operacionais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49.</w:t>
      </w:r>
      <w:r w:rsidRPr="00FA25FA">
        <w:rPr>
          <w:rFonts w:ascii="Times New Roman" w:hAnsi="Times New Roman" w:cs="Times New Roman"/>
          <w:sz w:val="24"/>
          <w:szCs w:val="24"/>
        </w:rPr>
        <w:tab/>
      </w:r>
      <w:r w:rsidRPr="00FA25FA">
        <w:rPr>
          <w:rFonts w:ascii="Times New Roman" w:hAnsi="Times New Roman" w:cs="Times New Roman"/>
          <w:b/>
          <w:sz w:val="24"/>
          <w:szCs w:val="24"/>
        </w:rPr>
        <w:t>Os fluxos de caixa agregados decorrentes da aquisição e da alienação de entidades controladas ou outras unidades operacionais devem ser apresentados separadamente e classificados como atividades de investimento.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12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50.</w:t>
      </w:r>
      <w:r w:rsidRPr="00FA25FA">
        <w:rPr>
          <w:rFonts w:ascii="Times New Roman" w:hAnsi="Times New Roman" w:cs="Times New Roman"/>
          <w:sz w:val="24"/>
          <w:szCs w:val="24"/>
        </w:rPr>
        <w:tab/>
      </w:r>
      <w:r w:rsidRPr="00FA25FA">
        <w:rPr>
          <w:rFonts w:ascii="Times New Roman" w:hAnsi="Times New Roman" w:cs="Times New Roman"/>
          <w:b/>
          <w:sz w:val="24"/>
          <w:szCs w:val="24"/>
        </w:rPr>
        <w:t>A entidade deve divulgar, de modo agregado, com relação tanto à aquisição quanto à venda das entidades controladas ou outras unidades operacionais durante o período, cada um dos seguintes itens:</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(a)</w:t>
      </w:r>
      <w:r w:rsidRPr="00FA25FA">
        <w:rPr>
          <w:rFonts w:ascii="Times New Roman" w:hAnsi="Times New Roman" w:cs="Times New Roman"/>
          <w:sz w:val="24"/>
          <w:szCs w:val="24"/>
        </w:rPr>
        <w:tab/>
      </w:r>
      <w:r w:rsidRPr="00FA25FA">
        <w:rPr>
          <w:rFonts w:ascii="Times New Roman" w:hAnsi="Times New Roman" w:cs="Times New Roman"/>
          <w:b/>
          <w:sz w:val="24"/>
          <w:szCs w:val="24"/>
        </w:rPr>
        <w:t>o valor total pago para aquisição ou o valor total recebido na venda;</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(b)</w:t>
      </w:r>
      <w:r w:rsidRPr="00FA25FA">
        <w:rPr>
          <w:rFonts w:ascii="Times New Roman" w:hAnsi="Times New Roman" w:cs="Times New Roman"/>
          <w:sz w:val="24"/>
          <w:szCs w:val="24"/>
        </w:rPr>
        <w:tab/>
      </w:r>
      <w:r w:rsidRPr="00FA25FA">
        <w:rPr>
          <w:rFonts w:ascii="Times New Roman" w:hAnsi="Times New Roman" w:cs="Times New Roman"/>
          <w:b/>
          <w:sz w:val="24"/>
          <w:szCs w:val="24"/>
        </w:rPr>
        <w:t>a parcela do valor total da compra ou de venda que foi paga ou recebida exclusivamente por meio de caixa e equivalentes de caixa;</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(c)</w:t>
      </w:r>
      <w:r w:rsidRPr="00FA25FA">
        <w:rPr>
          <w:rFonts w:ascii="Times New Roman" w:hAnsi="Times New Roman" w:cs="Times New Roman"/>
          <w:sz w:val="24"/>
          <w:szCs w:val="24"/>
        </w:rPr>
        <w:tab/>
      </w:r>
      <w:r w:rsidRPr="00FA25FA">
        <w:rPr>
          <w:rFonts w:ascii="Times New Roman" w:hAnsi="Times New Roman" w:cs="Times New Roman"/>
          <w:b/>
          <w:sz w:val="24"/>
          <w:szCs w:val="24"/>
        </w:rPr>
        <w:t>o montante de caixa e equivalentes de caixa de entidade controlada ou de outra unidade operacional adquirida ou vendida; e</w:t>
      </w:r>
    </w:p>
    <w:p w:rsidR="003B288B" w:rsidRPr="00FA25FA" w:rsidRDefault="003B288B" w:rsidP="003B288B">
      <w:pPr>
        <w:spacing w:after="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(d)</w:t>
      </w:r>
      <w:r w:rsidRPr="00FA25FA">
        <w:rPr>
          <w:rFonts w:ascii="Times New Roman" w:hAnsi="Times New Roman" w:cs="Times New Roman"/>
          <w:sz w:val="24"/>
          <w:szCs w:val="24"/>
        </w:rPr>
        <w:tab/>
      </w:r>
      <w:r w:rsidRPr="00FA25FA">
        <w:rPr>
          <w:rFonts w:ascii="Times New Roman" w:hAnsi="Times New Roman" w:cs="Times New Roman"/>
          <w:b/>
          <w:sz w:val="24"/>
          <w:szCs w:val="24"/>
        </w:rPr>
        <w:t>o montante dos ativos e passivos, exceto caixa e equivalentes de caixa, reconhecidos pela entidade controlada ou por outra unidade operacional adquirida ou vendida, resumido pelas principais classificações.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50A.</w:t>
      </w:r>
      <w:r w:rsidRPr="00FA25FA">
        <w:rPr>
          <w:rFonts w:ascii="Times New Roman" w:hAnsi="Times New Roman" w:cs="Times New Roman"/>
          <w:sz w:val="24"/>
          <w:szCs w:val="24"/>
        </w:rPr>
        <w:tab/>
        <w:t>A entidade de investimento que (a) obtenha recurso de um ou mais investidores com a finalidade de fornecer a esses serviços de gestão de investimento, (b) tem o objetivo de investir em fundos exclusivamente para retorno do capital investido, obter receita de investimento ou ambos; e (c) mensura e avalia o desempenho de praticamente todos os seus investimentos com base no valor justo, não precisa aplicar os itens 50(c) ou 50(d) a</w:t>
      </w:r>
      <w:r w:rsidR="00EF3CBF">
        <w:rPr>
          <w:rFonts w:ascii="Times New Roman" w:hAnsi="Times New Roman" w:cs="Times New Roman"/>
          <w:sz w:val="24"/>
          <w:szCs w:val="24"/>
        </w:rPr>
        <w:t>o</w:t>
      </w:r>
      <w:r w:rsidRPr="00FA25FA">
        <w:rPr>
          <w:rFonts w:ascii="Times New Roman" w:hAnsi="Times New Roman" w:cs="Times New Roman"/>
          <w:sz w:val="24"/>
          <w:szCs w:val="24"/>
        </w:rPr>
        <w:t xml:space="preserve"> investimento em controlada que deva ser mensurado ao valor justo por meio do resultado. A entidade controladora que não seja ela própria uma entidade de investimento não precisa aplicar os itens 50(c) ou 50(d) a</w:t>
      </w:r>
      <w:r w:rsidR="00EF3CBF">
        <w:rPr>
          <w:rFonts w:ascii="Times New Roman" w:hAnsi="Times New Roman" w:cs="Times New Roman"/>
          <w:sz w:val="24"/>
          <w:szCs w:val="24"/>
        </w:rPr>
        <w:t>o</w:t>
      </w:r>
      <w:r w:rsidRPr="00FA25FA">
        <w:rPr>
          <w:rFonts w:ascii="Times New Roman" w:hAnsi="Times New Roman" w:cs="Times New Roman"/>
          <w:sz w:val="24"/>
          <w:szCs w:val="24"/>
        </w:rPr>
        <w:t xml:space="preserve"> investimento </w:t>
      </w:r>
      <w:r w:rsidR="00EF3CBF">
        <w:rPr>
          <w:rFonts w:ascii="Times New Roman" w:hAnsi="Times New Roman" w:cs="Times New Roman"/>
          <w:sz w:val="24"/>
          <w:szCs w:val="24"/>
        </w:rPr>
        <w:t>e</w:t>
      </w:r>
      <w:r w:rsidRPr="00FA25FA">
        <w:rPr>
          <w:rFonts w:ascii="Times New Roman" w:hAnsi="Times New Roman" w:cs="Times New Roman"/>
          <w:sz w:val="24"/>
          <w:szCs w:val="24"/>
        </w:rPr>
        <w:t>m entidade de investimento controlada na medida em que o investimento seja mensurado pelo valor justo por meio do resultado.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51.</w:t>
      </w:r>
      <w:r w:rsidRPr="00FA25FA">
        <w:rPr>
          <w:rFonts w:ascii="Times New Roman" w:hAnsi="Times New Roman" w:cs="Times New Roman"/>
          <w:sz w:val="24"/>
          <w:szCs w:val="24"/>
        </w:rPr>
        <w:tab/>
        <w:t>A apresentação separada dos efeitos dos fluxos de caixa resultantes da aquisição ou venda de entidades controladas ou de outras unidades operacionais, em linhas específicas da demonstração, juntamente com a apresentação separada dos montantes dos ativos e passivos adquiridos ou alienados, possibilita a distinção desses fluxos de caixa daqueles decorrentes de outras atividades operacionais, de investimento e de financiamento. Os efeitos dos fluxos de caixa decorrentes da venda não devem ser deduzidos dos efeitos decorrentes da aquisição.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52.</w:t>
      </w:r>
      <w:r w:rsidRPr="00FA25FA">
        <w:rPr>
          <w:rFonts w:ascii="Times New Roman" w:hAnsi="Times New Roman" w:cs="Times New Roman"/>
          <w:sz w:val="24"/>
          <w:szCs w:val="24"/>
        </w:rPr>
        <w:tab/>
        <w:t xml:space="preserve">O montante consolidado pago (quando houver mais pagamentos que recebimentos) ou recebido (quando houver mais recebimentos do que pagamentos) como aquisição ou venda é </w:t>
      </w:r>
      <w:r w:rsidRPr="00FA25FA">
        <w:rPr>
          <w:rFonts w:ascii="Times New Roman" w:hAnsi="Times New Roman" w:cs="Times New Roman"/>
          <w:sz w:val="24"/>
          <w:szCs w:val="24"/>
        </w:rPr>
        <w:lastRenderedPageBreak/>
        <w:t>apresentado na demonstração dos fluxos de caixa como valor líquido de caixa e equivalente</w:t>
      </w:r>
      <w:r w:rsidR="00EF3CBF">
        <w:rPr>
          <w:rFonts w:ascii="Times New Roman" w:hAnsi="Times New Roman" w:cs="Times New Roman"/>
          <w:sz w:val="24"/>
          <w:szCs w:val="24"/>
        </w:rPr>
        <w:t>s</w:t>
      </w:r>
      <w:r w:rsidRPr="00FA25FA">
        <w:rPr>
          <w:rFonts w:ascii="Times New Roman" w:hAnsi="Times New Roman" w:cs="Times New Roman"/>
          <w:sz w:val="24"/>
          <w:szCs w:val="24"/>
        </w:rPr>
        <w:t xml:space="preserve"> de caixa resultante da aquisição ou da alienação.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52A.</w:t>
      </w:r>
      <w:r w:rsidRPr="00FA25FA">
        <w:rPr>
          <w:rFonts w:ascii="Times New Roman" w:hAnsi="Times New Roman" w:cs="Times New Roman"/>
          <w:sz w:val="24"/>
          <w:szCs w:val="24"/>
        </w:rPr>
        <w:tab/>
        <w:t xml:space="preserve">Os fluxos de caixa decorrentes de mudanças no percentual de participação em controlada, que não resultem em perda do controle, devem ser classificados como fluxos de caixa das atividades de financiamento, a menos que a controlada seja detida por entidade de investimento, conforme definido no item 50A, ou </w:t>
      </w:r>
      <w:r w:rsidR="00EF3CBF">
        <w:rPr>
          <w:rFonts w:ascii="Times New Roman" w:hAnsi="Times New Roman" w:cs="Times New Roman"/>
          <w:sz w:val="24"/>
          <w:szCs w:val="24"/>
        </w:rPr>
        <w:t>por meio</w:t>
      </w:r>
      <w:r w:rsidRPr="00FA25FA">
        <w:rPr>
          <w:rFonts w:ascii="Times New Roman" w:hAnsi="Times New Roman" w:cs="Times New Roman"/>
          <w:sz w:val="24"/>
          <w:szCs w:val="24"/>
        </w:rPr>
        <w:t xml:space="preserve"> de entidade de investimento controlada e deva ser mensurada ao valor justo por meio do resultado.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52B.</w:t>
      </w:r>
      <w:r w:rsidRPr="00FA25FA">
        <w:rPr>
          <w:rFonts w:ascii="Times New Roman" w:hAnsi="Times New Roman" w:cs="Times New Roman"/>
          <w:sz w:val="24"/>
          <w:szCs w:val="24"/>
        </w:rPr>
        <w:tab/>
        <w:t xml:space="preserve">As mudanças no percentual de participação em entidade controlada que não resultem na perda de controle, tais como compras ou vendas subsequentes de instrumentos patrimoniais da entidade controlada pela entidade controladora, devem ser tratadas contabilmente como transações de capital, a menos que a entidade controlada seja detida por entidade de investimento, ou </w:t>
      </w:r>
      <w:r w:rsidR="00EF3CBF">
        <w:rPr>
          <w:rFonts w:ascii="Times New Roman" w:hAnsi="Times New Roman" w:cs="Times New Roman"/>
          <w:sz w:val="24"/>
          <w:szCs w:val="24"/>
        </w:rPr>
        <w:t>por meio</w:t>
      </w:r>
      <w:r w:rsidRPr="00FA25FA">
        <w:rPr>
          <w:rFonts w:ascii="Times New Roman" w:hAnsi="Times New Roman" w:cs="Times New Roman"/>
          <w:sz w:val="24"/>
          <w:szCs w:val="24"/>
        </w:rPr>
        <w:t xml:space="preserve"> de entidade de investimento controlada e deva ser mensurada ao valor justo por meio do resultado. Portanto, os fluxos de caixa resultantes devem ser classificados da mesma forma que outras transações</w:t>
      </w:r>
      <w:r w:rsidR="00EF3CBF">
        <w:rPr>
          <w:rFonts w:ascii="Times New Roman" w:hAnsi="Times New Roman" w:cs="Times New Roman"/>
          <w:sz w:val="24"/>
          <w:szCs w:val="24"/>
        </w:rPr>
        <w:t>,</w:t>
      </w:r>
      <w:r w:rsidRPr="00FA25FA">
        <w:rPr>
          <w:rFonts w:ascii="Times New Roman" w:hAnsi="Times New Roman" w:cs="Times New Roman"/>
          <w:sz w:val="24"/>
          <w:szCs w:val="24"/>
        </w:rPr>
        <w:t xml:space="preserve"> conforme descrito no item 26.</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53.</w:t>
      </w:r>
      <w:r w:rsidRPr="00FA25FA">
        <w:rPr>
          <w:rFonts w:ascii="Times New Roman" w:hAnsi="Times New Roman" w:cs="Times New Roman"/>
          <w:sz w:val="24"/>
          <w:szCs w:val="24"/>
        </w:rPr>
        <w:tab/>
        <w:t>Os ativos e os passivos, exceto os de caixa ou equivalentes de caixa, da entidade controlada ou outra unidade operacional adquirida ou alienada somente devem ser divulgados quando a entidade controlada ou a unidade operacional tiver reconhecido previamente esses ativos ou passivos. Por exemplo, quando a entidade do setor público que elabora demonstrações contábeis sob o regime de caixa é adquirida por outra entidade do setor público, a adquirente não precisa apresentar os ativos e passivos (exceto caixa e equivalentes de caixa) da entidade adquirida uma vez que aquela entidade não teria reconhecido ativos e passivos que não sejam caixa e equivalentes de caixa.</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A6143A"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t>Transações que não envolvem caixa ou equivalentes de caixa</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54.</w:t>
      </w:r>
      <w:r w:rsidRPr="00FA25FA">
        <w:rPr>
          <w:rFonts w:ascii="Times New Roman" w:hAnsi="Times New Roman" w:cs="Times New Roman"/>
          <w:sz w:val="24"/>
          <w:szCs w:val="24"/>
        </w:rPr>
        <w:tab/>
      </w:r>
      <w:r w:rsidRPr="00FA25FA">
        <w:rPr>
          <w:rFonts w:ascii="Times New Roman" w:hAnsi="Times New Roman" w:cs="Times New Roman"/>
          <w:b/>
          <w:sz w:val="24"/>
          <w:szCs w:val="24"/>
        </w:rPr>
        <w:t>Transações de investimento e</w:t>
      </w:r>
      <w:r w:rsidR="00EF3CBF">
        <w:rPr>
          <w:rFonts w:ascii="Times New Roman" w:hAnsi="Times New Roman" w:cs="Times New Roman"/>
          <w:b/>
          <w:sz w:val="24"/>
          <w:szCs w:val="24"/>
        </w:rPr>
        <w:t xml:space="preserve"> de</w:t>
      </w:r>
      <w:r w:rsidRPr="00FA25FA">
        <w:rPr>
          <w:rFonts w:ascii="Times New Roman" w:hAnsi="Times New Roman" w:cs="Times New Roman"/>
          <w:b/>
          <w:sz w:val="24"/>
          <w:szCs w:val="24"/>
        </w:rPr>
        <w:t xml:space="preserve"> financiamento que não envolvam o uso de caixa ou equivalentes de caixa não devem ser incluídas na demonstração dos fluxos de caixa. Tais transações devem ser divulgadas nas notas explicativas às demonstrações contábeis, de modo que forneçam todas as informações relevantes sobre essas atividades de investimento e de financiamento.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12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55.</w:t>
      </w:r>
      <w:r w:rsidRPr="00FA25FA">
        <w:rPr>
          <w:rFonts w:ascii="Times New Roman" w:hAnsi="Times New Roman" w:cs="Times New Roman"/>
          <w:sz w:val="24"/>
          <w:szCs w:val="24"/>
        </w:rPr>
        <w:tab/>
        <w:t>Muitas atividades de investimento e de financiamento não impactam diretamente os fluxos de caixa correntes, embora afetem a estrutura de capital e de ativos da entidade. A não inclusão dessas transações que não envolvem caixa na demonstração dos fluxos de caixa é consistente com o objetivo dessa demonstração, visto que tais itens não envolvem fluxos de caixa no período corrente. São exemplos de transações que não envolvem caixa ou equivalente</w:t>
      </w:r>
      <w:r w:rsidR="00EF3CBF">
        <w:rPr>
          <w:rFonts w:ascii="Times New Roman" w:hAnsi="Times New Roman" w:cs="Times New Roman"/>
          <w:sz w:val="24"/>
          <w:szCs w:val="24"/>
        </w:rPr>
        <w:t>s</w:t>
      </w:r>
      <w:r w:rsidRPr="00FA25FA">
        <w:rPr>
          <w:rFonts w:ascii="Times New Roman" w:hAnsi="Times New Roman" w:cs="Times New Roman"/>
          <w:sz w:val="24"/>
          <w:szCs w:val="24"/>
        </w:rPr>
        <w:t xml:space="preserve"> de caixa:</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(a)</w:t>
      </w:r>
      <w:r w:rsidRPr="00FA25FA">
        <w:rPr>
          <w:rFonts w:ascii="Times New Roman" w:hAnsi="Times New Roman" w:cs="Times New Roman"/>
          <w:sz w:val="24"/>
          <w:szCs w:val="24"/>
        </w:rPr>
        <w:tab/>
        <w:t>a aquisição de ativos por meio da troca de ativos, por meio da assunção direta do respectivo passivo ou ainda por meio de arrendamento financeiro; e</w:t>
      </w:r>
    </w:p>
    <w:p w:rsidR="003B288B" w:rsidRPr="00FA25FA" w:rsidRDefault="003B288B" w:rsidP="003B288B">
      <w:pPr>
        <w:spacing w:after="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(b)</w:t>
      </w:r>
      <w:r w:rsidRPr="00FA25FA">
        <w:rPr>
          <w:rFonts w:ascii="Times New Roman" w:hAnsi="Times New Roman" w:cs="Times New Roman"/>
          <w:sz w:val="24"/>
          <w:szCs w:val="24"/>
        </w:rPr>
        <w:tab/>
        <w:t>a conversão de dívida com terceiros em patrimônio líquido.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A6143A"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t>Componente de caixa e equivalentes de caixa</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56.</w:t>
      </w:r>
      <w:r w:rsidRPr="00FA25FA">
        <w:rPr>
          <w:rFonts w:ascii="Times New Roman" w:hAnsi="Times New Roman" w:cs="Times New Roman"/>
          <w:sz w:val="24"/>
          <w:szCs w:val="24"/>
        </w:rPr>
        <w:tab/>
      </w:r>
      <w:r w:rsidRPr="00FA25FA">
        <w:rPr>
          <w:rFonts w:ascii="Times New Roman" w:hAnsi="Times New Roman" w:cs="Times New Roman"/>
          <w:b/>
          <w:sz w:val="24"/>
          <w:szCs w:val="24"/>
        </w:rPr>
        <w:t>A entidade deve divulgar os componentes de caixa e equivalentes de caixa e deve apresentar a conciliação dos valores em sua demonstração dos fluxos de caixa com os respectivos itens divulgados no balanço patrimonial.</w:t>
      </w:r>
    </w:p>
    <w:p w:rsidR="003B288B" w:rsidRDefault="003B288B" w:rsidP="003B288B">
      <w:pPr>
        <w:spacing w:after="0" w:line="240" w:lineRule="auto"/>
        <w:jc w:val="both"/>
        <w:rPr>
          <w:rFonts w:ascii="Times New Roman" w:hAnsi="Times New Roman" w:cs="Times New Roman"/>
          <w:sz w:val="24"/>
          <w:szCs w:val="24"/>
        </w:rPr>
      </w:pPr>
    </w:p>
    <w:p w:rsidR="00FA25FA" w:rsidRDefault="00FA25FA"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lastRenderedPageBreak/>
        <w:t>57.</w:t>
      </w:r>
      <w:r w:rsidRPr="00FA25FA">
        <w:rPr>
          <w:rFonts w:ascii="Times New Roman" w:hAnsi="Times New Roman" w:cs="Times New Roman"/>
          <w:sz w:val="24"/>
          <w:szCs w:val="24"/>
        </w:rPr>
        <w:tab/>
        <w:t>Em função da variedade de práticas de gestão de caixa e de produtos bancários e com vistas a atentar para a NBC TSP 11 – Apresentação das Demonstrações Contábeis, a entidade deve divulgar a política que adota na determinação da composição do caixa e equivalentes de caixa.</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58.</w:t>
      </w:r>
      <w:r w:rsidRPr="00FA25FA">
        <w:rPr>
          <w:rFonts w:ascii="Times New Roman" w:hAnsi="Times New Roman" w:cs="Times New Roman"/>
          <w:sz w:val="24"/>
          <w:szCs w:val="24"/>
        </w:rPr>
        <w:tab/>
        <w:t>(Não convergido).</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A6143A" w:rsidRDefault="003B288B" w:rsidP="003B288B">
      <w:pPr>
        <w:spacing w:after="0" w:line="240" w:lineRule="auto"/>
        <w:jc w:val="both"/>
        <w:rPr>
          <w:rFonts w:ascii="Times New Roman" w:hAnsi="Times New Roman" w:cs="Times New Roman"/>
          <w:sz w:val="24"/>
          <w:szCs w:val="24"/>
        </w:rPr>
      </w:pPr>
      <w:r w:rsidRPr="00FA25FA">
        <w:rPr>
          <w:rFonts w:ascii="Times New Roman" w:hAnsi="Times New Roman" w:cs="Times New Roman"/>
          <w:b/>
          <w:sz w:val="24"/>
          <w:szCs w:val="24"/>
        </w:rPr>
        <w:t>Outras divulgações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59.</w:t>
      </w:r>
      <w:r w:rsidRPr="00FA25FA">
        <w:rPr>
          <w:rFonts w:ascii="Times New Roman" w:hAnsi="Times New Roman" w:cs="Times New Roman"/>
          <w:sz w:val="24"/>
          <w:szCs w:val="24"/>
        </w:rPr>
        <w:tab/>
      </w:r>
      <w:r w:rsidRPr="00FA25FA">
        <w:rPr>
          <w:rFonts w:ascii="Times New Roman" w:hAnsi="Times New Roman" w:cs="Times New Roman"/>
          <w:b/>
          <w:sz w:val="24"/>
          <w:szCs w:val="24"/>
        </w:rPr>
        <w:t>A entidade deve divulgar, juntamente com comentário da administração em nota explicativa, os valores significativos de saldos de caixa e equivalentes de caixa que não estejam disponíveis para uso pela entidade econômica.</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60.</w:t>
      </w:r>
      <w:r w:rsidRPr="00FA25FA">
        <w:rPr>
          <w:rFonts w:ascii="Times New Roman" w:hAnsi="Times New Roman" w:cs="Times New Roman"/>
          <w:sz w:val="24"/>
          <w:szCs w:val="24"/>
        </w:rPr>
        <w:tab/>
        <w:t>Existem diversas circunstâncias em que os saldos de caixa e equivalentes de caixa da entidade não estão disponíveis para uso pela entidade econômica. Entre os exemplos</w:t>
      </w:r>
      <w:r w:rsidR="00556027">
        <w:rPr>
          <w:rFonts w:ascii="Times New Roman" w:hAnsi="Times New Roman" w:cs="Times New Roman"/>
          <w:sz w:val="24"/>
          <w:szCs w:val="24"/>
        </w:rPr>
        <w:t>,</w:t>
      </w:r>
      <w:r w:rsidRPr="00FA25FA">
        <w:rPr>
          <w:rFonts w:ascii="Times New Roman" w:hAnsi="Times New Roman" w:cs="Times New Roman"/>
          <w:sz w:val="24"/>
          <w:szCs w:val="24"/>
        </w:rPr>
        <w:t xml:space="preserve"> estão saldos de caixa e equivalentes de caixa em poder de entidade controlada que opere em país no qual se apliquem controles cambiais ou outras restrições legais que impeçam o uso geral dos saldos pela entidade controladora ou outras entidades controladas.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12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61.</w:t>
      </w:r>
      <w:r w:rsidRPr="00FA25FA">
        <w:rPr>
          <w:rFonts w:ascii="Times New Roman" w:hAnsi="Times New Roman" w:cs="Times New Roman"/>
          <w:sz w:val="24"/>
          <w:szCs w:val="24"/>
        </w:rPr>
        <w:tab/>
        <w:t>Informações adicionais podem ser importantes para que os usuários entendam a posição financeira e a liquidez da entidade. A divulgação de tais informações, juntamente com as respectivas descrições contidas em notas explicativas é recomendada e pode incluir:</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(a</w:t>
      </w:r>
      <w:proofErr w:type="gramStart"/>
      <w:r w:rsidRPr="00FA25FA">
        <w:rPr>
          <w:rFonts w:ascii="Times New Roman" w:hAnsi="Times New Roman" w:cs="Times New Roman"/>
          <w:sz w:val="24"/>
          <w:szCs w:val="24"/>
        </w:rPr>
        <w:t>)</w:t>
      </w:r>
      <w:proofErr w:type="gramEnd"/>
      <w:r w:rsidRPr="00FA25FA">
        <w:rPr>
          <w:rFonts w:ascii="Times New Roman" w:hAnsi="Times New Roman" w:cs="Times New Roman"/>
          <w:sz w:val="24"/>
          <w:szCs w:val="24"/>
        </w:rPr>
        <w:tab/>
        <w:t xml:space="preserve">o montante de linhas de crédito obtidas, mas não utilizadas, que podem estar disponíveis para futuras atividades operacionais e para satisfazer </w:t>
      </w:r>
      <w:r w:rsidR="00556027">
        <w:rPr>
          <w:rFonts w:ascii="Times New Roman" w:hAnsi="Times New Roman" w:cs="Times New Roman"/>
          <w:sz w:val="24"/>
          <w:szCs w:val="24"/>
        </w:rPr>
        <w:t xml:space="preserve">a </w:t>
      </w:r>
      <w:r w:rsidRPr="00FA25FA">
        <w:rPr>
          <w:rFonts w:ascii="Times New Roman" w:hAnsi="Times New Roman" w:cs="Times New Roman"/>
          <w:sz w:val="24"/>
          <w:szCs w:val="24"/>
        </w:rPr>
        <w:t>compromissos de capital, indicando restrições, se houver, sobre o uso de tais linhas de crédito; e</w:t>
      </w:r>
    </w:p>
    <w:p w:rsidR="003B288B" w:rsidRPr="00FA25FA" w:rsidRDefault="003B288B" w:rsidP="003B288B">
      <w:pPr>
        <w:spacing w:after="12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(b)</w:t>
      </w:r>
      <w:r w:rsidRPr="00FA25FA">
        <w:rPr>
          <w:rFonts w:ascii="Times New Roman" w:hAnsi="Times New Roman" w:cs="Times New Roman"/>
          <w:sz w:val="24"/>
          <w:szCs w:val="24"/>
        </w:rPr>
        <w:tab/>
        <w:t>(</w:t>
      </w:r>
      <w:r w:rsidR="00EF3CBF">
        <w:rPr>
          <w:rFonts w:ascii="Times New Roman" w:hAnsi="Times New Roman" w:cs="Times New Roman"/>
          <w:sz w:val="24"/>
          <w:szCs w:val="24"/>
        </w:rPr>
        <w:t>e</w:t>
      </w:r>
      <w:r w:rsidRPr="00FA25FA">
        <w:rPr>
          <w:rFonts w:ascii="Times New Roman" w:hAnsi="Times New Roman" w:cs="Times New Roman"/>
          <w:sz w:val="24"/>
          <w:szCs w:val="24"/>
        </w:rPr>
        <w:t>liminado)</w:t>
      </w:r>
      <w:r w:rsidR="00EF3CBF">
        <w:rPr>
          <w:rFonts w:ascii="Times New Roman" w:hAnsi="Times New Roman" w:cs="Times New Roman"/>
          <w:sz w:val="24"/>
          <w:szCs w:val="24"/>
        </w:rPr>
        <w:t>;</w:t>
      </w:r>
    </w:p>
    <w:p w:rsidR="003B288B" w:rsidRPr="00FA25FA" w:rsidRDefault="003B288B" w:rsidP="003B288B">
      <w:pPr>
        <w:spacing w:after="0" w:line="240" w:lineRule="auto"/>
        <w:ind w:left="993" w:hanging="426"/>
        <w:jc w:val="both"/>
        <w:rPr>
          <w:rFonts w:ascii="Times New Roman" w:hAnsi="Times New Roman" w:cs="Times New Roman"/>
          <w:sz w:val="24"/>
          <w:szCs w:val="24"/>
        </w:rPr>
      </w:pPr>
      <w:r w:rsidRPr="00FA25FA">
        <w:rPr>
          <w:rFonts w:ascii="Times New Roman" w:hAnsi="Times New Roman" w:cs="Times New Roman"/>
          <w:sz w:val="24"/>
          <w:szCs w:val="24"/>
        </w:rPr>
        <w:t>(c)</w:t>
      </w:r>
      <w:r w:rsidRPr="00FA25FA">
        <w:rPr>
          <w:rFonts w:ascii="Times New Roman" w:hAnsi="Times New Roman" w:cs="Times New Roman"/>
          <w:sz w:val="24"/>
          <w:szCs w:val="24"/>
        </w:rPr>
        <w:tab/>
        <w:t>o montante e a natureza de saldos de caixa não disponíveis.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62.</w:t>
      </w:r>
      <w:r w:rsidRPr="00FA25FA">
        <w:rPr>
          <w:rFonts w:ascii="Times New Roman" w:hAnsi="Times New Roman" w:cs="Times New Roman"/>
          <w:sz w:val="24"/>
          <w:szCs w:val="24"/>
        </w:rPr>
        <w:tab/>
        <w:t xml:space="preserve">Quando recursos ou alocações orçamentárias são elaborados sob o regime de caixa, a demonstração dos fluxos de caixa pode auxiliar usuários a compreender a relação entre as atividades ou os programas da entidade e a informação orçamentária do governo. Consulte a </w:t>
      </w:r>
      <w:proofErr w:type="spellStart"/>
      <w:r w:rsidRPr="00FA25FA">
        <w:rPr>
          <w:rFonts w:ascii="Times New Roman" w:hAnsi="Times New Roman" w:cs="Times New Roman"/>
          <w:sz w:val="24"/>
          <w:szCs w:val="24"/>
        </w:rPr>
        <w:t>NBC</w:t>
      </w:r>
      <w:proofErr w:type="spellEnd"/>
      <w:r w:rsidRPr="00FA25FA">
        <w:rPr>
          <w:rFonts w:ascii="Times New Roman" w:hAnsi="Times New Roman" w:cs="Times New Roman"/>
          <w:sz w:val="24"/>
          <w:szCs w:val="24"/>
        </w:rPr>
        <w:t xml:space="preserve"> </w:t>
      </w:r>
      <w:proofErr w:type="spellStart"/>
      <w:r w:rsidRPr="00FA25FA">
        <w:rPr>
          <w:rFonts w:ascii="Times New Roman" w:hAnsi="Times New Roman" w:cs="Times New Roman"/>
          <w:sz w:val="24"/>
          <w:szCs w:val="24"/>
        </w:rPr>
        <w:t>TSP</w:t>
      </w:r>
      <w:proofErr w:type="spellEnd"/>
      <w:r w:rsidRPr="00FA25FA">
        <w:rPr>
          <w:rFonts w:ascii="Times New Roman" w:hAnsi="Times New Roman" w:cs="Times New Roman"/>
          <w:sz w:val="24"/>
          <w:szCs w:val="24"/>
        </w:rPr>
        <w:t xml:space="preserve"> 11 para </w:t>
      </w:r>
      <w:r w:rsidR="00556027">
        <w:rPr>
          <w:rFonts w:ascii="Times New Roman" w:hAnsi="Times New Roman" w:cs="Times New Roman"/>
          <w:sz w:val="24"/>
          <w:szCs w:val="24"/>
        </w:rPr>
        <w:t>mais</w:t>
      </w:r>
      <w:r w:rsidRPr="00FA25FA">
        <w:rPr>
          <w:rFonts w:ascii="Times New Roman" w:hAnsi="Times New Roman" w:cs="Times New Roman"/>
          <w:sz w:val="24"/>
          <w:szCs w:val="24"/>
        </w:rPr>
        <w:t xml:space="preserve"> informações sobre a comparação dos valores orçados e realizados.</w:t>
      </w:r>
    </w:p>
    <w:p w:rsidR="003B288B" w:rsidRPr="00FA25FA" w:rsidRDefault="003B288B" w:rsidP="003B288B">
      <w:pPr>
        <w:spacing w:after="0" w:line="240" w:lineRule="auto"/>
        <w:jc w:val="both"/>
        <w:rPr>
          <w:rFonts w:ascii="Times New Roman" w:hAnsi="Times New Roman" w:cs="Times New Roman"/>
          <w:sz w:val="24"/>
          <w:szCs w:val="24"/>
        </w:rPr>
      </w:pPr>
    </w:p>
    <w:p w:rsidR="003B288B" w:rsidRPr="00FA25FA" w:rsidRDefault="003B288B" w:rsidP="003B288B">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sz w:val="24"/>
          <w:szCs w:val="24"/>
        </w:rPr>
        <w:t>63 a 64. (Não convergidos)</w:t>
      </w:r>
      <w:r w:rsidR="006E1014">
        <w:rPr>
          <w:rFonts w:ascii="Times New Roman" w:hAnsi="Times New Roman" w:cs="Times New Roman"/>
          <w:sz w:val="24"/>
          <w:szCs w:val="24"/>
        </w:rPr>
        <w:t>.</w:t>
      </w:r>
    </w:p>
    <w:p w:rsidR="003B288B" w:rsidRPr="00FA25FA" w:rsidRDefault="003B288B" w:rsidP="003B288B">
      <w:pPr>
        <w:spacing w:after="0"/>
        <w:jc w:val="both"/>
        <w:rPr>
          <w:rFonts w:ascii="Times New Roman" w:hAnsi="Times New Roman" w:cs="Times New Roman"/>
          <w:sz w:val="24"/>
          <w:szCs w:val="24"/>
        </w:rPr>
      </w:pPr>
    </w:p>
    <w:p w:rsidR="00F6220C" w:rsidRPr="00A6143A" w:rsidRDefault="00F6220C" w:rsidP="00F6220C">
      <w:pPr>
        <w:spacing w:after="0" w:line="240" w:lineRule="auto"/>
        <w:ind w:left="567" w:hanging="567"/>
        <w:jc w:val="both"/>
        <w:rPr>
          <w:rFonts w:ascii="Times New Roman" w:hAnsi="Times New Roman" w:cs="Times New Roman"/>
          <w:sz w:val="24"/>
          <w:szCs w:val="24"/>
        </w:rPr>
      </w:pPr>
      <w:r w:rsidRPr="00FA25FA">
        <w:rPr>
          <w:rFonts w:ascii="Times New Roman" w:hAnsi="Times New Roman" w:cs="Times New Roman"/>
          <w:b/>
          <w:sz w:val="24"/>
          <w:szCs w:val="24"/>
        </w:rPr>
        <w:t>Vigência</w:t>
      </w:r>
    </w:p>
    <w:p w:rsidR="00F6220C" w:rsidRPr="00FA25FA" w:rsidRDefault="00F6220C" w:rsidP="00F6220C">
      <w:pPr>
        <w:spacing w:after="0" w:line="240" w:lineRule="auto"/>
        <w:ind w:left="567" w:hanging="567"/>
        <w:jc w:val="both"/>
        <w:rPr>
          <w:rFonts w:ascii="Times New Roman" w:hAnsi="Times New Roman" w:cs="Times New Roman"/>
          <w:sz w:val="24"/>
          <w:szCs w:val="24"/>
        </w:rPr>
      </w:pPr>
    </w:p>
    <w:p w:rsidR="00F6220C" w:rsidRPr="00FA25FA" w:rsidRDefault="00F6220C" w:rsidP="00F6220C">
      <w:pPr>
        <w:spacing w:after="0" w:line="240" w:lineRule="auto"/>
        <w:ind w:left="567"/>
        <w:jc w:val="both"/>
        <w:rPr>
          <w:rFonts w:ascii="Times New Roman" w:hAnsi="Times New Roman" w:cs="Times New Roman"/>
          <w:sz w:val="24"/>
          <w:szCs w:val="24"/>
        </w:rPr>
      </w:pPr>
      <w:r w:rsidRPr="00FA25FA">
        <w:rPr>
          <w:rFonts w:ascii="Times New Roman" w:hAnsi="Times New Roman" w:cs="Times New Roman"/>
          <w:sz w:val="24"/>
          <w:szCs w:val="24"/>
        </w:rPr>
        <w:t>Esta norma deve ser aplicada pelas entidades do setor público a partir de 1º de janeiro de 2019, salvo na existência de algum normativo em âmbito nacional que estabeleça prazos específicos – casos em que estes prevalecem.</w:t>
      </w:r>
    </w:p>
    <w:p w:rsidR="00F6220C" w:rsidRPr="00FA25FA" w:rsidRDefault="00F6220C" w:rsidP="00F6220C">
      <w:pPr>
        <w:spacing w:after="0" w:line="240" w:lineRule="auto"/>
        <w:ind w:left="567" w:hanging="567"/>
        <w:jc w:val="both"/>
        <w:rPr>
          <w:rFonts w:ascii="Times New Roman" w:hAnsi="Times New Roman" w:cs="Times New Roman"/>
          <w:sz w:val="24"/>
          <w:szCs w:val="24"/>
        </w:rPr>
      </w:pPr>
    </w:p>
    <w:p w:rsidR="006A0CBF" w:rsidRPr="00FA25FA" w:rsidRDefault="006A0CBF" w:rsidP="0030550C">
      <w:pPr>
        <w:pStyle w:val="Recuodecorpodetexto2"/>
        <w:jc w:val="right"/>
        <w:rPr>
          <w:sz w:val="24"/>
          <w:szCs w:val="24"/>
        </w:rPr>
      </w:pPr>
      <w:r w:rsidRPr="00FA25FA">
        <w:rPr>
          <w:sz w:val="24"/>
          <w:szCs w:val="24"/>
        </w:rPr>
        <w:t>Brasília, XX de XXXX de 201</w:t>
      </w:r>
      <w:r w:rsidR="00F65865" w:rsidRPr="00FA25FA">
        <w:rPr>
          <w:sz w:val="24"/>
          <w:szCs w:val="24"/>
        </w:rPr>
        <w:t>8</w:t>
      </w:r>
      <w:r w:rsidRPr="00FA25FA">
        <w:rPr>
          <w:sz w:val="24"/>
          <w:szCs w:val="24"/>
        </w:rPr>
        <w:t>.</w:t>
      </w:r>
    </w:p>
    <w:p w:rsidR="006A0CBF" w:rsidRPr="00FA25FA" w:rsidRDefault="006A0CBF" w:rsidP="0058725E">
      <w:pPr>
        <w:pStyle w:val="Pr-formataoHTML"/>
        <w:tabs>
          <w:tab w:val="clear" w:pos="916"/>
          <w:tab w:val="left" w:pos="142"/>
          <w:tab w:val="left" w:pos="1418"/>
        </w:tabs>
        <w:autoSpaceDE w:val="0"/>
        <w:autoSpaceDN w:val="0"/>
        <w:jc w:val="both"/>
        <w:rPr>
          <w:rFonts w:ascii="Times New Roman" w:hAnsi="Times New Roman"/>
          <w:sz w:val="24"/>
          <w:szCs w:val="24"/>
        </w:rPr>
      </w:pPr>
    </w:p>
    <w:p w:rsidR="006A0CBF" w:rsidRPr="00FA25FA" w:rsidRDefault="006A0CBF" w:rsidP="0058725E">
      <w:pPr>
        <w:pStyle w:val="Pr-formataoHTML"/>
        <w:tabs>
          <w:tab w:val="clear" w:pos="916"/>
          <w:tab w:val="left" w:pos="142"/>
          <w:tab w:val="left" w:pos="1418"/>
        </w:tabs>
        <w:autoSpaceDE w:val="0"/>
        <w:autoSpaceDN w:val="0"/>
        <w:jc w:val="both"/>
        <w:rPr>
          <w:rFonts w:ascii="Times New Roman" w:hAnsi="Times New Roman"/>
          <w:sz w:val="24"/>
          <w:szCs w:val="24"/>
        </w:rPr>
      </w:pPr>
    </w:p>
    <w:p w:rsidR="006A0CBF" w:rsidRPr="00FA25FA" w:rsidRDefault="006A0CBF" w:rsidP="0030550C">
      <w:pPr>
        <w:pStyle w:val="Pr-formataoHTML"/>
        <w:tabs>
          <w:tab w:val="clear" w:pos="916"/>
          <w:tab w:val="left" w:pos="142"/>
          <w:tab w:val="left" w:pos="1418"/>
        </w:tabs>
        <w:autoSpaceDE w:val="0"/>
        <w:autoSpaceDN w:val="0"/>
        <w:jc w:val="center"/>
        <w:rPr>
          <w:rFonts w:ascii="Times New Roman" w:hAnsi="Times New Roman"/>
          <w:sz w:val="24"/>
          <w:szCs w:val="24"/>
        </w:rPr>
      </w:pPr>
      <w:r w:rsidRPr="00FA25FA">
        <w:rPr>
          <w:rFonts w:ascii="Times New Roman" w:hAnsi="Times New Roman"/>
          <w:sz w:val="24"/>
          <w:szCs w:val="24"/>
        </w:rPr>
        <w:t xml:space="preserve">Contador </w:t>
      </w:r>
      <w:r w:rsidR="00F65865" w:rsidRPr="00FA25FA">
        <w:rPr>
          <w:rFonts w:ascii="Times New Roman" w:hAnsi="Times New Roman"/>
          <w:sz w:val="24"/>
          <w:szCs w:val="24"/>
        </w:rPr>
        <w:t>Zulmir Ivânio Breda</w:t>
      </w:r>
    </w:p>
    <w:p w:rsidR="006A0CBF" w:rsidRPr="00FA25FA" w:rsidRDefault="006A0CBF" w:rsidP="0030550C">
      <w:pPr>
        <w:pStyle w:val="Pr-formataoHTML"/>
        <w:tabs>
          <w:tab w:val="clear" w:pos="916"/>
          <w:tab w:val="left" w:pos="142"/>
          <w:tab w:val="left" w:pos="1418"/>
        </w:tabs>
        <w:autoSpaceDE w:val="0"/>
        <w:autoSpaceDN w:val="0"/>
        <w:jc w:val="center"/>
        <w:rPr>
          <w:rFonts w:ascii="Times New Roman" w:hAnsi="Times New Roman"/>
          <w:sz w:val="24"/>
          <w:szCs w:val="24"/>
        </w:rPr>
      </w:pPr>
      <w:r w:rsidRPr="00FA25FA">
        <w:rPr>
          <w:rFonts w:ascii="Times New Roman" w:hAnsi="Times New Roman"/>
          <w:sz w:val="24"/>
          <w:szCs w:val="24"/>
        </w:rPr>
        <w:t>Presidente</w:t>
      </w:r>
    </w:p>
    <w:p w:rsidR="003A148E" w:rsidRPr="00FA25FA" w:rsidRDefault="003A148E" w:rsidP="0030550C">
      <w:pPr>
        <w:spacing w:after="0" w:line="240" w:lineRule="auto"/>
        <w:ind w:left="567" w:hanging="567"/>
        <w:jc w:val="both"/>
        <w:rPr>
          <w:rFonts w:ascii="Times New Roman" w:hAnsi="Times New Roman" w:cs="Times New Roman"/>
          <w:sz w:val="24"/>
          <w:szCs w:val="24"/>
        </w:rPr>
      </w:pPr>
    </w:p>
    <w:p w:rsidR="0001119A" w:rsidRPr="00FA25FA" w:rsidRDefault="0001119A" w:rsidP="0030550C">
      <w:pPr>
        <w:spacing w:after="0" w:line="240" w:lineRule="auto"/>
        <w:ind w:left="567" w:hanging="567"/>
        <w:jc w:val="both"/>
        <w:rPr>
          <w:rFonts w:ascii="Times New Roman" w:hAnsi="Times New Roman" w:cs="Times New Roman"/>
          <w:sz w:val="24"/>
          <w:szCs w:val="24"/>
        </w:rPr>
      </w:pPr>
    </w:p>
    <w:sectPr w:rsidR="0001119A" w:rsidRPr="00FA25FA" w:rsidSect="00787617">
      <w:headerReference w:type="even" r:id="rId7"/>
      <w:headerReference w:type="default" r:id="rId8"/>
      <w:headerReference w:type="first" r:id="rId9"/>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A70612" w15:done="0"/>
  <w15:commentEx w15:paraId="47A0DFFE" w15:done="0"/>
  <w15:commentEx w15:paraId="1251E00C" w15:done="0"/>
  <w15:commentEx w15:paraId="64FCEDF5" w15:done="0"/>
  <w15:commentEx w15:paraId="4F4AC7E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894" w:rsidRDefault="00857894" w:rsidP="00056605">
      <w:pPr>
        <w:spacing w:after="0" w:line="240" w:lineRule="auto"/>
      </w:pPr>
      <w:r>
        <w:separator/>
      </w:r>
    </w:p>
  </w:endnote>
  <w:endnote w:type="continuationSeparator" w:id="0">
    <w:p w:rsidR="00857894" w:rsidRDefault="00857894" w:rsidP="000566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20002A87" w:usb1="00000000" w:usb2="00000000" w:usb3="00000000" w:csb0="000001FF"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894" w:rsidRDefault="00857894" w:rsidP="00056605">
      <w:pPr>
        <w:spacing w:after="0" w:line="240" w:lineRule="auto"/>
      </w:pPr>
      <w:r>
        <w:separator/>
      </w:r>
    </w:p>
  </w:footnote>
  <w:footnote w:type="continuationSeparator" w:id="0">
    <w:p w:rsidR="00857894" w:rsidRDefault="00857894" w:rsidP="000566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2F8" w:rsidRDefault="004372F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2F8" w:rsidRDefault="004372F8">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2F8" w:rsidRDefault="004372F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C7D"/>
    <w:multiLevelType w:val="hybridMultilevel"/>
    <w:tmpl w:val="2388698C"/>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033208"/>
    <w:multiLevelType w:val="hybridMultilevel"/>
    <w:tmpl w:val="159A2CAC"/>
    <w:lvl w:ilvl="0" w:tplc="D526B32C">
      <w:start w:val="1"/>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0F5C20"/>
    <w:multiLevelType w:val="hybridMultilevel"/>
    <w:tmpl w:val="7FDCB08E"/>
    <w:lvl w:ilvl="0" w:tplc="ED7E78D8">
      <w:start w:val="1"/>
      <w:numFmt w:val="lowerRoman"/>
      <w:lvlText w:val="(%1)"/>
      <w:lvlJc w:val="left"/>
      <w:pPr>
        <w:ind w:left="1650" w:hanging="72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3">
    <w:nsid w:val="052B7503"/>
    <w:multiLevelType w:val="hybridMultilevel"/>
    <w:tmpl w:val="3008EC8C"/>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
    <w:nsid w:val="1127307D"/>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5">
    <w:nsid w:val="13DA339E"/>
    <w:multiLevelType w:val="hybridMultilevel"/>
    <w:tmpl w:val="7FDCB08E"/>
    <w:lvl w:ilvl="0" w:tplc="ED7E78D8">
      <w:start w:val="1"/>
      <w:numFmt w:val="lowerRoman"/>
      <w:lvlText w:val="(%1)"/>
      <w:lvlJc w:val="left"/>
      <w:pPr>
        <w:ind w:left="1650" w:hanging="72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6">
    <w:nsid w:val="176F3CD7"/>
    <w:multiLevelType w:val="hybridMultilevel"/>
    <w:tmpl w:val="3008EC8C"/>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7">
    <w:nsid w:val="200C2680"/>
    <w:multiLevelType w:val="hybridMultilevel"/>
    <w:tmpl w:val="D0F2687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1416A90"/>
    <w:multiLevelType w:val="hybridMultilevel"/>
    <w:tmpl w:val="E7CAE68E"/>
    <w:lvl w:ilvl="0" w:tplc="EFFACEBA">
      <w:start w:val="104"/>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6D5BCC"/>
    <w:multiLevelType w:val="hybridMultilevel"/>
    <w:tmpl w:val="3008EC8C"/>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0">
    <w:nsid w:val="26902686"/>
    <w:multiLevelType w:val="hybridMultilevel"/>
    <w:tmpl w:val="3502FDCA"/>
    <w:lvl w:ilvl="0" w:tplc="D526B32C">
      <w:start w:val="1"/>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4376BC"/>
    <w:multiLevelType w:val="hybridMultilevel"/>
    <w:tmpl w:val="3008EC8C"/>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2">
    <w:nsid w:val="28D4096A"/>
    <w:multiLevelType w:val="hybridMultilevel"/>
    <w:tmpl w:val="C666E5C4"/>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C42297A"/>
    <w:multiLevelType w:val="hybridMultilevel"/>
    <w:tmpl w:val="BB543F86"/>
    <w:lvl w:ilvl="0" w:tplc="15AA7CF6">
      <w:start w:val="125"/>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F18725B"/>
    <w:multiLevelType w:val="hybridMultilevel"/>
    <w:tmpl w:val="B0985036"/>
    <w:lvl w:ilvl="0" w:tplc="2304C710">
      <w:start w:val="84"/>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0295FC4"/>
    <w:multiLevelType w:val="hybridMultilevel"/>
    <w:tmpl w:val="425E91F0"/>
    <w:lvl w:ilvl="0" w:tplc="63BA5306">
      <w:start w:val="57"/>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4513C0"/>
    <w:multiLevelType w:val="hybridMultilevel"/>
    <w:tmpl w:val="DF766066"/>
    <w:lvl w:ilvl="0" w:tplc="93BC0FE6">
      <w:start w:val="70"/>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7F31A2B"/>
    <w:multiLevelType w:val="hybridMultilevel"/>
    <w:tmpl w:val="78A28384"/>
    <w:lvl w:ilvl="0" w:tplc="D526B32C">
      <w:start w:val="1"/>
      <w:numFmt w:val="decimal"/>
      <w:lvlText w:val="%1."/>
      <w:lvlJc w:val="left"/>
      <w:pPr>
        <w:ind w:left="570" w:hanging="570"/>
      </w:pPr>
      <w:rPr>
        <w:rFonts w:hint="default"/>
        <w:b w:val="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189624B"/>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9">
    <w:nsid w:val="4BA83F05"/>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0">
    <w:nsid w:val="4D4C2A25"/>
    <w:multiLevelType w:val="hybridMultilevel"/>
    <w:tmpl w:val="1D3E13E6"/>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063FA4"/>
    <w:multiLevelType w:val="hybridMultilevel"/>
    <w:tmpl w:val="8B0CB948"/>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6484D2D"/>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3">
    <w:nsid w:val="56E25BB6"/>
    <w:multiLevelType w:val="hybridMultilevel"/>
    <w:tmpl w:val="381850E6"/>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F920E2"/>
    <w:multiLevelType w:val="hybridMultilevel"/>
    <w:tmpl w:val="860AC822"/>
    <w:lvl w:ilvl="0" w:tplc="317A8DA0">
      <w:start w:val="76"/>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A623B1B"/>
    <w:multiLevelType w:val="hybridMultilevel"/>
    <w:tmpl w:val="64F6B32E"/>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E9F3D66"/>
    <w:multiLevelType w:val="hybridMultilevel"/>
    <w:tmpl w:val="5A64072A"/>
    <w:lvl w:ilvl="0" w:tplc="790054CE">
      <w:start w:val="25"/>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02409F5"/>
    <w:multiLevelType w:val="hybridMultilevel"/>
    <w:tmpl w:val="539CFC04"/>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3405DB1"/>
    <w:multiLevelType w:val="hybridMultilevel"/>
    <w:tmpl w:val="5126991E"/>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454272F"/>
    <w:multiLevelType w:val="hybridMultilevel"/>
    <w:tmpl w:val="C54C8D30"/>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8177DB2"/>
    <w:multiLevelType w:val="hybridMultilevel"/>
    <w:tmpl w:val="D4C0713A"/>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CF95E86"/>
    <w:multiLevelType w:val="hybridMultilevel"/>
    <w:tmpl w:val="2196F398"/>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DD551E5"/>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3">
    <w:nsid w:val="72C24F7C"/>
    <w:multiLevelType w:val="hybridMultilevel"/>
    <w:tmpl w:val="1C88ECC8"/>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6B558B4"/>
    <w:multiLevelType w:val="hybridMultilevel"/>
    <w:tmpl w:val="58F4E278"/>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C9D5CD3"/>
    <w:multiLevelType w:val="hybridMultilevel"/>
    <w:tmpl w:val="375406A2"/>
    <w:lvl w:ilvl="0" w:tplc="BA4EB46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7"/>
  </w:num>
  <w:num w:numId="2">
    <w:abstractNumId w:val="6"/>
  </w:num>
  <w:num w:numId="3">
    <w:abstractNumId w:val="9"/>
  </w:num>
  <w:num w:numId="4">
    <w:abstractNumId w:val="11"/>
  </w:num>
  <w:num w:numId="5">
    <w:abstractNumId w:val="34"/>
  </w:num>
  <w:num w:numId="6">
    <w:abstractNumId w:val="17"/>
  </w:num>
  <w:num w:numId="7">
    <w:abstractNumId w:val="21"/>
  </w:num>
  <w:num w:numId="8">
    <w:abstractNumId w:val="28"/>
  </w:num>
  <w:num w:numId="9">
    <w:abstractNumId w:val="23"/>
  </w:num>
  <w:num w:numId="10">
    <w:abstractNumId w:val="30"/>
  </w:num>
  <w:num w:numId="11">
    <w:abstractNumId w:val="20"/>
  </w:num>
  <w:num w:numId="12">
    <w:abstractNumId w:val="31"/>
  </w:num>
  <w:num w:numId="13">
    <w:abstractNumId w:val="0"/>
  </w:num>
  <w:num w:numId="14">
    <w:abstractNumId w:val="33"/>
  </w:num>
  <w:num w:numId="15">
    <w:abstractNumId w:val="12"/>
  </w:num>
  <w:num w:numId="16">
    <w:abstractNumId w:val="27"/>
  </w:num>
  <w:num w:numId="17">
    <w:abstractNumId w:val="29"/>
  </w:num>
  <w:num w:numId="18">
    <w:abstractNumId w:val="25"/>
  </w:num>
  <w:num w:numId="19">
    <w:abstractNumId w:val="3"/>
  </w:num>
  <w:num w:numId="20">
    <w:abstractNumId w:val="18"/>
  </w:num>
  <w:num w:numId="21">
    <w:abstractNumId w:val="5"/>
  </w:num>
  <w:num w:numId="22">
    <w:abstractNumId w:val="4"/>
  </w:num>
  <w:num w:numId="23">
    <w:abstractNumId w:val="19"/>
  </w:num>
  <w:num w:numId="24">
    <w:abstractNumId w:val="32"/>
  </w:num>
  <w:num w:numId="25">
    <w:abstractNumId w:val="2"/>
  </w:num>
  <w:num w:numId="26">
    <w:abstractNumId w:val="22"/>
  </w:num>
  <w:num w:numId="27">
    <w:abstractNumId w:val="10"/>
  </w:num>
  <w:num w:numId="28">
    <w:abstractNumId w:val="1"/>
  </w:num>
  <w:num w:numId="29">
    <w:abstractNumId w:val="26"/>
  </w:num>
  <w:num w:numId="30">
    <w:abstractNumId w:val="13"/>
  </w:num>
  <w:num w:numId="31">
    <w:abstractNumId w:val="8"/>
  </w:num>
  <w:num w:numId="32">
    <w:abstractNumId w:val="14"/>
  </w:num>
  <w:num w:numId="33">
    <w:abstractNumId w:val="24"/>
  </w:num>
  <w:num w:numId="34">
    <w:abstractNumId w:val="16"/>
  </w:num>
  <w:num w:numId="35">
    <w:abstractNumId w:val="15"/>
  </w:num>
  <w:num w:numId="36">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ego Rodrigues Boente">
    <w15:presenceInfo w15:providerId="AD" w15:userId="S-1-5-21-891783092-4266327958-3429718048-102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35842"/>
  </w:hdrShapeDefaults>
  <w:footnotePr>
    <w:footnote w:id="-1"/>
    <w:footnote w:id="0"/>
  </w:footnotePr>
  <w:endnotePr>
    <w:endnote w:id="-1"/>
    <w:endnote w:id="0"/>
  </w:endnotePr>
  <w:compat/>
  <w:rsids>
    <w:rsidRoot w:val="00BA67D8"/>
    <w:rsid w:val="00005917"/>
    <w:rsid w:val="0001119A"/>
    <w:rsid w:val="000536CE"/>
    <w:rsid w:val="00056111"/>
    <w:rsid w:val="00056605"/>
    <w:rsid w:val="0006137B"/>
    <w:rsid w:val="00064E04"/>
    <w:rsid w:val="00067B4A"/>
    <w:rsid w:val="000770E7"/>
    <w:rsid w:val="000804D4"/>
    <w:rsid w:val="00086AC2"/>
    <w:rsid w:val="0009122A"/>
    <w:rsid w:val="00091CB6"/>
    <w:rsid w:val="000925BA"/>
    <w:rsid w:val="00094E9C"/>
    <w:rsid w:val="000B0404"/>
    <w:rsid w:val="00100AAB"/>
    <w:rsid w:val="0010596F"/>
    <w:rsid w:val="00122771"/>
    <w:rsid w:val="0015644D"/>
    <w:rsid w:val="001675CC"/>
    <w:rsid w:val="00182423"/>
    <w:rsid w:val="001D1AB5"/>
    <w:rsid w:val="001D243A"/>
    <w:rsid w:val="001D388D"/>
    <w:rsid w:val="001E28CA"/>
    <w:rsid w:val="001F05D8"/>
    <w:rsid w:val="001F5526"/>
    <w:rsid w:val="00223184"/>
    <w:rsid w:val="00227B6E"/>
    <w:rsid w:val="00232138"/>
    <w:rsid w:val="00271D9A"/>
    <w:rsid w:val="00272D35"/>
    <w:rsid w:val="002A0B26"/>
    <w:rsid w:val="002B4702"/>
    <w:rsid w:val="002C2784"/>
    <w:rsid w:val="002E039A"/>
    <w:rsid w:val="0030550C"/>
    <w:rsid w:val="003133A0"/>
    <w:rsid w:val="00363F8F"/>
    <w:rsid w:val="00376E65"/>
    <w:rsid w:val="003948E7"/>
    <w:rsid w:val="003A0DFD"/>
    <w:rsid w:val="003A148E"/>
    <w:rsid w:val="003A3610"/>
    <w:rsid w:val="003B288B"/>
    <w:rsid w:val="003C0CA2"/>
    <w:rsid w:val="003E633E"/>
    <w:rsid w:val="003F7A38"/>
    <w:rsid w:val="004372F8"/>
    <w:rsid w:val="00456755"/>
    <w:rsid w:val="004606E7"/>
    <w:rsid w:val="0047711D"/>
    <w:rsid w:val="004A1331"/>
    <w:rsid w:val="004B5C84"/>
    <w:rsid w:val="004B6BAB"/>
    <w:rsid w:val="004C21D0"/>
    <w:rsid w:val="004D06B6"/>
    <w:rsid w:val="004D5DE4"/>
    <w:rsid w:val="004D6C04"/>
    <w:rsid w:val="0052617A"/>
    <w:rsid w:val="0053391B"/>
    <w:rsid w:val="00536334"/>
    <w:rsid w:val="00556027"/>
    <w:rsid w:val="00556E28"/>
    <w:rsid w:val="005662EA"/>
    <w:rsid w:val="00574912"/>
    <w:rsid w:val="00574CF3"/>
    <w:rsid w:val="00583E53"/>
    <w:rsid w:val="00586D4F"/>
    <w:rsid w:val="0058725E"/>
    <w:rsid w:val="00596965"/>
    <w:rsid w:val="005E0951"/>
    <w:rsid w:val="005F5562"/>
    <w:rsid w:val="00610EFF"/>
    <w:rsid w:val="00620C41"/>
    <w:rsid w:val="00627108"/>
    <w:rsid w:val="006354D0"/>
    <w:rsid w:val="006551DB"/>
    <w:rsid w:val="006648EA"/>
    <w:rsid w:val="00685487"/>
    <w:rsid w:val="00686D5B"/>
    <w:rsid w:val="00695650"/>
    <w:rsid w:val="006A0CBF"/>
    <w:rsid w:val="006A25A0"/>
    <w:rsid w:val="006B5146"/>
    <w:rsid w:val="006B6A05"/>
    <w:rsid w:val="006B6ABD"/>
    <w:rsid w:val="006C69E5"/>
    <w:rsid w:val="006D57F9"/>
    <w:rsid w:val="006E1014"/>
    <w:rsid w:val="006E3D3F"/>
    <w:rsid w:val="006E5511"/>
    <w:rsid w:val="00721CF0"/>
    <w:rsid w:val="0072761B"/>
    <w:rsid w:val="007636E0"/>
    <w:rsid w:val="0077146C"/>
    <w:rsid w:val="00773299"/>
    <w:rsid w:val="00787617"/>
    <w:rsid w:val="007B2C30"/>
    <w:rsid w:val="007B7682"/>
    <w:rsid w:val="007F1974"/>
    <w:rsid w:val="00803E86"/>
    <w:rsid w:val="0080458E"/>
    <w:rsid w:val="008062DE"/>
    <w:rsid w:val="00810415"/>
    <w:rsid w:val="008256AE"/>
    <w:rsid w:val="0083385A"/>
    <w:rsid w:val="00833E55"/>
    <w:rsid w:val="008358E5"/>
    <w:rsid w:val="008402A7"/>
    <w:rsid w:val="00844615"/>
    <w:rsid w:val="00857894"/>
    <w:rsid w:val="008B024A"/>
    <w:rsid w:val="008D681B"/>
    <w:rsid w:val="008E021B"/>
    <w:rsid w:val="008E6AB9"/>
    <w:rsid w:val="008F043D"/>
    <w:rsid w:val="008F1ED3"/>
    <w:rsid w:val="00906557"/>
    <w:rsid w:val="0091029C"/>
    <w:rsid w:val="0093343C"/>
    <w:rsid w:val="00946809"/>
    <w:rsid w:val="00964A64"/>
    <w:rsid w:val="00972D22"/>
    <w:rsid w:val="0097641C"/>
    <w:rsid w:val="009811AB"/>
    <w:rsid w:val="009863FA"/>
    <w:rsid w:val="009867C1"/>
    <w:rsid w:val="009C616B"/>
    <w:rsid w:val="009D6460"/>
    <w:rsid w:val="009F2FFA"/>
    <w:rsid w:val="00A04730"/>
    <w:rsid w:val="00A06366"/>
    <w:rsid w:val="00A10BCE"/>
    <w:rsid w:val="00A37122"/>
    <w:rsid w:val="00A44357"/>
    <w:rsid w:val="00A46E47"/>
    <w:rsid w:val="00A53F40"/>
    <w:rsid w:val="00A6143A"/>
    <w:rsid w:val="00A65AD0"/>
    <w:rsid w:val="00A864D5"/>
    <w:rsid w:val="00A8784A"/>
    <w:rsid w:val="00A9326B"/>
    <w:rsid w:val="00AB6ECF"/>
    <w:rsid w:val="00AE54BD"/>
    <w:rsid w:val="00AF347C"/>
    <w:rsid w:val="00B04B3A"/>
    <w:rsid w:val="00B07183"/>
    <w:rsid w:val="00B12A05"/>
    <w:rsid w:val="00B12E00"/>
    <w:rsid w:val="00B17623"/>
    <w:rsid w:val="00B24212"/>
    <w:rsid w:val="00B26D93"/>
    <w:rsid w:val="00B320D1"/>
    <w:rsid w:val="00B64EEB"/>
    <w:rsid w:val="00B65A70"/>
    <w:rsid w:val="00B911C6"/>
    <w:rsid w:val="00B97939"/>
    <w:rsid w:val="00B97D93"/>
    <w:rsid w:val="00BA67D8"/>
    <w:rsid w:val="00BC2AAA"/>
    <w:rsid w:val="00BC6495"/>
    <w:rsid w:val="00BD2D7D"/>
    <w:rsid w:val="00BE3CBB"/>
    <w:rsid w:val="00C15B86"/>
    <w:rsid w:val="00C1723A"/>
    <w:rsid w:val="00C34AC8"/>
    <w:rsid w:val="00C45676"/>
    <w:rsid w:val="00C6175A"/>
    <w:rsid w:val="00C90977"/>
    <w:rsid w:val="00CE498E"/>
    <w:rsid w:val="00D00D30"/>
    <w:rsid w:val="00D160BC"/>
    <w:rsid w:val="00D376AA"/>
    <w:rsid w:val="00D6042C"/>
    <w:rsid w:val="00D91836"/>
    <w:rsid w:val="00DA57D8"/>
    <w:rsid w:val="00DA6731"/>
    <w:rsid w:val="00DB190B"/>
    <w:rsid w:val="00DB4C0B"/>
    <w:rsid w:val="00DF4AC0"/>
    <w:rsid w:val="00E00496"/>
    <w:rsid w:val="00E14F35"/>
    <w:rsid w:val="00E5472B"/>
    <w:rsid w:val="00E738F7"/>
    <w:rsid w:val="00E7565D"/>
    <w:rsid w:val="00E90B99"/>
    <w:rsid w:val="00EB34D0"/>
    <w:rsid w:val="00EC1EA4"/>
    <w:rsid w:val="00EF3CBF"/>
    <w:rsid w:val="00F00926"/>
    <w:rsid w:val="00F46EBB"/>
    <w:rsid w:val="00F6220C"/>
    <w:rsid w:val="00F63B76"/>
    <w:rsid w:val="00F65865"/>
    <w:rsid w:val="00F70F2E"/>
    <w:rsid w:val="00F72017"/>
    <w:rsid w:val="00F76514"/>
    <w:rsid w:val="00F94760"/>
    <w:rsid w:val="00FA25FA"/>
    <w:rsid w:val="00FD4CDA"/>
    <w:rsid w:val="00FF32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31"/>
  </w:style>
  <w:style w:type="paragraph" w:styleId="Ttulo1">
    <w:name w:val="heading 1"/>
    <w:basedOn w:val="Normal"/>
    <w:next w:val="Normal"/>
    <w:link w:val="Ttulo1Char"/>
    <w:qFormat/>
    <w:rsid w:val="00A06366"/>
    <w:pPr>
      <w:spacing w:after="0" w:line="276" w:lineRule="auto"/>
      <w:jc w:val="center"/>
      <w:outlineLvl w:val="0"/>
    </w:pPr>
    <w:rPr>
      <w:rFonts w:ascii="Times New Roman" w:hAnsi="Times New Roman" w:cs="Times New Roman"/>
      <w:b/>
      <w:sz w:val="24"/>
    </w:rPr>
  </w:style>
  <w:style w:type="paragraph" w:styleId="Ttulo2">
    <w:name w:val="heading 2"/>
    <w:basedOn w:val="Normal"/>
    <w:next w:val="Normal"/>
    <w:link w:val="Ttulo2Char"/>
    <w:uiPriority w:val="9"/>
    <w:unhideWhenUsed/>
    <w:qFormat/>
    <w:rsid w:val="00A06366"/>
    <w:pPr>
      <w:spacing w:after="0" w:line="276" w:lineRule="auto"/>
      <w:jc w:val="center"/>
      <w:outlineLvl w:val="1"/>
    </w:pPr>
    <w:rPr>
      <w:rFonts w:ascii="Times New Roman" w:hAnsi="Times New Roman" w:cs="Times New Roman"/>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A148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148E"/>
    <w:rPr>
      <w:rFonts w:ascii="Segoe UI" w:hAnsi="Segoe UI" w:cs="Segoe UI"/>
      <w:sz w:val="18"/>
      <w:szCs w:val="18"/>
    </w:rPr>
  </w:style>
  <w:style w:type="character" w:customStyle="1" w:styleId="Ttulo1Char">
    <w:name w:val="Título 1 Char"/>
    <w:basedOn w:val="Fontepargpadro"/>
    <w:link w:val="Ttulo1"/>
    <w:uiPriority w:val="9"/>
    <w:rsid w:val="00A06366"/>
    <w:rPr>
      <w:rFonts w:ascii="Times New Roman" w:hAnsi="Times New Roman" w:cs="Times New Roman"/>
      <w:b/>
      <w:sz w:val="24"/>
    </w:rPr>
  </w:style>
  <w:style w:type="character" w:customStyle="1" w:styleId="Ttulo2Char">
    <w:name w:val="Título 2 Char"/>
    <w:basedOn w:val="Fontepargpadro"/>
    <w:link w:val="Ttulo2"/>
    <w:uiPriority w:val="9"/>
    <w:rsid w:val="00A06366"/>
    <w:rPr>
      <w:rFonts w:ascii="Times New Roman" w:hAnsi="Times New Roman" w:cs="Times New Roman"/>
      <w:b/>
      <w:sz w:val="24"/>
    </w:rPr>
  </w:style>
  <w:style w:type="paragraph" w:styleId="Subttulo">
    <w:name w:val="Subtitle"/>
    <w:basedOn w:val="Ttulo2"/>
    <w:next w:val="Normal"/>
    <w:link w:val="SubttuloChar"/>
    <w:uiPriority w:val="11"/>
    <w:qFormat/>
    <w:rsid w:val="00A06366"/>
    <w:pPr>
      <w:jc w:val="left"/>
    </w:pPr>
  </w:style>
  <w:style w:type="character" w:customStyle="1" w:styleId="SubttuloChar">
    <w:name w:val="Subtítulo Char"/>
    <w:basedOn w:val="Fontepargpadro"/>
    <w:link w:val="Subttulo"/>
    <w:uiPriority w:val="11"/>
    <w:rsid w:val="00A06366"/>
    <w:rPr>
      <w:rFonts w:ascii="Times New Roman" w:hAnsi="Times New Roman" w:cs="Times New Roman"/>
      <w:b/>
      <w:sz w:val="24"/>
    </w:rPr>
  </w:style>
  <w:style w:type="paragraph" w:styleId="PargrafodaLista">
    <w:name w:val="List Paragraph"/>
    <w:basedOn w:val="Normal"/>
    <w:uiPriority w:val="34"/>
    <w:qFormat/>
    <w:rsid w:val="008358E5"/>
    <w:pPr>
      <w:ind w:left="720"/>
      <w:contextualSpacing/>
    </w:pPr>
  </w:style>
  <w:style w:type="character" w:styleId="Refdecomentrio">
    <w:name w:val="annotation reference"/>
    <w:basedOn w:val="Fontepargpadro"/>
    <w:uiPriority w:val="99"/>
    <w:semiHidden/>
    <w:unhideWhenUsed/>
    <w:rsid w:val="00F00926"/>
    <w:rPr>
      <w:sz w:val="16"/>
      <w:szCs w:val="16"/>
    </w:rPr>
  </w:style>
  <w:style w:type="paragraph" w:styleId="Textodecomentrio">
    <w:name w:val="annotation text"/>
    <w:basedOn w:val="Normal"/>
    <w:link w:val="TextodecomentrioChar"/>
    <w:uiPriority w:val="99"/>
    <w:semiHidden/>
    <w:unhideWhenUsed/>
    <w:rsid w:val="00F0092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00926"/>
    <w:rPr>
      <w:sz w:val="20"/>
      <w:szCs w:val="20"/>
    </w:rPr>
  </w:style>
  <w:style w:type="paragraph" w:styleId="Assuntodocomentrio">
    <w:name w:val="annotation subject"/>
    <w:basedOn w:val="Textodecomentrio"/>
    <w:next w:val="Textodecomentrio"/>
    <w:link w:val="AssuntodocomentrioChar"/>
    <w:uiPriority w:val="99"/>
    <w:semiHidden/>
    <w:unhideWhenUsed/>
    <w:rsid w:val="00F00926"/>
    <w:rPr>
      <w:b/>
      <w:bCs/>
    </w:rPr>
  </w:style>
  <w:style w:type="character" w:customStyle="1" w:styleId="AssuntodocomentrioChar">
    <w:name w:val="Assunto do comentário Char"/>
    <w:basedOn w:val="TextodecomentrioChar"/>
    <w:link w:val="Assuntodocomentrio"/>
    <w:uiPriority w:val="99"/>
    <w:semiHidden/>
    <w:rsid w:val="00F00926"/>
    <w:rPr>
      <w:b/>
      <w:bCs/>
      <w:sz w:val="20"/>
      <w:szCs w:val="20"/>
    </w:rPr>
  </w:style>
  <w:style w:type="paragraph" w:styleId="Reviso">
    <w:name w:val="Revision"/>
    <w:hidden/>
    <w:uiPriority w:val="99"/>
    <w:semiHidden/>
    <w:rsid w:val="00DB190B"/>
    <w:pPr>
      <w:spacing w:after="0" w:line="240" w:lineRule="auto"/>
    </w:pPr>
  </w:style>
  <w:style w:type="paragraph" w:styleId="Recuodecorpodetexto2">
    <w:name w:val="Body Text Indent 2"/>
    <w:basedOn w:val="Normal"/>
    <w:link w:val="Recuodecorpodetexto2Char"/>
    <w:rsid w:val="006A0CBF"/>
    <w:pPr>
      <w:autoSpaceDE w:val="0"/>
      <w:autoSpaceDN w:val="0"/>
      <w:spacing w:after="0" w:line="240" w:lineRule="auto"/>
      <w:ind w:left="1906" w:hanging="1906"/>
      <w:jc w:val="both"/>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rsid w:val="006A0CBF"/>
    <w:rPr>
      <w:rFonts w:ascii="Times New Roman" w:eastAsia="Times New Roman" w:hAnsi="Times New Roman" w:cs="Times New Roman"/>
      <w:sz w:val="16"/>
      <w:szCs w:val="16"/>
      <w:lang w:eastAsia="pt-BR"/>
    </w:rPr>
  </w:style>
  <w:style w:type="paragraph" w:styleId="Pr-formataoHTML">
    <w:name w:val="HTML Preformatted"/>
    <w:basedOn w:val="Normal"/>
    <w:link w:val="Pr-formataoHTMLChar"/>
    <w:uiPriority w:val="99"/>
    <w:rsid w:val="006A0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uiPriority w:val="99"/>
    <w:rsid w:val="006A0CBF"/>
    <w:rPr>
      <w:rFonts w:ascii="Courier New" w:eastAsia="Times New Roman" w:hAnsi="Courier New" w:cs="Times New Roman"/>
      <w:sz w:val="20"/>
      <w:szCs w:val="20"/>
    </w:rPr>
  </w:style>
  <w:style w:type="character" w:customStyle="1" w:styleId="shorttext">
    <w:name w:val="short_text"/>
    <w:basedOn w:val="Fontepargpadro"/>
    <w:rsid w:val="008B024A"/>
  </w:style>
  <w:style w:type="paragraph" w:styleId="Cabealho">
    <w:name w:val="header"/>
    <w:basedOn w:val="Normal"/>
    <w:link w:val="CabealhoChar"/>
    <w:uiPriority w:val="99"/>
    <w:semiHidden/>
    <w:unhideWhenUsed/>
    <w:rsid w:val="0005660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56605"/>
  </w:style>
  <w:style w:type="paragraph" w:styleId="Rodap">
    <w:name w:val="footer"/>
    <w:basedOn w:val="Normal"/>
    <w:link w:val="RodapChar"/>
    <w:uiPriority w:val="99"/>
    <w:semiHidden/>
    <w:unhideWhenUsed/>
    <w:rsid w:val="0005660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5660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5983</Words>
  <Characters>32311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Freire</dc:creator>
  <cp:lastModifiedBy>alexandre</cp:lastModifiedBy>
  <cp:revision>2</cp:revision>
  <cp:lastPrinted>2018-02-14T20:21:00Z</cp:lastPrinted>
  <dcterms:created xsi:type="dcterms:W3CDTF">2018-02-23T12:46:00Z</dcterms:created>
  <dcterms:modified xsi:type="dcterms:W3CDTF">2018-02-23T12:46:00Z</dcterms:modified>
</cp:coreProperties>
</file>