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7CC" w:rsidRPr="00F247CC" w:rsidRDefault="00F247CC" w:rsidP="00F247CC">
      <w:pPr>
        <w:spacing w:after="0" w:line="240" w:lineRule="auto"/>
        <w:ind w:right="2"/>
        <w:jc w:val="center"/>
        <w:outlineLvl w:val="0"/>
        <w:rPr>
          <w:rFonts w:ascii="Times New Roman" w:eastAsia="Times New Roman" w:hAnsi="Times New Roman" w:cs="Times New Roman"/>
          <w:b/>
          <w:sz w:val="24"/>
          <w:szCs w:val="24"/>
          <w:lang w:eastAsia="pt-BR"/>
        </w:rPr>
      </w:pPr>
      <w:bookmarkStart w:id="0" w:name="_GoBack"/>
      <w:bookmarkEnd w:id="0"/>
      <w:r w:rsidRPr="00F247CC">
        <w:rPr>
          <w:rFonts w:ascii="Times New Roman" w:eastAsia="Times New Roman" w:hAnsi="Times New Roman" w:cs="Times New Roman"/>
          <w:b/>
          <w:sz w:val="24"/>
          <w:szCs w:val="24"/>
          <w:lang w:eastAsia="pt-BR"/>
        </w:rPr>
        <w:t>COMITÊ DE PRONUNCIAMENTOS CONTÁBEIS</w:t>
      </w:r>
    </w:p>
    <w:p w:rsidR="00F247CC" w:rsidRPr="00F247CC" w:rsidRDefault="00F247CC" w:rsidP="00F247CC">
      <w:pPr>
        <w:spacing w:after="0" w:line="240" w:lineRule="auto"/>
        <w:ind w:right="2"/>
        <w:rPr>
          <w:rFonts w:ascii="Times New Roman" w:eastAsia="Times New Roman" w:hAnsi="Times New Roman" w:cs="Times New Roman"/>
          <w:b/>
          <w:sz w:val="24"/>
          <w:szCs w:val="24"/>
          <w:lang w:eastAsia="pt-BR"/>
        </w:rPr>
      </w:pPr>
    </w:p>
    <w:p w:rsidR="00F247CC" w:rsidRPr="00F247CC" w:rsidRDefault="00F247CC" w:rsidP="00F247CC">
      <w:pPr>
        <w:spacing w:after="0" w:line="240" w:lineRule="auto"/>
        <w:ind w:right="2"/>
        <w:jc w:val="center"/>
        <w:outlineLvl w:val="0"/>
        <w:rPr>
          <w:rFonts w:ascii="Times New Roman" w:eastAsia="Times New Roman" w:hAnsi="Times New Roman" w:cs="Times New Roman"/>
          <w:b/>
          <w:sz w:val="24"/>
          <w:szCs w:val="24"/>
          <w:lang w:eastAsia="pt-BR"/>
        </w:rPr>
      </w:pPr>
      <w:r w:rsidRPr="00F247CC">
        <w:rPr>
          <w:rFonts w:ascii="Times New Roman" w:eastAsia="Times New Roman" w:hAnsi="Times New Roman" w:cs="Times New Roman"/>
          <w:b/>
          <w:sz w:val="24"/>
          <w:szCs w:val="24"/>
          <w:lang w:eastAsia="pt-BR"/>
        </w:rPr>
        <w:t>REVISÃO DE PRONUNCIAMENTOS TÉCNICOS – N.º 1</w:t>
      </w:r>
      <w:r>
        <w:rPr>
          <w:rFonts w:ascii="Times New Roman" w:eastAsia="Times New Roman" w:hAnsi="Times New Roman" w:cs="Times New Roman"/>
          <w:b/>
          <w:sz w:val="24"/>
          <w:szCs w:val="24"/>
          <w:lang w:eastAsia="pt-BR"/>
        </w:rPr>
        <w:t>3</w:t>
      </w:r>
      <w:r w:rsidRPr="00F247CC">
        <w:rPr>
          <w:rFonts w:ascii="Times New Roman" w:eastAsia="Times New Roman" w:hAnsi="Times New Roman" w:cs="Times New Roman"/>
          <w:b/>
          <w:sz w:val="24"/>
          <w:szCs w:val="24"/>
          <w:lang w:eastAsia="pt-BR"/>
        </w:rPr>
        <w:t>/201</w:t>
      </w:r>
      <w:r>
        <w:rPr>
          <w:rFonts w:ascii="Times New Roman" w:eastAsia="Times New Roman" w:hAnsi="Times New Roman" w:cs="Times New Roman"/>
          <w:b/>
          <w:sz w:val="24"/>
          <w:szCs w:val="24"/>
          <w:lang w:eastAsia="pt-BR"/>
        </w:rPr>
        <w:t>8</w:t>
      </w:r>
    </w:p>
    <w:p w:rsidR="00F247CC" w:rsidRPr="00F247CC" w:rsidRDefault="00F247CC" w:rsidP="00F247CC">
      <w:pPr>
        <w:spacing w:after="0" w:line="240" w:lineRule="auto"/>
        <w:ind w:right="2"/>
        <w:jc w:val="center"/>
        <w:outlineLvl w:val="0"/>
        <w:rPr>
          <w:rFonts w:ascii="Times New Roman" w:eastAsia="Times New Roman" w:hAnsi="Times New Roman" w:cs="Times New Roman"/>
          <w:b/>
          <w:sz w:val="24"/>
          <w:szCs w:val="24"/>
          <w:lang w:eastAsia="pt-BR"/>
        </w:rPr>
      </w:pPr>
    </w:p>
    <w:p w:rsidR="00F247CC" w:rsidRPr="00F247CC" w:rsidRDefault="00F247CC" w:rsidP="00F247CC">
      <w:pPr>
        <w:pBdr>
          <w:top w:val="single" w:sz="4" w:space="1" w:color="auto"/>
          <w:left w:val="single" w:sz="4" w:space="4" w:color="auto"/>
          <w:bottom w:val="single" w:sz="4" w:space="1" w:color="auto"/>
          <w:right w:val="single" w:sz="4" w:space="0" w:color="auto"/>
        </w:pBdr>
        <w:tabs>
          <w:tab w:val="left" w:pos="0"/>
        </w:tabs>
        <w:spacing w:after="0" w:line="240" w:lineRule="auto"/>
        <w:ind w:right="2"/>
        <w:jc w:val="both"/>
        <w:rPr>
          <w:rFonts w:ascii="Times New Roman" w:eastAsia="Times New Roman" w:hAnsi="Times New Roman" w:cs="Times New Roman"/>
          <w:b/>
          <w:sz w:val="24"/>
          <w:szCs w:val="24"/>
          <w:lang w:eastAsia="pt-BR"/>
        </w:rPr>
      </w:pPr>
      <w:r w:rsidRPr="00F247CC">
        <w:rPr>
          <w:rFonts w:ascii="Times New Roman" w:eastAsia="Times New Roman" w:hAnsi="Times New Roman" w:cs="Times New Roman"/>
          <w:b/>
          <w:sz w:val="24"/>
          <w:szCs w:val="24"/>
          <w:lang w:eastAsia="pt-BR"/>
        </w:rPr>
        <w:t>Este documento de revisão apresenta alterações nos Pronunciamentos Técnicos: CPC 02 (R2), CPC 0</w:t>
      </w:r>
      <w:r w:rsidR="001F7207">
        <w:rPr>
          <w:rFonts w:ascii="Times New Roman" w:eastAsia="Times New Roman" w:hAnsi="Times New Roman" w:cs="Times New Roman"/>
          <w:b/>
          <w:sz w:val="24"/>
          <w:szCs w:val="24"/>
          <w:lang w:eastAsia="pt-BR"/>
        </w:rPr>
        <w:t>3</w:t>
      </w:r>
      <w:r w:rsidRPr="00F247CC">
        <w:rPr>
          <w:rFonts w:ascii="Times New Roman" w:eastAsia="Times New Roman" w:hAnsi="Times New Roman" w:cs="Times New Roman"/>
          <w:b/>
          <w:sz w:val="24"/>
          <w:szCs w:val="24"/>
          <w:lang w:eastAsia="pt-BR"/>
        </w:rPr>
        <w:t xml:space="preserve"> (R</w:t>
      </w:r>
      <w:r w:rsidR="001F7207">
        <w:rPr>
          <w:rFonts w:ascii="Times New Roman" w:eastAsia="Times New Roman" w:hAnsi="Times New Roman" w:cs="Times New Roman"/>
          <w:b/>
          <w:sz w:val="24"/>
          <w:szCs w:val="24"/>
          <w:lang w:eastAsia="pt-BR"/>
        </w:rPr>
        <w:t>2</w:t>
      </w:r>
      <w:r w:rsidRPr="00F247CC">
        <w:rPr>
          <w:rFonts w:ascii="Times New Roman" w:eastAsia="Times New Roman" w:hAnsi="Times New Roman" w:cs="Times New Roman"/>
          <w:b/>
          <w:sz w:val="24"/>
          <w:szCs w:val="24"/>
          <w:lang w:eastAsia="pt-BR"/>
        </w:rPr>
        <w:t>), CPC 0</w:t>
      </w:r>
      <w:r w:rsidR="001F7207">
        <w:rPr>
          <w:rFonts w:ascii="Times New Roman" w:eastAsia="Times New Roman" w:hAnsi="Times New Roman" w:cs="Times New Roman"/>
          <w:b/>
          <w:sz w:val="24"/>
          <w:szCs w:val="24"/>
          <w:lang w:eastAsia="pt-BR"/>
        </w:rPr>
        <w:t>4</w:t>
      </w:r>
      <w:r w:rsidRPr="00F247CC">
        <w:rPr>
          <w:rFonts w:ascii="Times New Roman" w:eastAsia="Times New Roman" w:hAnsi="Times New Roman" w:cs="Times New Roman"/>
          <w:b/>
          <w:sz w:val="24"/>
          <w:szCs w:val="24"/>
          <w:lang w:eastAsia="pt-BR"/>
        </w:rPr>
        <w:t xml:space="preserve"> (R1), CPC 11, CPC 15 (R1), CPC 16 (R1), CPC 18 (R2), </w:t>
      </w:r>
      <w:r w:rsidR="001036F5" w:rsidRPr="001036F5">
        <w:rPr>
          <w:rFonts w:ascii="Times New Roman" w:eastAsia="Times New Roman" w:hAnsi="Times New Roman" w:cs="Times New Roman"/>
          <w:b/>
          <w:sz w:val="24"/>
          <w:szCs w:val="24"/>
          <w:lang w:eastAsia="pt-BR"/>
        </w:rPr>
        <w:t>CPC 1</w:t>
      </w:r>
      <w:r w:rsidR="001036F5">
        <w:rPr>
          <w:rFonts w:ascii="Times New Roman" w:eastAsia="Times New Roman" w:hAnsi="Times New Roman" w:cs="Times New Roman"/>
          <w:b/>
          <w:sz w:val="24"/>
          <w:szCs w:val="24"/>
          <w:lang w:eastAsia="pt-BR"/>
        </w:rPr>
        <w:t>9</w:t>
      </w:r>
      <w:r w:rsidR="001036F5" w:rsidRPr="001036F5">
        <w:rPr>
          <w:rFonts w:ascii="Times New Roman" w:eastAsia="Times New Roman" w:hAnsi="Times New Roman" w:cs="Times New Roman"/>
          <w:b/>
          <w:sz w:val="24"/>
          <w:szCs w:val="24"/>
          <w:lang w:eastAsia="pt-BR"/>
        </w:rPr>
        <w:t xml:space="preserve"> (R2), </w:t>
      </w:r>
      <w:r w:rsidRPr="00F247CC">
        <w:rPr>
          <w:rFonts w:ascii="Times New Roman" w:eastAsia="Times New Roman" w:hAnsi="Times New Roman" w:cs="Times New Roman"/>
          <w:b/>
          <w:sz w:val="24"/>
          <w:szCs w:val="24"/>
          <w:lang w:eastAsia="pt-BR"/>
        </w:rPr>
        <w:t xml:space="preserve">CPC 20 (R1), CPC 25, CPC 26 (R1), CPC 27, CPC 28, </w:t>
      </w:r>
      <w:r w:rsidR="001036F5" w:rsidRPr="001036F5">
        <w:rPr>
          <w:rFonts w:ascii="Times New Roman" w:eastAsia="Times New Roman" w:hAnsi="Times New Roman" w:cs="Times New Roman"/>
          <w:b/>
          <w:sz w:val="24"/>
          <w:szCs w:val="24"/>
          <w:lang w:eastAsia="pt-BR"/>
        </w:rPr>
        <w:t xml:space="preserve">CPC </w:t>
      </w:r>
      <w:r w:rsidR="001036F5">
        <w:rPr>
          <w:rFonts w:ascii="Times New Roman" w:eastAsia="Times New Roman" w:hAnsi="Times New Roman" w:cs="Times New Roman"/>
          <w:b/>
          <w:sz w:val="24"/>
          <w:szCs w:val="24"/>
          <w:lang w:eastAsia="pt-BR"/>
        </w:rPr>
        <w:t>29</w:t>
      </w:r>
      <w:r w:rsidR="001036F5" w:rsidRPr="001036F5">
        <w:rPr>
          <w:rFonts w:ascii="Times New Roman" w:eastAsia="Times New Roman" w:hAnsi="Times New Roman" w:cs="Times New Roman"/>
          <w:b/>
          <w:sz w:val="24"/>
          <w:szCs w:val="24"/>
          <w:lang w:eastAsia="pt-BR"/>
        </w:rPr>
        <w:t xml:space="preserve">, </w:t>
      </w:r>
      <w:r w:rsidR="001036F5">
        <w:rPr>
          <w:rFonts w:ascii="Times New Roman" w:eastAsia="Times New Roman" w:hAnsi="Times New Roman" w:cs="Times New Roman"/>
          <w:b/>
          <w:sz w:val="24"/>
          <w:szCs w:val="24"/>
          <w:lang w:eastAsia="pt-BR"/>
        </w:rPr>
        <w:t>CPC 32</w:t>
      </w:r>
      <w:r w:rsidRPr="00F247CC">
        <w:rPr>
          <w:rFonts w:ascii="Times New Roman" w:eastAsia="Times New Roman" w:hAnsi="Times New Roman" w:cs="Times New Roman"/>
          <w:b/>
          <w:sz w:val="24"/>
          <w:szCs w:val="24"/>
          <w:lang w:eastAsia="pt-BR"/>
        </w:rPr>
        <w:t>, CPC 3</w:t>
      </w:r>
      <w:r w:rsidR="001036F5">
        <w:rPr>
          <w:rFonts w:ascii="Times New Roman" w:eastAsia="Times New Roman" w:hAnsi="Times New Roman" w:cs="Times New Roman"/>
          <w:b/>
          <w:sz w:val="24"/>
          <w:szCs w:val="24"/>
          <w:lang w:eastAsia="pt-BR"/>
        </w:rPr>
        <w:t>3 (R1)</w:t>
      </w:r>
      <w:r w:rsidRPr="00F247CC">
        <w:rPr>
          <w:rFonts w:ascii="Times New Roman" w:eastAsia="Times New Roman" w:hAnsi="Times New Roman" w:cs="Times New Roman"/>
          <w:b/>
          <w:sz w:val="24"/>
          <w:szCs w:val="24"/>
          <w:lang w:eastAsia="pt-BR"/>
        </w:rPr>
        <w:t>, CPC 37 (R1), CPC 39, CPC 40 (R1), CPC 4</w:t>
      </w:r>
      <w:r w:rsidR="001036F5">
        <w:rPr>
          <w:rFonts w:ascii="Times New Roman" w:eastAsia="Times New Roman" w:hAnsi="Times New Roman" w:cs="Times New Roman"/>
          <w:b/>
          <w:sz w:val="24"/>
          <w:szCs w:val="24"/>
          <w:lang w:eastAsia="pt-BR"/>
        </w:rPr>
        <w:t>7</w:t>
      </w:r>
      <w:r w:rsidRPr="00F247CC">
        <w:rPr>
          <w:rFonts w:ascii="Times New Roman" w:eastAsia="Times New Roman" w:hAnsi="Times New Roman" w:cs="Times New Roman"/>
          <w:b/>
          <w:sz w:val="24"/>
          <w:szCs w:val="24"/>
          <w:lang w:eastAsia="pt-BR"/>
        </w:rPr>
        <w:t>, CPC 4</w:t>
      </w:r>
      <w:r w:rsidR="001036F5">
        <w:rPr>
          <w:rFonts w:ascii="Times New Roman" w:eastAsia="Times New Roman" w:hAnsi="Times New Roman" w:cs="Times New Roman"/>
          <w:b/>
          <w:sz w:val="24"/>
          <w:szCs w:val="24"/>
          <w:lang w:eastAsia="pt-BR"/>
        </w:rPr>
        <w:t>8</w:t>
      </w:r>
      <w:r w:rsidRPr="00F247CC">
        <w:rPr>
          <w:rFonts w:ascii="Times New Roman" w:eastAsia="Times New Roman" w:hAnsi="Times New Roman" w:cs="Times New Roman"/>
          <w:b/>
          <w:sz w:val="24"/>
          <w:szCs w:val="24"/>
          <w:lang w:eastAsia="pt-BR"/>
        </w:rPr>
        <w:t>, ICPC 01 (R1)</w:t>
      </w:r>
      <w:r w:rsidR="001036F5">
        <w:rPr>
          <w:rFonts w:ascii="Times New Roman" w:eastAsia="Times New Roman" w:hAnsi="Times New Roman" w:cs="Times New Roman"/>
          <w:b/>
          <w:sz w:val="24"/>
          <w:szCs w:val="24"/>
          <w:lang w:eastAsia="pt-BR"/>
        </w:rPr>
        <w:t xml:space="preserve"> e</w:t>
      </w:r>
      <w:r w:rsidRPr="00F247CC">
        <w:rPr>
          <w:rFonts w:ascii="Times New Roman" w:eastAsia="Times New Roman" w:hAnsi="Times New Roman" w:cs="Times New Roman"/>
          <w:b/>
          <w:sz w:val="24"/>
          <w:szCs w:val="24"/>
          <w:lang w:eastAsia="pt-BR"/>
        </w:rPr>
        <w:t xml:space="preserve"> ICPC</w:t>
      </w:r>
      <w:r w:rsidR="001036F5">
        <w:rPr>
          <w:rFonts w:ascii="Times New Roman" w:eastAsia="Times New Roman" w:hAnsi="Times New Roman" w:cs="Times New Roman"/>
          <w:b/>
          <w:sz w:val="24"/>
          <w:szCs w:val="24"/>
          <w:lang w:eastAsia="pt-BR"/>
        </w:rPr>
        <w:t xml:space="preserve"> </w:t>
      </w:r>
      <w:r w:rsidRPr="00F247CC">
        <w:rPr>
          <w:rFonts w:ascii="Times New Roman" w:eastAsia="Times New Roman" w:hAnsi="Times New Roman" w:cs="Times New Roman"/>
          <w:b/>
          <w:sz w:val="24"/>
          <w:szCs w:val="24"/>
          <w:lang w:eastAsia="pt-BR"/>
        </w:rPr>
        <w:t>1</w:t>
      </w:r>
      <w:r w:rsidR="001036F5">
        <w:rPr>
          <w:rFonts w:ascii="Times New Roman" w:eastAsia="Times New Roman" w:hAnsi="Times New Roman" w:cs="Times New Roman"/>
          <w:b/>
          <w:sz w:val="24"/>
          <w:szCs w:val="24"/>
          <w:lang w:eastAsia="pt-BR"/>
        </w:rPr>
        <w:t>2</w:t>
      </w:r>
      <w:r w:rsidRPr="00F247CC">
        <w:rPr>
          <w:rFonts w:ascii="Times New Roman" w:eastAsia="Times New Roman" w:hAnsi="Times New Roman" w:cs="Times New Roman"/>
          <w:b/>
          <w:sz w:val="24"/>
          <w:szCs w:val="24"/>
          <w:lang w:eastAsia="pt-BR"/>
        </w:rPr>
        <w:t>.</w:t>
      </w:r>
    </w:p>
    <w:p w:rsidR="00F247CC" w:rsidRPr="00F247CC" w:rsidRDefault="00F247CC" w:rsidP="00F247CC">
      <w:pPr>
        <w:spacing w:after="0" w:line="240" w:lineRule="auto"/>
        <w:ind w:right="2"/>
        <w:jc w:val="both"/>
        <w:rPr>
          <w:rFonts w:ascii="Times New Roman" w:eastAsia="Times New Roman" w:hAnsi="Times New Roman" w:cs="Times New Roman"/>
          <w:b/>
          <w:sz w:val="24"/>
          <w:szCs w:val="24"/>
          <w:lang w:eastAsia="pt-BR"/>
        </w:rPr>
      </w:pPr>
    </w:p>
    <w:p w:rsidR="00B610EF" w:rsidRDefault="00B610EF" w:rsidP="00F247CC">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651011" w:rsidRDefault="00F247CC">
      <w:pPr>
        <w:spacing w:after="0" w:line="240" w:lineRule="auto"/>
        <w:jc w:val="both"/>
        <w:rPr>
          <w:rFonts w:ascii="Times New Roman" w:eastAsia="Times New Roman" w:hAnsi="Times New Roman" w:cs="Times New Roman"/>
          <w:sz w:val="24"/>
          <w:szCs w:val="24"/>
          <w:lang w:eastAsia="pt-BR"/>
        </w:rPr>
      </w:pPr>
      <w:r w:rsidRPr="00F247CC">
        <w:rPr>
          <w:rFonts w:ascii="Times New Roman" w:eastAsia="Times New Roman" w:hAnsi="Times New Roman" w:cs="Times New Roman"/>
          <w:sz w:val="24"/>
          <w:szCs w:val="24"/>
          <w:lang w:eastAsia="pt-BR"/>
        </w:rPr>
        <w:t xml:space="preserve">Este documento estabelece alterações em diversos Pronunciamentos </w:t>
      </w:r>
      <w:r w:rsidR="005F0AF1">
        <w:rPr>
          <w:rFonts w:ascii="Times New Roman" w:eastAsia="Times New Roman" w:hAnsi="Times New Roman" w:cs="Times New Roman"/>
          <w:sz w:val="24"/>
          <w:szCs w:val="24"/>
          <w:lang w:eastAsia="pt-BR"/>
        </w:rPr>
        <w:t xml:space="preserve">e Interpretações </w:t>
      </w:r>
      <w:r w:rsidRPr="00F247CC">
        <w:rPr>
          <w:rFonts w:ascii="Times New Roman" w:eastAsia="Times New Roman" w:hAnsi="Times New Roman" w:cs="Times New Roman"/>
          <w:sz w:val="24"/>
          <w:szCs w:val="24"/>
          <w:lang w:eastAsia="pt-BR"/>
        </w:rPr>
        <w:t xml:space="preserve">Técnicos em decorrência da edição do CPC </w:t>
      </w:r>
      <w:r>
        <w:rPr>
          <w:rFonts w:ascii="Times New Roman" w:eastAsia="Times New Roman" w:hAnsi="Times New Roman" w:cs="Times New Roman"/>
          <w:sz w:val="24"/>
          <w:szCs w:val="24"/>
          <w:lang w:eastAsia="pt-BR"/>
        </w:rPr>
        <w:t>06 (R2)</w:t>
      </w:r>
      <w:r w:rsidR="005F0AF1">
        <w:rPr>
          <w:rFonts w:ascii="Times New Roman" w:eastAsia="Times New Roman" w:hAnsi="Times New Roman" w:cs="Times New Roman"/>
          <w:sz w:val="24"/>
          <w:szCs w:val="24"/>
          <w:lang w:eastAsia="pt-BR"/>
        </w:rPr>
        <w:t>;</w:t>
      </w:r>
      <w:r w:rsidRPr="00F247CC">
        <w:rPr>
          <w:rFonts w:ascii="Times New Roman" w:eastAsia="Times New Roman" w:hAnsi="Times New Roman" w:cs="Times New Roman"/>
          <w:sz w:val="24"/>
          <w:szCs w:val="24"/>
          <w:lang w:eastAsia="pt-BR"/>
        </w:rPr>
        <w:t xml:space="preserve"> </w:t>
      </w:r>
      <w:r w:rsidR="00FE64DF">
        <w:rPr>
          <w:rFonts w:ascii="Times New Roman" w:eastAsia="Times New Roman" w:hAnsi="Times New Roman" w:cs="Times New Roman"/>
          <w:sz w:val="24"/>
          <w:szCs w:val="24"/>
          <w:lang w:eastAsia="pt-BR"/>
        </w:rPr>
        <w:t xml:space="preserve">alterações anuais relativas ao </w:t>
      </w:r>
      <w:r w:rsidR="00451437">
        <w:rPr>
          <w:rFonts w:ascii="Times New Roman" w:eastAsia="Times New Roman" w:hAnsi="Times New Roman" w:cs="Times New Roman"/>
          <w:sz w:val="24"/>
          <w:szCs w:val="24"/>
          <w:lang w:eastAsia="pt-BR"/>
        </w:rPr>
        <w:t xml:space="preserve">ciclo de melhorias </w:t>
      </w:r>
      <w:r w:rsidR="00FE64DF">
        <w:rPr>
          <w:rFonts w:ascii="Times New Roman" w:eastAsia="Times New Roman" w:hAnsi="Times New Roman" w:cs="Times New Roman"/>
          <w:sz w:val="24"/>
          <w:szCs w:val="24"/>
          <w:lang w:eastAsia="pt-BR"/>
        </w:rPr>
        <w:t>2015-2017</w:t>
      </w:r>
      <w:r w:rsidR="005F0AF1">
        <w:rPr>
          <w:rFonts w:ascii="Times New Roman" w:eastAsia="Times New Roman" w:hAnsi="Times New Roman" w:cs="Times New Roman"/>
          <w:sz w:val="24"/>
          <w:szCs w:val="24"/>
          <w:lang w:eastAsia="pt-BR"/>
        </w:rPr>
        <w:t>;</w:t>
      </w:r>
      <w:r w:rsidR="00FE64DF">
        <w:rPr>
          <w:rFonts w:ascii="Times New Roman" w:eastAsia="Times New Roman" w:hAnsi="Times New Roman" w:cs="Times New Roman"/>
          <w:sz w:val="24"/>
          <w:szCs w:val="24"/>
          <w:lang w:eastAsia="pt-BR"/>
        </w:rPr>
        <w:t xml:space="preserve"> </w:t>
      </w:r>
      <w:r w:rsidR="00451437" w:rsidRPr="00BD3040">
        <w:rPr>
          <w:rFonts w:ascii="Times New Roman" w:eastAsia="Times New Roman" w:hAnsi="Times New Roman" w:cs="Times New Roman"/>
          <w:sz w:val="24"/>
          <w:szCs w:val="24"/>
          <w:lang w:eastAsia="pt-BR"/>
        </w:rPr>
        <w:t>t</w:t>
      </w:r>
      <w:r w:rsidR="00451437" w:rsidRPr="00BD3040">
        <w:rPr>
          <w:rFonts w:ascii="Times New Roman" w:eastAsia="Times New Roman" w:hAnsi="Times New Roman" w:cs="Times New Roman"/>
          <w:sz w:val="24"/>
          <w:lang w:eastAsia="pt-BR"/>
        </w:rPr>
        <w:t xml:space="preserve">ransição para recursos de pagamento antecipado com compensação negativa; </w:t>
      </w:r>
      <w:r w:rsidR="00FE64DF" w:rsidRPr="00BD3040">
        <w:rPr>
          <w:rFonts w:ascii="Times New Roman" w:eastAsia="Times New Roman" w:hAnsi="Times New Roman" w:cs="Times New Roman"/>
          <w:sz w:val="24"/>
          <w:lang w:eastAsia="pt-BR"/>
        </w:rPr>
        <w:t>participações em lon</w:t>
      </w:r>
      <w:r w:rsidR="00FE64DF" w:rsidRPr="00A73355">
        <w:rPr>
          <w:rFonts w:ascii="Times New Roman" w:eastAsia="Times New Roman" w:hAnsi="Times New Roman" w:cs="Times New Roman"/>
          <w:sz w:val="24"/>
          <w:lang w:eastAsia="pt-BR"/>
        </w:rPr>
        <w:t xml:space="preserve">go prazo em coligada, em controlada </w:t>
      </w:r>
      <w:r w:rsidR="00FE64DF">
        <w:rPr>
          <w:rFonts w:ascii="Times New Roman" w:eastAsia="Times New Roman" w:hAnsi="Times New Roman" w:cs="Times New Roman"/>
          <w:sz w:val="24"/>
          <w:lang w:eastAsia="pt-BR"/>
        </w:rPr>
        <w:t>e</w:t>
      </w:r>
      <w:r w:rsidR="00FE64DF" w:rsidRPr="00A73355">
        <w:rPr>
          <w:rFonts w:ascii="Times New Roman" w:eastAsia="Times New Roman" w:hAnsi="Times New Roman" w:cs="Times New Roman"/>
          <w:sz w:val="24"/>
          <w:lang w:eastAsia="pt-BR"/>
        </w:rPr>
        <w:t xml:space="preserve"> em empreendimento controlado em conjunto</w:t>
      </w:r>
      <w:r w:rsidR="005F0AF1">
        <w:rPr>
          <w:rFonts w:ascii="Times New Roman" w:eastAsia="Times New Roman" w:hAnsi="Times New Roman" w:cs="Times New Roman"/>
          <w:sz w:val="24"/>
          <w:lang w:eastAsia="pt-BR"/>
        </w:rPr>
        <w:t>;</w:t>
      </w:r>
      <w:r w:rsidR="004423DB">
        <w:rPr>
          <w:rFonts w:ascii="Times New Roman" w:eastAsia="Times New Roman" w:hAnsi="Times New Roman" w:cs="Times New Roman"/>
          <w:sz w:val="24"/>
          <w:lang w:eastAsia="pt-BR"/>
        </w:rPr>
        <w:t xml:space="preserve"> e modificações no CPC 33 (R1) em decorrência de </w:t>
      </w:r>
      <w:r w:rsidR="004423DB" w:rsidRPr="004423DB">
        <w:rPr>
          <w:rFonts w:ascii="Times New Roman" w:hAnsi="Times New Roman" w:cs="Times New Roman"/>
          <w:sz w:val="24"/>
          <w:szCs w:val="24"/>
        </w:rPr>
        <w:t>alteração, redução ou liquidação d</w:t>
      </w:r>
      <w:r w:rsidR="005F0AF1">
        <w:rPr>
          <w:rFonts w:ascii="Times New Roman" w:hAnsi="Times New Roman" w:cs="Times New Roman"/>
          <w:sz w:val="24"/>
          <w:szCs w:val="24"/>
        </w:rPr>
        <w:t>e</w:t>
      </w:r>
      <w:r w:rsidR="004423DB" w:rsidRPr="004423DB">
        <w:rPr>
          <w:rFonts w:ascii="Times New Roman" w:hAnsi="Times New Roman" w:cs="Times New Roman"/>
          <w:sz w:val="24"/>
          <w:szCs w:val="24"/>
        </w:rPr>
        <w:t xml:space="preserve"> plano</w:t>
      </w:r>
      <w:r w:rsidRPr="00F247CC">
        <w:rPr>
          <w:rFonts w:ascii="Times New Roman" w:eastAsia="Times New Roman" w:hAnsi="Times New Roman" w:cs="Times New Roman"/>
          <w:bCs/>
          <w:sz w:val="24"/>
          <w:szCs w:val="24"/>
          <w:lang w:eastAsia="pt-BR"/>
        </w:rPr>
        <w:t xml:space="preserve">, para vigência </w:t>
      </w:r>
      <w:r w:rsidRPr="00F247CC">
        <w:rPr>
          <w:rFonts w:ascii="Times New Roman" w:eastAsia="Times New Roman" w:hAnsi="Times New Roman" w:cs="Times New Roman"/>
          <w:sz w:val="24"/>
          <w:szCs w:val="24"/>
          <w:lang w:eastAsia="pt-BR"/>
        </w:rPr>
        <w:t>a partir de 1º de janeiro de 201</w:t>
      </w:r>
      <w:r w:rsidR="00FE64DF">
        <w:rPr>
          <w:rFonts w:ascii="Times New Roman" w:eastAsia="Times New Roman" w:hAnsi="Times New Roman" w:cs="Times New Roman"/>
          <w:sz w:val="24"/>
          <w:szCs w:val="24"/>
          <w:lang w:eastAsia="pt-BR"/>
        </w:rPr>
        <w:t>9</w:t>
      </w:r>
      <w:r w:rsidRPr="00F247CC">
        <w:rPr>
          <w:rFonts w:ascii="Times New Roman" w:eastAsia="Times New Roman" w:hAnsi="Times New Roman" w:cs="Times New Roman"/>
          <w:sz w:val="24"/>
          <w:szCs w:val="24"/>
          <w:lang w:eastAsia="pt-BR"/>
        </w:rPr>
        <w:t>.</w:t>
      </w:r>
    </w:p>
    <w:p w:rsidR="00F247CC" w:rsidRPr="00A2302E" w:rsidRDefault="00F247CC" w:rsidP="001F5B06">
      <w:pPr>
        <w:spacing w:after="0" w:line="240" w:lineRule="auto"/>
        <w:rPr>
          <w:rFonts w:ascii="Times New Roman" w:eastAsia="Times New Roman" w:hAnsi="Times New Roman" w:cs="Times New Roman"/>
          <w:b/>
          <w:sz w:val="24"/>
          <w:lang w:eastAsia="pt-BR"/>
        </w:rPr>
      </w:pPr>
    </w:p>
    <w:p w:rsidR="00B40AA6" w:rsidRPr="00A2302E" w:rsidRDefault="00B40AA6" w:rsidP="001F5B06">
      <w:pPr>
        <w:spacing w:after="0" w:line="240" w:lineRule="auto"/>
        <w:rPr>
          <w:rFonts w:ascii="Times New Roman" w:eastAsia="Times New Roman" w:hAnsi="Times New Roman" w:cs="Times New Roman"/>
          <w:b/>
          <w:sz w:val="24"/>
          <w:lang w:eastAsia="pt-BR"/>
        </w:rPr>
      </w:pPr>
    </w:p>
    <w:p w:rsidR="001F7207" w:rsidRPr="001F7207" w:rsidRDefault="001F7207" w:rsidP="001F7207">
      <w:pPr>
        <w:spacing w:after="0" w:line="240" w:lineRule="auto"/>
        <w:jc w:val="both"/>
        <w:rPr>
          <w:rFonts w:ascii="Times New Roman" w:hAnsi="Times New Roman" w:cs="Times New Roman"/>
          <w:sz w:val="24"/>
          <w:szCs w:val="24"/>
        </w:rPr>
      </w:pPr>
      <w:r w:rsidRPr="001F7207">
        <w:rPr>
          <w:rFonts w:ascii="Times New Roman" w:hAnsi="Times New Roman" w:cs="Times New Roman"/>
          <w:b/>
          <w:sz w:val="24"/>
          <w:szCs w:val="24"/>
        </w:rPr>
        <w:t xml:space="preserve">1. </w:t>
      </w:r>
      <w:r w:rsidRPr="001F7207">
        <w:rPr>
          <w:rFonts w:ascii="Times New Roman" w:hAnsi="Times New Roman" w:cs="Times New Roman"/>
          <w:b/>
          <w:sz w:val="24"/>
          <w:szCs w:val="24"/>
        </w:rPr>
        <w:tab/>
        <w:t>Altera o item 16 no CPC 02 (R2) – Efeitos das Mudanças nas Taxas de Câmbio e Conversão de Demonstrações Contábeis, que passa a vigorar com a seguinte redação:</w:t>
      </w:r>
    </w:p>
    <w:p w:rsidR="001F7207" w:rsidRPr="001F7207" w:rsidRDefault="001F7207" w:rsidP="001F7207">
      <w:pPr>
        <w:spacing w:after="0" w:line="240" w:lineRule="auto"/>
        <w:jc w:val="both"/>
        <w:rPr>
          <w:rFonts w:ascii="Times New Roman" w:hAnsi="Times New Roman" w:cs="Times New Roman"/>
          <w:sz w:val="24"/>
          <w:szCs w:val="24"/>
        </w:rPr>
      </w:pPr>
    </w:p>
    <w:p w:rsidR="001F7207" w:rsidRPr="001F7207" w:rsidRDefault="001F7207" w:rsidP="001F7207">
      <w:pPr>
        <w:spacing w:after="0" w:line="240" w:lineRule="auto"/>
        <w:jc w:val="both"/>
        <w:rPr>
          <w:rFonts w:ascii="Times New Roman" w:hAnsi="Times New Roman" w:cs="Times New Roman"/>
          <w:sz w:val="24"/>
          <w:szCs w:val="24"/>
        </w:rPr>
      </w:pPr>
      <w:r w:rsidRPr="001F7207">
        <w:rPr>
          <w:rFonts w:ascii="Times New Roman" w:hAnsi="Times New Roman" w:cs="Times New Roman"/>
          <w:sz w:val="24"/>
          <w:szCs w:val="24"/>
        </w:rPr>
        <w:t xml:space="preserve">16. </w:t>
      </w:r>
      <w:r w:rsidRPr="001F7207">
        <w:rPr>
          <w:rFonts w:ascii="Times New Roman" w:hAnsi="Times New Roman" w:cs="Times New Roman"/>
          <w:sz w:val="24"/>
          <w:szCs w:val="24"/>
        </w:rPr>
        <w:tab/>
        <w:t xml:space="preserve">A característica essencial de item monetário é o direito a receber (ou a obrigação de entregar) um número fixo ou determinável de unidades de moeda. Alguns exemplos incluem: passivos de planos de pensão ou outros benefícios a empregados a serem pagos com caixa; provisões que devem ser liquidadas em caixa; </w:t>
      </w:r>
      <w:r w:rsidR="003E4337" w:rsidRPr="003E4337">
        <w:rPr>
          <w:rFonts w:ascii="Times New Roman" w:hAnsi="Times New Roman" w:cs="Times New Roman"/>
          <w:sz w:val="24"/>
          <w:szCs w:val="24"/>
          <w:u w:val="single"/>
        </w:rPr>
        <w:t>passivos de arrendamento;</w:t>
      </w:r>
      <w:r w:rsidRPr="001F7207">
        <w:rPr>
          <w:rFonts w:ascii="Times New Roman" w:hAnsi="Times New Roman" w:cs="Times New Roman"/>
          <w:sz w:val="24"/>
          <w:szCs w:val="24"/>
        </w:rPr>
        <w:t xml:space="preserve"> e dividendos a serem distribuídos com caixa, que são reconhecidos como passivos. Da mesma forma, o contrato que preveja o direito a receber (ou a obrigação de entregar) um número variável de instrumentos patrimoniais da própria entidade ou uma quantidade variável de ativos, cujo valor justo a ser recebido (ou a ser entregue) iguala-se a</w:t>
      </w:r>
      <w:r w:rsidR="00373ADA">
        <w:rPr>
          <w:rFonts w:ascii="Times New Roman" w:hAnsi="Times New Roman" w:cs="Times New Roman"/>
          <w:sz w:val="24"/>
          <w:szCs w:val="24"/>
        </w:rPr>
        <w:t>o</w:t>
      </w:r>
      <w:r w:rsidRPr="001F7207">
        <w:rPr>
          <w:rFonts w:ascii="Times New Roman" w:hAnsi="Times New Roman" w:cs="Times New Roman"/>
          <w:sz w:val="24"/>
          <w:szCs w:val="24"/>
        </w:rPr>
        <w:t xml:space="preserve"> número fixo ou determinável de unidades de moeda, é considerado item monetário. Por outro lado, a característica essencial de item não monetário é a ausência do direito a receber (ou da obrigação de entregar) um número fixo ou determinável de unidades de moeda. Alguns exemplos incluem: adiantamento a fornecedores de mercadorias; adiantamento a prestadores de </w:t>
      </w:r>
      <w:r w:rsidR="003A600B">
        <w:rPr>
          <w:rFonts w:ascii="Times New Roman" w:hAnsi="Times New Roman" w:cs="Times New Roman"/>
          <w:sz w:val="24"/>
          <w:szCs w:val="24"/>
        </w:rPr>
        <w:t xml:space="preserve">serviços; </w:t>
      </w:r>
      <w:proofErr w:type="spellStart"/>
      <w:r w:rsidR="00E225A3" w:rsidRPr="00E225A3">
        <w:rPr>
          <w:rFonts w:ascii="Times New Roman" w:hAnsi="Times New Roman" w:cs="Times New Roman"/>
          <w:i/>
          <w:sz w:val="24"/>
          <w:szCs w:val="24"/>
        </w:rPr>
        <w:t>goodwill</w:t>
      </w:r>
      <w:proofErr w:type="spellEnd"/>
      <w:r w:rsidRPr="001F7207">
        <w:rPr>
          <w:rFonts w:ascii="Times New Roman" w:hAnsi="Times New Roman" w:cs="Times New Roman"/>
          <w:sz w:val="24"/>
          <w:szCs w:val="24"/>
        </w:rPr>
        <w:t xml:space="preserve">; ativos intangíveis; estoques; imobilizado; </w:t>
      </w:r>
      <w:r w:rsidR="003E4337" w:rsidRPr="003E4337">
        <w:rPr>
          <w:rFonts w:ascii="Times New Roman" w:hAnsi="Times New Roman" w:cs="Times New Roman"/>
          <w:sz w:val="24"/>
          <w:szCs w:val="24"/>
          <w:u w:val="single"/>
        </w:rPr>
        <w:t xml:space="preserve">ativo de direito de uso; </w:t>
      </w:r>
      <w:r w:rsidRPr="001F7207">
        <w:rPr>
          <w:rFonts w:ascii="Times New Roman" w:hAnsi="Times New Roman" w:cs="Times New Roman"/>
          <w:sz w:val="24"/>
          <w:szCs w:val="24"/>
        </w:rPr>
        <w:t>e provisões a serem liquidadas mediante a entrega de ativo não monetário.</w:t>
      </w:r>
    </w:p>
    <w:p w:rsidR="001F7207" w:rsidRDefault="001F7207" w:rsidP="001F7207">
      <w:pPr>
        <w:spacing w:after="0" w:line="240" w:lineRule="auto"/>
        <w:jc w:val="both"/>
        <w:rPr>
          <w:rFonts w:ascii="Times New Roman" w:hAnsi="Times New Roman" w:cs="Times New Roman"/>
          <w:sz w:val="24"/>
          <w:szCs w:val="24"/>
        </w:rPr>
      </w:pPr>
    </w:p>
    <w:p w:rsidR="001F7207" w:rsidRPr="001F7207" w:rsidRDefault="001F7207" w:rsidP="001F7207">
      <w:pPr>
        <w:spacing w:after="0" w:line="240" w:lineRule="auto"/>
        <w:jc w:val="both"/>
        <w:rPr>
          <w:rFonts w:ascii="Times New Roman" w:hAnsi="Times New Roman" w:cs="Times New Roman"/>
          <w:sz w:val="24"/>
          <w:szCs w:val="24"/>
        </w:rPr>
      </w:pPr>
    </w:p>
    <w:p w:rsidR="001F7207" w:rsidRPr="001F7207" w:rsidRDefault="001F7207" w:rsidP="001F7207">
      <w:pPr>
        <w:spacing w:after="0" w:line="240" w:lineRule="auto"/>
        <w:jc w:val="both"/>
        <w:rPr>
          <w:rFonts w:ascii="Times New Roman" w:hAnsi="Times New Roman" w:cs="Times New Roman"/>
          <w:b/>
          <w:sz w:val="24"/>
          <w:szCs w:val="24"/>
        </w:rPr>
      </w:pPr>
      <w:r w:rsidRPr="001F7207">
        <w:rPr>
          <w:rFonts w:ascii="Times New Roman" w:hAnsi="Times New Roman" w:cs="Times New Roman"/>
          <w:b/>
          <w:sz w:val="24"/>
          <w:szCs w:val="24"/>
        </w:rPr>
        <w:t xml:space="preserve">2. </w:t>
      </w:r>
      <w:r w:rsidRPr="001F7207">
        <w:rPr>
          <w:rFonts w:ascii="Times New Roman" w:hAnsi="Times New Roman" w:cs="Times New Roman"/>
          <w:b/>
          <w:sz w:val="24"/>
          <w:szCs w:val="24"/>
        </w:rPr>
        <w:tab/>
        <w:t>Altera os itens 17 e 44 no CPC 03 (R2) – Demonstração dos Fluxos de Caixa, que passam a vigorar com as seguintes redações:</w:t>
      </w:r>
    </w:p>
    <w:p w:rsidR="001F7207" w:rsidRPr="001F7207" w:rsidRDefault="001F7207" w:rsidP="001F7207">
      <w:pPr>
        <w:spacing w:after="0" w:line="240" w:lineRule="auto"/>
        <w:jc w:val="both"/>
        <w:rPr>
          <w:rFonts w:ascii="Times New Roman" w:hAnsi="Times New Roman" w:cs="Times New Roman"/>
          <w:sz w:val="24"/>
          <w:szCs w:val="24"/>
        </w:rPr>
      </w:pPr>
    </w:p>
    <w:p w:rsidR="001F7207" w:rsidRPr="001F7207" w:rsidRDefault="001F7207" w:rsidP="001F7207">
      <w:pPr>
        <w:spacing w:after="0" w:line="240" w:lineRule="auto"/>
        <w:jc w:val="both"/>
        <w:rPr>
          <w:rFonts w:ascii="Times New Roman" w:hAnsi="Times New Roman" w:cs="Times New Roman"/>
          <w:sz w:val="24"/>
          <w:szCs w:val="24"/>
        </w:rPr>
      </w:pPr>
      <w:r w:rsidRPr="001F7207">
        <w:rPr>
          <w:rFonts w:ascii="Times New Roman" w:hAnsi="Times New Roman" w:cs="Times New Roman"/>
          <w:sz w:val="24"/>
          <w:szCs w:val="24"/>
        </w:rPr>
        <w:t xml:space="preserve">17. </w:t>
      </w:r>
      <w:r w:rsidRPr="001F7207">
        <w:rPr>
          <w:rFonts w:ascii="Times New Roman" w:hAnsi="Times New Roman" w:cs="Times New Roman"/>
          <w:sz w:val="24"/>
          <w:szCs w:val="24"/>
        </w:rPr>
        <w:tab/>
        <w:t>A divulgação separada dos fluxos de caixa advindos das atividades de financiamento é importante por ser útil na predição de exigências de fluxos futuros de caixa por parte de fornecedores de capital à entidade. Exemplos de fluxos de caixa advindos das atividades de financiamento são:</w:t>
      </w:r>
    </w:p>
    <w:p w:rsidR="001F7207" w:rsidRPr="001F7207" w:rsidRDefault="001F7207" w:rsidP="001F7207">
      <w:pPr>
        <w:spacing w:after="0" w:line="240" w:lineRule="auto"/>
        <w:jc w:val="both"/>
        <w:rPr>
          <w:rFonts w:ascii="Times New Roman" w:hAnsi="Times New Roman" w:cs="Times New Roman"/>
          <w:sz w:val="24"/>
          <w:szCs w:val="24"/>
        </w:rPr>
      </w:pPr>
      <w:r w:rsidRPr="001F7207">
        <w:rPr>
          <w:rFonts w:ascii="Times New Roman" w:hAnsi="Times New Roman" w:cs="Times New Roman"/>
          <w:sz w:val="24"/>
          <w:szCs w:val="24"/>
        </w:rPr>
        <w:t>(a) (...)</w:t>
      </w:r>
    </w:p>
    <w:p w:rsidR="001F7207" w:rsidRPr="001F7207" w:rsidRDefault="001F7207" w:rsidP="001F7207">
      <w:pPr>
        <w:spacing w:after="0" w:line="240" w:lineRule="auto"/>
        <w:jc w:val="both"/>
        <w:rPr>
          <w:rFonts w:ascii="Times New Roman" w:hAnsi="Times New Roman" w:cs="Times New Roman"/>
          <w:sz w:val="24"/>
          <w:szCs w:val="24"/>
        </w:rPr>
      </w:pPr>
      <w:r w:rsidRPr="001F7207">
        <w:rPr>
          <w:rFonts w:ascii="Times New Roman" w:hAnsi="Times New Roman" w:cs="Times New Roman"/>
          <w:sz w:val="24"/>
          <w:szCs w:val="24"/>
        </w:rPr>
        <w:t>(e)</w:t>
      </w:r>
      <w:r w:rsidRPr="001F7207">
        <w:rPr>
          <w:rFonts w:ascii="Times New Roman" w:hAnsi="Times New Roman" w:cs="Times New Roman"/>
          <w:sz w:val="24"/>
          <w:szCs w:val="24"/>
        </w:rPr>
        <w:tab/>
        <w:t>pagamentos em caixa pelo arrendatário para redução do passivo relativo a arrendamento mercantil.</w:t>
      </w:r>
    </w:p>
    <w:p w:rsidR="001F7207" w:rsidRPr="001F7207" w:rsidRDefault="001F7207" w:rsidP="001F7207">
      <w:pPr>
        <w:spacing w:after="0" w:line="240" w:lineRule="auto"/>
        <w:jc w:val="both"/>
        <w:rPr>
          <w:rFonts w:ascii="Times New Roman" w:hAnsi="Times New Roman" w:cs="Times New Roman"/>
          <w:sz w:val="24"/>
          <w:szCs w:val="24"/>
        </w:rPr>
      </w:pPr>
    </w:p>
    <w:p w:rsidR="001F7207" w:rsidRPr="001F7207" w:rsidRDefault="001F7207" w:rsidP="001F7207">
      <w:pPr>
        <w:spacing w:after="0" w:line="240" w:lineRule="auto"/>
        <w:jc w:val="both"/>
        <w:rPr>
          <w:rFonts w:ascii="Times New Roman" w:hAnsi="Times New Roman" w:cs="Times New Roman"/>
          <w:sz w:val="24"/>
          <w:szCs w:val="24"/>
        </w:rPr>
      </w:pPr>
      <w:r w:rsidRPr="001F7207">
        <w:rPr>
          <w:rFonts w:ascii="Times New Roman" w:hAnsi="Times New Roman" w:cs="Times New Roman"/>
          <w:sz w:val="24"/>
          <w:szCs w:val="24"/>
        </w:rPr>
        <w:t xml:space="preserve">44. </w:t>
      </w:r>
      <w:r w:rsidRPr="001F7207">
        <w:rPr>
          <w:rFonts w:ascii="Times New Roman" w:hAnsi="Times New Roman" w:cs="Times New Roman"/>
          <w:sz w:val="24"/>
          <w:szCs w:val="24"/>
        </w:rPr>
        <w:tab/>
        <w:t>Muitas atividades de investimento e de financiamento não têm impacto direto sobre os fluxos de caixa correntes, muito embora afetem a estrutura de capital e de ativos da entidade. A exclusão de transações que não envolvem caixa ou equivalentes de caixa da demonstração dos fluxos de caixa é consistente com o objetivo d</w:t>
      </w:r>
      <w:r w:rsidR="00373ADA">
        <w:rPr>
          <w:rFonts w:ascii="Times New Roman" w:hAnsi="Times New Roman" w:cs="Times New Roman"/>
          <w:sz w:val="24"/>
          <w:szCs w:val="24"/>
        </w:rPr>
        <w:t>a</w:t>
      </w:r>
      <w:r w:rsidRPr="001F7207">
        <w:rPr>
          <w:rFonts w:ascii="Times New Roman" w:hAnsi="Times New Roman" w:cs="Times New Roman"/>
          <w:sz w:val="24"/>
          <w:szCs w:val="24"/>
        </w:rPr>
        <w:t xml:space="preserve"> referida demonstração, visto que tais itens não </w:t>
      </w:r>
      <w:r w:rsidRPr="001F7207">
        <w:rPr>
          <w:rFonts w:ascii="Times New Roman" w:hAnsi="Times New Roman" w:cs="Times New Roman"/>
          <w:sz w:val="24"/>
          <w:szCs w:val="24"/>
        </w:rPr>
        <w:lastRenderedPageBreak/>
        <w:t>envolvem fluxos de caixa no período corrente. Exemplos de transações que não envolvem caixa ou equivalente de caixa são:</w:t>
      </w:r>
    </w:p>
    <w:p w:rsidR="001F7207" w:rsidRPr="001F7207" w:rsidRDefault="001F7207" w:rsidP="001F7207">
      <w:pPr>
        <w:spacing w:after="0" w:line="240" w:lineRule="auto"/>
        <w:jc w:val="both"/>
        <w:rPr>
          <w:rFonts w:ascii="Times New Roman" w:hAnsi="Times New Roman" w:cs="Times New Roman"/>
          <w:sz w:val="24"/>
          <w:szCs w:val="24"/>
        </w:rPr>
      </w:pPr>
      <w:r w:rsidRPr="001F7207">
        <w:rPr>
          <w:rFonts w:ascii="Times New Roman" w:hAnsi="Times New Roman" w:cs="Times New Roman"/>
          <w:sz w:val="24"/>
          <w:szCs w:val="24"/>
        </w:rPr>
        <w:t>(a)</w:t>
      </w:r>
      <w:r w:rsidRPr="001F7207">
        <w:rPr>
          <w:rFonts w:ascii="Times New Roman" w:hAnsi="Times New Roman" w:cs="Times New Roman"/>
          <w:sz w:val="24"/>
          <w:szCs w:val="24"/>
        </w:rPr>
        <w:tab/>
        <w:t xml:space="preserve">a aquisição de ativos, quer seja pela assunção direta do passivo respectivo, quer seja por meio de arrendamento </w:t>
      </w:r>
      <w:r w:rsidR="003E4337" w:rsidRPr="003E4337">
        <w:rPr>
          <w:rFonts w:ascii="Times New Roman" w:hAnsi="Times New Roman" w:cs="Times New Roman"/>
          <w:sz w:val="24"/>
          <w:szCs w:val="24"/>
          <w:u w:val="single"/>
        </w:rPr>
        <w:t>mercantil</w:t>
      </w:r>
      <w:r w:rsidRPr="001F7207">
        <w:rPr>
          <w:rFonts w:ascii="Times New Roman" w:hAnsi="Times New Roman" w:cs="Times New Roman"/>
          <w:sz w:val="24"/>
          <w:szCs w:val="24"/>
        </w:rPr>
        <w:t>;</w:t>
      </w:r>
    </w:p>
    <w:p w:rsidR="001F7207" w:rsidRPr="001F7207" w:rsidRDefault="001F7207" w:rsidP="001F7207">
      <w:pPr>
        <w:spacing w:after="0" w:line="240" w:lineRule="auto"/>
        <w:jc w:val="both"/>
        <w:rPr>
          <w:rFonts w:ascii="Times New Roman" w:hAnsi="Times New Roman" w:cs="Times New Roman"/>
          <w:sz w:val="24"/>
          <w:szCs w:val="24"/>
        </w:rPr>
      </w:pPr>
      <w:r w:rsidRPr="001F7207">
        <w:rPr>
          <w:rFonts w:ascii="Times New Roman" w:hAnsi="Times New Roman" w:cs="Times New Roman"/>
          <w:sz w:val="24"/>
          <w:szCs w:val="24"/>
        </w:rPr>
        <w:t>(b) (...)</w:t>
      </w:r>
    </w:p>
    <w:p w:rsidR="001F7207" w:rsidRDefault="001F7207" w:rsidP="001F7207">
      <w:pPr>
        <w:spacing w:after="0" w:line="240" w:lineRule="auto"/>
        <w:jc w:val="both"/>
        <w:rPr>
          <w:rFonts w:ascii="Times New Roman" w:hAnsi="Times New Roman" w:cs="Times New Roman"/>
          <w:sz w:val="24"/>
          <w:szCs w:val="24"/>
        </w:rPr>
      </w:pPr>
    </w:p>
    <w:p w:rsidR="001F7207" w:rsidRPr="001F7207" w:rsidRDefault="001F7207" w:rsidP="001F7207">
      <w:pPr>
        <w:spacing w:after="0" w:line="240" w:lineRule="auto"/>
        <w:jc w:val="both"/>
        <w:rPr>
          <w:rFonts w:ascii="Times New Roman" w:hAnsi="Times New Roman" w:cs="Times New Roman"/>
          <w:sz w:val="24"/>
          <w:szCs w:val="24"/>
        </w:rPr>
      </w:pPr>
    </w:p>
    <w:p w:rsidR="001F7207" w:rsidRPr="001F7207" w:rsidRDefault="001F7207" w:rsidP="001F72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1F7207">
        <w:rPr>
          <w:rFonts w:ascii="Times New Roman" w:hAnsi="Times New Roman" w:cs="Times New Roman"/>
          <w:b/>
          <w:sz w:val="24"/>
          <w:szCs w:val="24"/>
        </w:rPr>
        <w:t xml:space="preserve">. </w:t>
      </w:r>
      <w:r w:rsidRPr="001F7207">
        <w:rPr>
          <w:rFonts w:ascii="Times New Roman" w:hAnsi="Times New Roman" w:cs="Times New Roman"/>
          <w:b/>
          <w:sz w:val="24"/>
          <w:szCs w:val="24"/>
        </w:rPr>
        <w:tab/>
        <w:t>Altera os itens 3 e 6 e, na Interpretação Técnica anexa, o item 6 no CPC 04 (R1) – Ativo Intangível, que passam a vigorar com as seguintes redações:</w:t>
      </w:r>
    </w:p>
    <w:p w:rsidR="001F7207" w:rsidRPr="001F7207" w:rsidRDefault="001F7207" w:rsidP="001F7207">
      <w:pPr>
        <w:spacing w:after="0" w:line="240" w:lineRule="auto"/>
        <w:jc w:val="both"/>
        <w:rPr>
          <w:rFonts w:ascii="Times New Roman" w:hAnsi="Times New Roman" w:cs="Times New Roman"/>
          <w:sz w:val="24"/>
          <w:szCs w:val="24"/>
        </w:rPr>
      </w:pPr>
    </w:p>
    <w:p w:rsidR="001F7207" w:rsidRPr="001F7207" w:rsidRDefault="001F7207" w:rsidP="001F7207">
      <w:pPr>
        <w:spacing w:after="0" w:line="240" w:lineRule="auto"/>
        <w:jc w:val="both"/>
        <w:rPr>
          <w:rFonts w:ascii="Times New Roman" w:hAnsi="Times New Roman" w:cs="Times New Roman"/>
          <w:sz w:val="24"/>
          <w:szCs w:val="24"/>
        </w:rPr>
      </w:pPr>
      <w:r w:rsidRPr="001F7207">
        <w:rPr>
          <w:rFonts w:ascii="Times New Roman" w:hAnsi="Times New Roman" w:cs="Times New Roman"/>
          <w:sz w:val="24"/>
          <w:szCs w:val="24"/>
        </w:rPr>
        <w:t xml:space="preserve">3. </w:t>
      </w:r>
      <w:r w:rsidRPr="001F7207">
        <w:rPr>
          <w:rFonts w:ascii="Times New Roman" w:hAnsi="Times New Roman" w:cs="Times New Roman"/>
          <w:sz w:val="24"/>
          <w:szCs w:val="24"/>
        </w:rPr>
        <w:tab/>
        <w:t>Se outro pronunciamento estabelecer o tratamento contábil para um tipo específico de ativo intangível, a entidade deve aplicar o referido pronunciamento específico em vez deste. Por exemplo, este pronunciamento não deve ser aplicado nos seguintes casos:</w:t>
      </w:r>
    </w:p>
    <w:p w:rsidR="001F7207" w:rsidRPr="001F7207" w:rsidRDefault="001F7207" w:rsidP="001F7207">
      <w:pPr>
        <w:spacing w:after="0" w:line="240" w:lineRule="auto"/>
        <w:jc w:val="both"/>
        <w:rPr>
          <w:rFonts w:ascii="Times New Roman" w:hAnsi="Times New Roman" w:cs="Times New Roman"/>
          <w:sz w:val="24"/>
          <w:szCs w:val="24"/>
        </w:rPr>
      </w:pPr>
      <w:r w:rsidRPr="001F7207">
        <w:rPr>
          <w:rFonts w:ascii="Times New Roman" w:hAnsi="Times New Roman" w:cs="Times New Roman"/>
          <w:sz w:val="24"/>
          <w:szCs w:val="24"/>
        </w:rPr>
        <w:t>(a)  (...)</w:t>
      </w:r>
    </w:p>
    <w:p w:rsidR="001F7207" w:rsidRPr="001F7207" w:rsidRDefault="001F7207" w:rsidP="001F7207">
      <w:pPr>
        <w:spacing w:after="0" w:line="240" w:lineRule="auto"/>
        <w:jc w:val="both"/>
        <w:rPr>
          <w:rFonts w:ascii="Times New Roman" w:hAnsi="Times New Roman" w:cs="Times New Roman"/>
          <w:sz w:val="24"/>
          <w:szCs w:val="24"/>
        </w:rPr>
      </w:pPr>
      <w:r w:rsidRPr="001F7207">
        <w:rPr>
          <w:rFonts w:ascii="Times New Roman" w:hAnsi="Times New Roman" w:cs="Times New Roman"/>
          <w:sz w:val="24"/>
          <w:szCs w:val="24"/>
        </w:rPr>
        <w:t>(c)</w:t>
      </w:r>
      <w:r w:rsidRPr="001F7207">
        <w:rPr>
          <w:rFonts w:ascii="Times New Roman" w:hAnsi="Times New Roman" w:cs="Times New Roman"/>
          <w:sz w:val="24"/>
          <w:szCs w:val="24"/>
        </w:rPr>
        <w:tab/>
        <w:t xml:space="preserve">arrendamentos mercantis </w:t>
      </w:r>
      <w:r w:rsidR="003E4337" w:rsidRPr="003E4337">
        <w:rPr>
          <w:rFonts w:ascii="Times New Roman" w:hAnsi="Times New Roman" w:cs="Times New Roman"/>
          <w:sz w:val="24"/>
          <w:szCs w:val="24"/>
          <w:u w:val="single"/>
        </w:rPr>
        <w:t>de ativo intangível contabilizado</w:t>
      </w:r>
      <w:r w:rsidRPr="001F7207">
        <w:rPr>
          <w:rFonts w:ascii="Times New Roman" w:hAnsi="Times New Roman" w:cs="Times New Roman"/>
          <w:sz w:val="24"/>
          <w:szCs w:val="24"/>
        </w:rPr>
        <w:t xml:space="preserve"> de acordo com </w:t>
      </w:r>
      <w:r w:rsidR="0071447B">
        <w:rPr>
          <w:rFonts w:ascii="Times New Roman" w:hAnsi="Times New Roman" w:cs="Times New Roman"/>
          <w:sz w:val="24"/>
          <w:szCs w:val="24"/>
        </w:rPr>
        <w:t xml:space="preserve">o </w:t>
      </w:r>
      <w:r w:rsidRPr="001F7207">
        <w:rPr>
          <w:rFonts w:ascii="Times New Roman" w:hAnsi="Times New Roman" w:cs="Times New Roman"/>
          <w:sz w:val="24"/>
          <w:szCs w:val="24"/>
        </w:rPr>
        <w:t>CPC 06 – Operações de Arrendamento Mercantil;</w:t>
      </w:r>
    </w:p>
    <w:p w:rsidR="001F7207" w:rsidRPr="001F7207" w:rsidRDefault="001F7207" w:rsidP="001F7207">
      <w:pPr>
        <w:spacing w:after="0" w:line="240" w:lineRule="auto"/>
        <w:jc w:val="both"/>
        <w:rPr>
          <w:rFonts w:ascii="Times New Roman" w:hAnsi="Times New Roman" w:cs="Times New Roman"/>
          <w:sz w:val="24"/>
          <w:szCs w:val="24"/>
        </w:rPr>
      </w:pPr>
      <w:r w:rsidRPr="001F7207">
        <w:rPr>
          <w:rFonts w:ascii="Times New Roman" w:hAnsi="Times New Roman" w:cs="Times New Roman"/>
          <w:sz w:val="24"/>
          <w:szCs w:val="24"/>
        </w:rPr>
        <w:t>(d) (...)</w:t>
      </w:r>
    </w:p>
    <w:p w:rsidR="001F7207" w:rsidRPr="001F7207" w:rsidRDefault="001F7207" w:rsidP="001F7207">
      <w:pPr>
        <w:spacing w:after="0" w:line="240" w:lineRule="auto"/>
        <w:jc w:val="both"/>
        <w:rPr>
          <w:rFonts w:ascii="Times New Roman" w:hAnsi="Times New Roman" w:cs="Times New Roman"/>
          <w:sz w:val="24"/>
          <w:szCs w:val="24"/>
        </w:rPr>
      </w:pPr>
    </w:p>
    <w:p w:rsidR="001F7207" w:rsidRPr="001F7207" w:rsidRDefault="001F7207" w:rsidP="001F7207">
      <w:pPr>
        <w:spacing w:after="0" w:line="240" w:lineRule="auto"/>
        <w:jc w:val="both"/>
        <w:rPr>
          <w:rFonts w:ascii="Times New Roman" w:hAnsi="Times New Roman" w:cs="Times New Roman"/>
          <w:sz w:val="24"/>
          <w:szCs w:val="24"/>
        </w:rPr>
      </w:pPr>
      <w:r w:rsidRPr="001F7207">
        <w:rPr>
          <w:rFonts w:ascii="Times New Roman" w:hAnsi="Times New Roman" w:cs="Times New Roman"/>
          <w:sz w:val="24"/>
          <w:szCs w:val="24"/>
        </w:rPr>
        <w:t xml:space="preserve">6. </w:t>
      </w:r>
      <w:r w:rsidRPr="001F7207">
        <w:rPr>
          <w:rFonts w:ascii="Times New Roman" w:hAnsi="Times New Roman" w:cs="Times New Roman"/>
          <w:sz w:val="24"/>
          <w:szCs w:val="24"/>
        </w:rPr>
        <w:tab/>
        <w:t xml:space="preserve">Direitos detidos por arrendatário por meio de contratos de licenciamento para itens como filmes cinematográficos, gravações em vídeo, peças, manuscritos, patentes e direitos autorais estão </w:t>
      </w:r>
      <w:r w:rsidR="003E4337" w:rsidRPr="003E4337">
        <w:rPr>
          <w:rFonts w:ascii="Times New Roman" w:hAnsi="Times New Roman" w:cs="Times New Roman"/>
          <w:sz w:val="24"/>
          <w:szCs w:val="24"/>
          <w:u w:val="single"/>
        </w:rPr>
        <w:t>dentro do alcance deste pronunciamento e são excluídos</w:t>
      </w:r>
      <w:r w:rsidRPr="001F7207">
        <w:rPr>
          <w:rFonts w:ascii="Times New Roman" w:hAnsi="Times New Roman" w:cs="Times New Roman"/>
          <w:sz w:val="24"/>
          <w:szCs w:val="24"/>
        </w:rPr>
        <w:t xml:space="preserve"> do alcance do CPC 06.</w:t>
      </w:r>
    </w:p>
    <w:p w:rsidR="001F7207" w:rsidRPr="001F7207" w:rsidRDefault="001F7207" w:rsidP="001F7207">
      <w:pPr>
        <w:spacing w:after="0" w:line="240" w:lineRule="auto"/>
        <w:jc w:val="both"/>
        <w:rPr>
          <w:rFonts w:ascii="Times New Roman" w:hAnsi="Times New Roman" w:cs="Times New Roman"/>
          <w:sz w:val="24"/>
          <w:szCs w:val="24"/>
        </w:rPr>
      </w:pPr>
    </w:p>
    <w:p w:rsidR="001F7207" w:rsidRPr="001F7207" w:rsidRDefault="001F7207" w:rsidP="001F7207">
      <w:pPr>
        <w:spacing w:after="0" w:line="240" w:lineRule="auto"/>
        <w:jc w:val="both"/>
        <w:rPr>
          <w:rFonts w:ascii="Times New Roman" w:hAnsi="Times New Roman" w:cs="Times New Roman"/>
          <w:sz w:val="24"/>
          <w:szCs w:val="24"/>
        </w:rPr>
      </w:pPr>
      <w:r w:rsidRPr="001F7207">
        <w:rPr>
          <w:rFonts w:ascii="Times New Roman" w:hAnsi="Times New Roman" w:cs="Times New Roman"/>
          <w:sz w:val="24"/>
          <w:szCs w:val="24"/>
        </w:rPr>
        <w:t xml:space="preserve">6. </w:t>
      </w:r>
      <w:r w:rsidRPr="001F7207">
        <w:rPr>
          <w:rFonts w:ascii="Times New Roman" w:hAnsi="Times New Roman" w:cs="Times New Roman"/>
          <w:sz w:val="24"/>
          <w:szCs w:val="24"/>
        </w:rPr>
        <w:tab/>
        <w:t xml:space="preserve">O CPC 04 – Ativo Intangível não se aplica a ativos intangíveis mantidos pela entidade para venda no curso normal dos negócios (ver CPC 16 e CPC 47), nem a arrendamentos </w:t>
      </w:r>
      <w:r w:rsidR="003E4337" w:rsidRPr="003E4337">
        <w:rPr>
          <w:rFonts w:ascii="Times New Roman" w:hAnsi="Times New Roman" w:cs="Times New Roman"/>
          <w:sz w:val="24"/>
          <w:szCs w:val="24"/>
          <w:u w:val="single"/>
        </w:rPr>
        <w:t>de ativos intangíveis</w:t>
      </w:r>
      <w:r w:rsidRPr="001F7207">
        <w:rPr>
          <w:rFonts w:ascii="Times New Roman" w:hAnsi="Times New Roman" w:cs="Times New Roman"/>
          <w:sz w:val="24"/>
          <w:szCs w:val="24"/>
        </w:rPr>
        <w:t xml:space="preserve"> dentro do alcance do CPC 06. Consequentemente, esta interpretação não deve ser aplicada aos gastos com o desenvolvimento ou à operação de sítio na internet (ou </w:t>
      </w:r>
      <w:r w:rsidR="00E225A3" w:rsidRPr="00E225A3">
        <w:rPr>
          <w:rFonts w:ascii="Times New Roman" w:hAnsi="Times New Roman" w:cs="Times New Roman"/>
          <w:i/>
          <w:sz w:val="24"/>
          <w:szCs w:val="24"/>
        </w:rPr>
        <w:t>software</w:t>
      </w:r>
      <w:r w:rsidRPr="001F7207">
        <w:rPr>
          <w:rFonts w:ascii="Times New Roman" w:hAnsi="Times New Roman" w:cs="Times New Roman"/>
          <w:sz w:val="24"/>
          <w:szCs w:val="24"/>
        </w:rPr>
        <w:t xml:space="preserve"> de sítio na internet) para venda a outra entidade </w:t>
      </w:r>
      <w:r w:rsidR="003E4337" w:rsidRPr="003E4337">
        <w:rPr>
          <w:rFonts w:ascii="Times New Roman" w:hAnsi="Times New Roman" w:cs="Times New Roman"/>
          <w:sz w:val="24"/>
          <w:szCs w:val="24"/>
          <w:u w:val="single"/>
        </w:rPr>
        <w:t>ou que é contabilizado de acordo com o CPC 06</w:t>
      </w:r>
      <w:r w:rsidRPr="001F7207">
        <w:rPr>
          <w:rFonts w:ascii="Times New Roman" w:hAnsi="Times New Roman" w:cs="Times New Roman"/>
          <w:sz w:val="24"/>
          <w:szCs w:val="24"/>
        </w:rPr>
        <w:t>.</w:t>
      </w:r>
      <w:r w:rsidR="0071447B">
        <w:rPr>
          <w:rFonts w:ascii="Times New Roman" w:hAnsi="Times New Roman" w:cs="Times New Roman"/>
          <w:sz w:val="24"/>
          <w:szCs w:val="24"/>
        </w:rPr>
        <w:t xml:space="preserve"> </w:t>
      </w:r>
    </w:p>
    <w:p w:rsidR="001F7207" w:rsidRDefault="001F7207" w:rsidP="004A4156">
      <w:pPr>
        <w:spacing w:after="0" w:line="240" w:lineRule="auto"/>
        <w:jc w:val="both"/>
        <w:rPr>
          <w:rFonts w:ascii="Times New Roman" w:hAnsi="Times New Roman" w:cs="Times New Roman"/>
          <w:b/>
          <w:sz w:val="24"/>
          <w:szCs w:val="24"/>
        </w:rPr>
      </w:pPr>
    </w:p>
    <w:p w:rsidR="007F0317" w:rsidRPr="007F0317" w:rsidRDefault="007F0317" w:rsidP="007F0317">
      <w:pPr>
        <w:spacing w:after="0" w:line="240" w:lineRule="auto"/>
        <w:jc w:val="both"/>
        <w:rPr>
          <w:rFonts w:ascii="Times New Roman" w:hAnsi="Times New Roman" w:cs="Times New Roman"/>
          <w:sz w:val="24"/>
          <w:szCs w:val="24"/>
        </w:rPr>
      </w:pPr>
    </w:p>
    <w:p w:rsidR="007F0317" w:rsidRPr="007F0317" w:rsidRDefault="001F7207" w:rsidP="007F03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7F0317" w:rsidRPr="007F0317">
        <w:rPr>
          <w:rFonts w:ascii="Times New Roman" w:hAnsi="Times New Roman" w:cs="Times New Roman"/>
          <w:b/>
          <w:sz w:val="24"/>
          <w:szCs w:val="24"/>
        </w:rPr>
        <w:t xml:space="preserve">. </w:t>
      </w:r>
      <w:r w:rsidR="007F0317" w:rsidRPr="007F0317">
        <w:rPr>
          <w:rFonts w:ascii="Times New Roman" w:hAnsi="Times New Roman" w:cs="Times New Roman"/>
          <w:b/>
          <w:sz w:val="24"/>
          <w:szCs w:val="24"/>
        </w:rPr>
        <w:tab/>
        <w:t>Altera o item 4 no CPC 11 – Contratos de Seguro, que passa a vigorar com a seguinte redação:</w:t>
      </w:r>
    </w:p>
    <w:p w:rsidR="007F0317" w:rsidRPr="007F0317" w:rsidRDefault="007F0317" w:rsidP="007F0317">
      <w:pPr>
        <w:spacing w:after="0" w:line="240" w:lineRule="auto"/>
        <w:jc w:val="both"/>
        <w:rPr>
          <w:rFonts w:ascii="Times New Roman" w:hAnsi="Times New Roman" w:cs="Times New Roman"/>
          <w:sz w:val="24"/>
          <w:szCs w:val="24"/>
        </w:rPr>
      </w:pPr>
    </w:p>
    <w:p w:rsidR="007F0317" w:rsidRPr="007F0317" w:rsidRDefault="007F0317" w:rsidP="007F0317">
      <w:pPr>
        <w:spacing w:after="0" w:line="240" w:lineRule="auto"/>
        <w:jc w:val="both"/>
        <w:rPr>
          <w:rFonts w:ascii="Times New Roman" w:hAnsi="Times New Roman" w:cs="Times New Roman"/>
          <w:sz w:val="24"/>
          <w:szCs w:val="24"/>
        </w:rPr>
      </w:pPr>
      <w:r w:rsidRPr="007F0317">
        <w:rPr>
          <w:rFonts w:ascii="Times New Roman" w:hAnsi="Times New Roman" w:cs="Times New Roman"/>
          <w:sz w:val="24"/>
          <w:szCs w:val="24"/>
        </w:rPr>
        <w:t>4.</w:t>
      </w:r>
      <w:r w:rsidRPr="007F0317">
        <w:rPr>
          <w:rFonts w:ascii="Times New Roman" w:hAnsi="Times New Roman" w:cs="Times New Roman"/>
          <w:sz w:val="24"/>
          <w:szCs w:val="24"/>
        </w:rPr>
        <w:tab/>
        <w:t>A entidade não deve aplicar este pronunciamento para:</w:t>
      </w:r>
    </w:p>
    <w:p w:rsidR="007F0317" w:rsidRPr="007F0317" w:rsidRDefault="007F0317" w:rsidP="007F0317">
      <w:pPr>
        <w:spacing w:after="0" w:line="240" w:lineRule="auto"/>
        <w:jc w:val="both"/>
        <w:rPr>
          <w:rFonts w:ascii="Times New Roman" w:hAnsi="Times New Roman" w:cs="Times New Roman"/>
          <w:sz w:val="24"/>
          <w:szCs w:val="24"/>
        </w:rPr>
      </w:pPr>
      <w:r w:rsidRPr="007F0317">
        <w:rPr>
          <w:rFonts w:ascii="Times New Roman" w:hAnsi="Times New Roman" w:cs="Times New Roman"/>
          <w:sz w:val="24"/>
          <w:szCs w:val="24"/>
        </w:rPr>
        <w:t>(a) (...)</w:t>
      </w:r>
    </w:p>
    <w:p w:rsidR="007F0317" w:rsidRPr="007F0317" w:rsidRDefault="007F0317" w:rsidP="007F0317">
      <w:pPr>
        <w:spacing w:after="0" w:line="240" w:lineRule="auto"/>
        <w:jc w:val="both"/>
        <w:rPr>
          <w:rFonts w:ascii="Times New Roman" w:hAnsi="Times New Roman" w:cs="Times New Roman"/>
          <w:sz w:val="24"/>
          <w:szCs w:val="24"/>
        </w:rPr>
      </w:pPr>
      <w:r w:rsidRPr="007F0317">
        <w:rPr>
          <w:rFonts w:ascii="Times New Roman" w:hAnsi="Times New Roman" w:cs="Times New Roman"/>
          <w:sz w:val="24"/>
          <w:szCs w:val="24"/>
        </w:rPr>
        <w:t xml:space="preserve">(c) </w:t>
      </w:r>
      <w:r w:rsidRPr="007F0317">
        <w:rPr>
          <w:rFonts w:ascii="Times New Roman" w:hAnsi="Times New Roman" w:cs="Times New Roman"/>
          <w:sz w:val="24"/>
          <w:szCs w:val="24"/>
        </w:rPr>
        <w:tab/>
        <w:t xml:space="preserve">direitos ou obrigações contratuais que dependem do uso, ou do direito de uso, de item não financeiro (por exemplo, algumas taxas de licença, </w:t>
      </w:r>
      <w:r w:rsidR="003E4337" w:rsidRPr="003E4337">
        <w:rPr>
          <w:rFonts w:ascii="Times New Roman" w:hAnsi="Times New Roman" w:cs="Times New Roman"/>
          <w:i/>
          <w:sz w:val="24"/>
          <w:szCs w:val="24"/>
        </w:rPr>
        <w:t>royalties</w:t>
      </w:r>
      <w:r w:rsidRPr="007F0317">
        <w:rPr>
          <w:rFonts w:ascii="Times New Roman" w:hAnsi="Times New Roman" w:cs="Times New Roman"/>
          <w:sz w:val="24"/>
          <w:szCs w:val="24"/>
        </w:rPr>
        <w:t xml:space="preserve">, pagamentos </w:t>
      </w:r>
      <w:r w:rsidR="003E4337" w:rsidRPr="003E4337">
        <w:rPr>
          <w:rFonts w:ascii="Times New Roman" w:hAnsi="Times New Roman" w:cs="Times New Roman"/>
          <w:sz w:val="24"/>
          <w:szCs w:val="24"/>
          <w:u w:val="single"/>
        </w:rPr>
        <w:t xml:space="preserve">variáveis </w:t>
      </w:r>
      <w:r w:rsidRPr="007F0317">
        <w:rPr>
          <w:rFonts w:ascii="Times New Roman" w:hAnsi="Times New Roman" w:cs="Times New Roman"/>
          <w:sz w:val="24"/>
          <w:szCs w:val="24"/>
        </w:rPr>
        <w:t xml:space="preserve">de arrendamentos mercantis e itens semelhantes), assim como garantia de valor residual embutido em arrendamento (ver CPC 06 – Operações de Arrendamento Mercantil, CPC 47 e CPC 04 – Ativo Intangível); </w:t>
      </w:r>
    </w:p>
    <w:p w:rsidR="007F0317" w:rsidRPr="007F0317" w:rsidRDefault="007F0317" w:rsidP="007F0317">
      <w:pPr>
        <w:spacing w:after="0" w:line="240" w:lineRule="auto"/>
        <w:jc w:val="both"/>
        <w:rPr>
          <w:rFonts w:ascii="Times New Roman" w:hAnsi="Times New Roman" w:cs="Times New Roman"/>
          <w:sz w:val="24"/>
          <w:szCs w:val="24"/>
        </w:rPr>
      </w:pPr>
      <w:r w:rsidRPr="007F0317">
        <w:rPr>
          <w:rFonts w:ascii="Times New Roman" w:hAnsi="Times New Roman" w:cs="Times New Roman"/>
          <w:sz w:val="24"/>
          <w:szCs w:val="24"/>
        </w:rPr>
        <w:t>(d) (...)</w:t>
      </w:r>
    </w:p>
    <w:p w:rsidR="007F0317" w:rsidRDefault="007F0317" w:rsidP="004A4156">
      <w:pPr>
        <w:spacing w:after="0" w:line="240" w:lineRule="auto"/>
        <w:jc w:val="both"/>
        <w:rPr>
          <w:rFonts w:ascii="Times New Roman" w:hAnsi="Times New Roman" w:cs="Times New Roman"/>
          <w:sz w:val="24"/>
          <w:szCs w:val="24"/>
        </w:rPr>
      </w:pPr>
    </w:p>
    <w:p w:rsidR="00FE2E74" w:rsidRDefault="00FE2E74" w:rsidP="004A4156">
      <w:pPr>
        <w:spacing w:after="0" w:line="240" w:lineRule="auto"/>
        <w:jc w:val="both"/>
        <w:rPr>
          <w:rFonts w:ascii="Times New Roman" w:hAnsi="Times New Roman" w:cs="Times New Roman"/>
          <w:sz w:val="24"/>
          <w:szCs w:val="24"/>
        </w:rPr>
      </w:pPr>
    </w:p>
    <w:p w:rsidR="00A2457C" w:rsidRPr="00A2302E" w:rsidRDefault="001F7207" w:rsidP="004A4156">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5</w:t>
      </w:r>
      <w:r w:rsidR="000E1E77" w:rsidRPr="00A2302E">
        <w:rPr>
          <w:rFonts w:ascii="Times New Roman" w:hAnsi="Times New Roman" w:cs="Times New Roman"/>
          <w:b/>
          <w:sz w:val="24"/>
          <w:szCs w:val="24"/>
        </w:rPr>
        <w:t xml:space="preserve">. </w:t>
      </w:r>
      <w:r w:rsidR="000E1E77" w:rsidRPr="00A2302E">
        <w:rPr>
          <w:rFonts w:ascii="Times New Roman" w:hAnsi="Times New Roman" w:cs="Times New Roman"/>
          <w:b/>
          <w:sz w:val="24"/>
          <w:szCs w:val="24"/>
        </w:rPr>
        <w:tab/>
        <w:t>Altera os itens 14, 17, B32 e B42, inclui os itens 28A, 28B</w:t>
      </w:r>
      <w:r w:rsidR="005D31D5" w:rsidRPr="00A2302E">
        <w:rPr>
          <w:rFonts w:ascii="Times New Roman" w:hAnsi="Times New Roman" w:cs="Times New Roman"/>
          <w:b/>
          <w:sz w:val="24"/>
          <w:szCs w:val="24"/>
        </w:rPr>
        <w:t xml:space="preserve"> e seu título</w:t>
      </w:r>
      <w:r w:rsidR="000E1E77" w:rsidRPr="00A2302E">
        <w:rPr>
          <w:rFonts w:ascii="Times New Roman" w:hAnsi="Times New Roman" w:cs="Times New Roman"/>
          <w:b/>
          <w:sz w:val="24"/>
          <w:szCs w:val="24"/>
        </w:rPr>
        <w:t xml:space="preserve"> e 42A e exclui os itens B28, B29 e B30 no CPC 15 (R1) – Combinação de Negócios, que passam a vigorar com as seguintes redações:</w:t>
      </w:r>
    </w:p>
    <w:p w:rsidR="000E1E77" w:rsidRPr="00A2302E" w:rsidRDefault="000E1E77" w:rsidP="004A4156">
      <w:pPr>
        <w:spacing w:after="0" w:line="240" w:lineRule="auto"/>
        <w:jc w:val="both"/>
        <w:rPr>
          <w:rFonts w:ascii="Times New Roman" w:hAnsi="Times New Roman" w:cs="Times New Roman"/>
          <w:sz w:val="24"/>
          <w:szCs w:val="24"/>
        </w:rPr>
      </w:pPr>
    </w:p>
    <w:p w:rsidR="00EB315B" w:rsidRDefault="00EB315B" w:rsidP="00EB315B">
      <w:pPr>
        <w:spacing w:after="0" w:line="240" w:lineRule="auto"/>
        <w:jc w:val="both"/>
        <w:rPr>
          <w:rFonts w:ascii="Times New Roman" w:hAnsi="Times New Roman" w:cs="Times New Roman"/>
          <w:sz w:val="24"/>
          <w:szCs w:val="24"/>
        </w:rPr>
      </w:pPr>
      <w:r w:rsidRPr="004C4D03">
        <w:rPr>
          <w:rFonts w:ascii="Times New Roman" w:hAnsi="Times New Roman" w:cs="Times New Roman"/>
          <w:sz w:val="24"/>
          <w:szCs w:val="24"/>
        </w:rPr>
        <w:t>14.</w:t>
      </w:r>
      <w:r w:rsidRPr="004C4D03">
        <w:rPr>
          <w:rFonts w:ascii="Times New Roman" w:hAnsi="Times New Roman" w:cs="Times New Roman"/>
          <w:sz w:val="24"/>
          <w:szCs w:val="24"/>
        </w:rPr>
        <w:tab/>
        <w:t xml:space="preserve">Os itens </w:t>
      </w:r>
      <w:r w:rsidR="003E4337" w:rsidRPr="003E4337">
        <w:rPr>
          <w:rFonts w:ascii="Times New Roman" w:hAnsi="Times New Roman" w:cs="Times New Roman"/>
          <w:sz w:val="24"/>
          <w:szCs w:val="24"/>
          <w:u w:val="single"/>
        </w:rPr>
        <w:t>B31</w:t>
      </w:r>
      <w:r w:rsidRPr="004C4D03">
        <w:rPr>
          <w:rFonts w:ascii="Times New Roman" w:hAnsi="Times New Roman" w:cs="Times New Roman"/>
          <w:sz w:val="24"/>
          <w:szCs w:val="24"/>
        </w:rPr>
        <w:t xml:space="preserve"> a B40 fornecem orientações para o reconhecimento de ativos intangíveis. Os itens 22 a 28</w:t>
      </w:r>
      <w:r w:rsidR="003E4337" w:rsidRPr="003E4337">
        <w:rPr>
          <w:rFonts w:ascii="Times New Roman" w:hAnsi="Times New Roman" w:cs="Times New Roman"/>
          <w:sz w:val="24"/>
          <w:szCs w:val="24"/>
          <w:u w:val="single"/>
        </w:rPr>
        <w:t>B</w:t>
      </w:r>
      <w:r w:rsidRPr="004C4D03">
        <w:rPr>
          <w:rFonts w:ascii="Times New Roman" w:hAnsi="Times New Roman" w:cs="Times New Roman"/>
          <w:sz w:val="24"/>
          <w:szCs w:val="24"/>
        </w:rPr>
        <w:t xml:space="preserve"> especificam os tipos de ativos identificáveis e os passivos assumidos que incluem itens para os quais este </w:t>
      </w:r>
      <w:r>
        <w:rPr>
          <w:rFonts w:ascii="Times New Roman" w:hAnsi="Times New Roman" w:cs="Times New Roman"/>
          <w:sz w:val="24"/>
          <w:szCs w:val="24"/>
        </w:rPr>
        <w:t>p</w:t>
      </w:r>
      <w:r w:rsidRPr="004C4D03">
        <w:rPr>
          <w:rFonts w:ascii="Times New Roman" w:hAnsi="Times New Roman" w:cs="Times New Roman"/>
          <w:sz w:val="24"/>
          <w:szCs w:val="24"/>
        </w:rPr>
        <w:t>ronunciamento prevê limitadas exceções ao princípio e às condições de reconhecimento.</w:t>
      </w:r>
    </w:p>
    <w:p w:rsidR="00EB315B" w:rsidRDefault="00EB315B" w:rsidP="004A4156">
      <w:pPr>
        <w:spacing w:after="0" w:line="240" w:lineRule="auto"/>
        <w:jc w:val="both"/>
        <w:rPr>
          <w:rFonts w:ascii="Times New Roman" w:hAnsi="Times New Roman" w:cs="Times New Roman"/>
          <w:sz w:val="24"/>
          <w:szCs w:val="24"/>
        </w:rPr>
      </w:pPr>
    </w:p>
    <w:p w:rsidR="00EB315B" w:rsidRPr="004C4D03" w:rsidRDefault="00EB315B" w:rsidP="00EB315B">
      <w:pPr>
        <w:spacing w:after="0" w:line="240" w:lineRule="auto"/>
        <w:jc w:val="both"/>
        <w:rPr>
          <w:rFonts w:ascii="Times New Roman" w:hAnsi="Times New Roman" w:cs="Times New Roman"/>
          <w:sz w:val="24"/>
          <w:szCs w:val="24"/>
        </w:rPr>
      </w:pPr>
      <w:r w:rsidRPr="004C4D03">
        <w:rPr>
          <w:rFonts w:ascii="Times New Roman" w:hAnsi="Times New Roman" w:cs="Times New Roman"/>
          <w:sz w:val="24"/>
          <w:szCs w:val="24"/>
        </w:rPr>
        <w:t>17.</w:t>
      </w:r>
      <w:r w:rsidRPr="004C4D03">
        <w:rPr>
          <w:rFonts w:ascii="Times New Roman" w:hAnsi="Times New Roman" w:cs="Times New Roman"/>
          <w:sz w:val="24"/>
          <w:szCs w:val="24"/>
        </w:rPr>
        <w:tab/>
        <w:t>Este pronunciamento prevê duas exceções ao princípio do item 15:</w:t>
      </w:r>
    </w:p>
    <w:p w:rsidR="00EB315B" w:rsidRPr="004C4D03" w:rsidRDefault="00EB315B" w:rsidP="00EB315B">
      <w:pPr>
        <w:spacing w:after="0" w:line="240" w:lineRule="auto"/>
        <w:jc w:val="both"/>
        <w:rPr>
          <w:rFonts w:ascii="Times New Roman" w:hAnsi="Times New Roman" w:cs="Times New Roman"/>
          <w:sz w:val="24"/>
          <w:szCs w:val="24"/>
        </w:rPr>
      </w:pPr>
      <w:r w:rsidRPr="004C4D03">
        <w:rPr>
          <w:rFonts w:ascii="Times New Roman" w:hAnsi="Times New Roman" w:cs="Times New Roman"/>
          <w:sz w:val="24"/>
          <w:szCs w:val="24"/>
        </w:rPr>
        <w:lastRenderedPageBreak/>
        <w:t>(a)</w:t>
      </w:r>
      <w:r w:rsidRPr="004C4D03">
        <w:rPr>
          <w:rFonts w:ascii="Times New Roman" w:hAnsi="Times New Roman" w:cs="Times New Roman"/>
          <w:sz w:val="24"/>
          <w:szCs w:val="24"/>
        </w:rPr>
        <w:tab/>
        <w:t xml:space="preserve">classificação de contrato de arrendamento mercantil </w:t>
      </w:r>
      <w:r w:rsidR="003E4337" w:rsidRPr="003E4337">
        <w:rPr>
          <w:rFonts w:ascii="Times New Roman" w:hAnsi="Times New Roman" w:cs="Times New Roman"/>
          <w:sz w:val="24"/>
          <w:szCs w:val="24"/>
          <w:u w:val="single"/>
        </w:rPr>
        <w:t>em que a adquirida é o arrendador</w:t>
      </w:r>
      <w:r>
        <w:rPr>
          <w:rFonts w:ascii="Times New Roman" w:hAnsi="Times New Roman" w:cs="Times New Roman"/>
          <w:sz w:val="24"/>
          <w:szCs w:val="24"/>
        </w:rPr>
        <w:t xml:space="preserve"> </w:t>
      </w:r>
      <w:r w:rsidRPr="004C4D03">
        <w:rPr>
          <w:rFonts w:ascii="Times New Roman" w:hAnsi="Times New Roman" w:cs="Times New Roman"/>
          <w:sz w:val="24"/>
          <w:szCs w:val="24"/>
        </w:rPr>
        <w:t xml:space="preserve">como arrendamento operacional ou financeiro, conforme o CPC 06 </w:t>
      </w:r>
      <w:r>
        <w:rPr>
          <w:rFonts w:ascii="Times New Roman" w:hAnsi="Times New Roman" w:cs="Times New Roman"/>
          <w:sz w:val="24"/>
          <w:szCs w:val="24"/>
        </w:rPr>
        <w:t>–</w:t>
      </w:r>
      <w:r w:rsidRPr="004C4D03">
        <w:rPr>
          <w:rFonts w:ascii="Times New Roman" w:hAnsi="Times New Roman" w:cs="Times New Roman"/>
          <w:sz w:val="24"/>
          <w:szCs w:val="24"/>
        </w:rPr>
        <w:t xml:space="preserve"> Operações de Arrendamento Mercantil; e</w:t>
      </w:r>
    </w:p>
    <w:p w:rsidR="00EB315B" w:rsidRPr="0058334A" w:rsidRDefault="00EB315B" w:rsidP="00EB315B">
      <w:pPr>
        <w:spacing w:after="0" w:line="240" w:lineRule="auto"/>
        <w:jc w:val="both"/>
        <w:rPr>
          <w:rFonts w:ascii="Times New Roman" w:hAnsi="Times New Roman" w:cs="Times New Roman"/>
          <w:sz w:val="24"/>
          <w:szCs w:val="24"/>
        </w:rPr>
      </w:pPr>
      <w:r w:rsidRPr="0058334A">
        <w:rPr>
          <w:rFonts w:ascii="Times New Roman" w:hAnsi="Times New Roman" w:cs="Times New Roman"/>
          <w:sz w:val="24"/>
          <w:szCs w:val="24"/>
        </w:rPr>
        <w:t xml:space="preserve">(b) (...) </w:t>
      </w:r>
    </w:p>
    <w:p w:rsidR="00EB315B" w:rsidRPr="0058334A" w:rsidRDefault="00EB315B" w:rsidP="004A4156">
      <w:pPr>
        <w:spacing w:after="0" w:line="240" w:lineRule="auto"/>
        <w:jc w:val="both"/>
        <w:rPr>
          <w:rFonts w:ascii="Times New Roman" w:hAnsi="Times New Roman" w:cs="Times New Roman"/>
          <w:sz w:val="24"/>
          <w:szCs w:val="24"/>
          <w:u w:val="single"/>
        </w:rPr>
      </w:pPr>
    </w:p>
    <w:p w:rsidR="00EB315B" w:rsidRPr="005D31D5" w:rsidRDefault="003E4337" w:rsidP="00EB315B">
      <w:pPr>
        <w:spacing w:after="0" w:line="240" w:lineRule="auto"/>
        <w:jc w:val="both"/>
        <w:rPr>
          <w:rFonts w:ascii="Times New Roman" w:hAnsi="Times New Roman" w:cs="Times New Roman"/>
          <w:sz w:val="24"/>
          <w:szCs w:val="24"/>
          <w:u w:val="single"/>
        </w:rPr>
      </w:pPr>
      <w:r w:rsidRPr="003E4337">
        <w:rPr>
          <w:rFonts w:ascii="Times New Roman" w:hAnsi="Times New Roman" w:cs="Times New Roman"/>
          <w:sz w:val="24"/>
          <w:szCs w:val="24"/>
          <w:u w:val="single"/>
        </w:rPr>
        <w:t>Arrendamento em que a adquirida é o arrendatário</w:t>
      </w:r>
    </w:p>
    <w:p w:rsidR="00A2457C" w:rsidRPr="0058334A" w:rsidRDefault="00A2457C" w:rsidP="004A4156">
      <w:pPr>
        <w:spacing w:after="0" w:line="240" w:lineRule="auto"/>
        <w:jc w:val="both"/>
        <w:rPr>
          <w:rFonts w:ascii="Times New Roman" w:hAnsi="Times New Roman" w:cs="Times New Roman"/>
          <w:sz w:val="24"/>
          <w:szCs w:val="24"/>
          <w:u w:val="single"/>
        </w:rPr>
      </w:pPr>
    </w:p>
    <w:p w:rsidR="00EB315B" w:rsidRPr="005D31D5" w:rsidRDefault="003E4337" w:rsidP="00EB315B">
      <w:pPr>
        <w:spacing w:after="0" w:line="240" w:lineRule="auto"/>
        <w:jc w:val="both"/>
        <w:rPr>
          <w:rFonts w:ascii="Times New Roman" w:hAnsi="Times New Roman" w:cs="Times New Roman"/>
          <w:sz w:val="24"/>
          <w:szCs w:val="24"/>
          <w:u w:val="single"/>
        </w:rPr>
      </w:pPr>
      <w:r w:rsidRPr="003E4337">
        <w:rPr>
          <w:rFonts w:ascii="Times New Roman" w:hAnsi="Times New Roman" w:cs="Times New Roman"/>
          <w:sz w:val="24"/>
          <w:szCs w:val="24"/>
          <w:u w:val="single"/>
        </w:rPr>
        <w:t xml:space="preserve">28A. O adquirente deve reconhecer o ativo de direito de uso e passivos de arrendamento para arrendamentos identificados de acordo com o CPC 06, na qual a adquirida é o </w:t>
      </w:r>
      <w:r w:rsidR="00F625EA">
        <w:rPr>
          <w:rFonts w:ascii="Times New Roman" w:hAnsi="Times New Roman" w:cs="Times New Roman"/>
          <w:sz w:val="24"/>
          <w:szCs w:val="24"/>
          <w:u w:val="single"/>
        </w:rPr>
        <w:t>arrendatário</w:t>
      </w:r>
      <w:r w:rsidRPr="003E4337">
        <w:rPr>
          <w:rFonts w:ascii="Times New Roman" w:hAnsi="Times New Roman" w:cs="Times New Roman"/>
          <w:sz w:val="24"/>
          <w:szCs w:val="24"/>
          <w:u w:val="single"/>
        </w:rPr>
        <w:t>. O adquirente não é obrigado a reconhecer o ativo de direito de uso e os passivos de arrendamento para:</w:t>
      </w:r>
    </w:p>
    <w:p w:rsidR="00EB315B" w:rsidRPr="005D31D5" w:rsidRDefault="003E4337" w:rsidP="00EB315B">
      <w:pPr>
        <w:spacing w:after="0" w:line="240" w:lineRule="auto"/>
        <w:jc w:val="both"/>
        <w:rPr>
          <w:rFonts w:ascii="Times New Roman" w:hAnsi="Times New Roman" w:cs="Times New Roman"/>
          <w:sz w:val="24"/>
          <w:szCs w:val="24"/>
          <w:u w:val="single"/>
        </w:rPr>
      </w:pPr>
      <w:r w:rsidRPr="003E4337">
        <w:rPr>
          <w:rFonts w:ascii="Times New Roman" w:hAnsi="Times New Roman" w:cs="Times New Roman"/>
          <w:sz w:val="24"/>
          <w:szCs w:val="24"/>
          <w:u w:val="single"/>
        </w:rPr>
        <w:t>(a) arrendamento para o qual o prazo do arrendamento (conforme definido no CPC 06) termina dentro de 12 meses da data de aquisição; ou</w:t>
      </w:r>
    </w:p>
    <w:p w:rsidR="00EB315B" w:rsidRPr="005D31D5" w:rsidRDefault="003E4337" w:rsidP="00EB315B">
      <w:pPr>
        <w:spacing w:after="0" w:line="240" w:lineRule="auto"/>
        <w:jc w:val="both"/>
        <w:rPr>
          <w:rFonts w:ascii="Times New Roman" w:hAnsi="Times New Roman" w:cs="Times New Roman"/>
          <w:sz w:val="24"/>
          <w:szCs w:val="24"/>
          <w:u w:val="single"/>
        </w:rPr>
      </w:pPr>
      <w:r w:rsidRPr="003E4337">
        <w:rPr>
          <w:rFonts w:ascii="Times New Roman" w:hAnsi="Times New Roman" w:cs="Times New Roman"/>
          <w:sz w:val="24"/>
          <w:szCs w:val="24"/>
          <w:u w:val="single"/>
        </w:rPr>
        <w:t>(b) arrendamento para o qual o ativo subjacente é de baixo valor (conforme descrito nos itens B3 a B8 do CPC 06).</w:t>
      </w:r>
    </w:p>
    <w:p w:rsidR="00EB315B" w:rsidRPr="0058334A" w:rsidRDefault="00EB315B" w:rsidP="00EB315B">
      <w:pPr>
        <w:spacing w:after="0" w:line="240" w:lineRule="auto"/>
        <w:jc w:val="both"/>
        <w:rPr>
          <w:rFonts w:ascii="Times New Roman" w:hAnsi="Times New Roman" w:cs="Times New Roman"/>
          <w:sz w:val="24"/>
          <w:szCs w:val="24"/>
        </w:rPr>
      </w:pPr>
    </w:p>
    <w:p w:rsidR="00EB315B" w:rsidRPr="005D31D5" w:rsidRDefault="003E4337" w:rsidP="00EB315B">
      <w:pPr>
        <w:spacing w:after="0" w:line="240" w:lineRule="auto"/>
        <w:jc w:val="both"/>
        <w:rPr>
          <w:rFonts w:ascii="Times New Roman" w:hAnsi="Times New Roman" w:cs="Times New Roman"/>
          <w:sz w:val="24"/>
          <w:szCs w:val="24"/>
          <w:u w:val="single"/>
        </w:rPr>
      </w:pPr>
      <w:proofErr w:type="gramStart"/>
      <w:r w:rsidRPr="003E4337">
        <w:rPr>
          <w:rFonts w:ascii="Times New Roman" w:hAnsi="Times New Roman" w:cs="Times New Roman"/>
          <w:sz w:val="24"/>
          <w:szCs w:val="24"/>
          <w:u w:val="single"/>
        </w:rPr>
        <w:t>28B</w:t>
      </w:r>
      <w:proofErr w:type="gramEnd"/>
      <w:r w:rsidR="005F0AF1">
        <w:rPr>
          <w:rFonts w:ascii="Times New Roman" w:hAnsi="Times New Roman" w:cs="Times New Roman"/>
          <w:sz w:val="24"/>
          <w:szCs w:val="24"/>
          <w:u w:val="single"/>
        </w:rPr>
        <w:t>.</w:t>
      </w:r>
      <w:r w:rsidRPr="003E4337">
        <w:rPr>
          <w:rFonts w:ascii="Times New Roman" w:hAnsi="Times New Roman" w:cs="Times New Roman"/>
          <w:sz w:val="24"/>
          <w:szCs w:val="24"/>
          <w:u w:val="single"/>
        </w:rPr>
        <w:t xml:space="preserve"> O adquirente deve mensurar o passivo de arrendamento ao valor presente do saldo de arrendamento remanescente (conforme definido no CPC 06) como se o contrato de arrendamento adquirido fosse um novo contrato de arrendamento na data de aquisição. O adquirente deve mensurar o ativo de direito de uso ao mesmo valor que o passivo de arrendamento, ajustado para refletir os termos favoráveis ou desfavoráveis do arrendamento quando comparado com os termos do mercado.</w:t>
      </w:r>
    </w:p>
    <w:p w:rsidR="001F5B06" w:rsidRPr="0058334A" w:rsidRDefault="001F5B06" w:rsidP="004A4156">
      <w:pPr>
        <w:spacing w:after="0" w:line="240" w:lineRule="auto"/>
        <w:jc w:val="both"/>
        <w:rPr>
          <w:rFonts w:ascii="Times New Roman" w:hAnsi="Times New Roman" w:cs="Times New Roman"/>
          <w:sz w:val="24"/>
          <w:szCs w:val="24"/>
        </w:rPr>
      </w:pPr>
    </w:p>
    <w:p w:rsidR="00424262" w:rsidRPr="005D31D5" w:rsidRDefault="003E4337" w:rsidP="004A4156">
      <w:pPr>
        <w:spacing w:after="0" w:line="240" w:lineRule="auto"/>
        <w:jc w:val="both"/>
        <w:rPr>
          <w:rFonts w:ascii="Times New Roman" w:hAnsi="Times New Roman" w:cs="Times New Roman"/>
          <w:sz w:val="24"/>
          <w:szCs w:val="24"/>
          <w:u w:val="single"/>
        </w:rPr>
      </w:pPr>
      <w:r w:rsidRPr="003E4337">
        <w:rPr>
          <w:rFonts w:ascii="Times New Roman" w:hAnsi="Times New Roman" w:cs="Times New Roman"/>
          <w:sz w:val="24"/>
          <w:szCs w:val="24"/>
          <w:u w:val="single"/>
        </w:rPr>
        <w:t>42A. Quando a parte em negócio em conjunto (conforme definido no CPC 19) obtém o controle de negócio que é operação conjunta (conforme definido no CPC 19) e teve direitos sobre os ativos e obrigações dos passivos relacionados a essa operação conjunta imediatamente anterior à data de aquisição, a transação é uma combinação de negócios alcançada em estágios. O adquirente deve, portanto, aplicar os requisitos para combinação de negócios realizada em estágios, incluindo a remensuração de sua participação anterior na operação conjunta na forma descrita no item 42. Ao fazê-lo, o adquirente deve remensurar toda a sua participação anterior na operação conjunta.</w:t>
      </w:r>
    </w:p>
    <w:p w:rsidR="00424262" w:rsidRDefault="00424262" w:rsidP="004A4156">
      <w:pPr>
        <w:spacing w:after="0" w:line="240" w:lineRule="auto"/>
        <w:jc w:val="both"/>
        <w:rPr>
          <w:rFonts w:ascii="Times New Roman" w:hAnsi="Times New Roman" w:cs="Times New Roman"/>
          <w:sz w:val="24"/>
          <w:szCs w:val="24"/>
        </w:rPr>
      </w:pPr>
    </w:p>
    <w:p w:rsidR="004C4D03" w:rsidRDefault="004C4D03" w:rsidP="004C4D03">
      <w:pPr>
        <w:spacing w:after="0" w:line="240" w:lineRule="auto"/>
        <w:jc w:val="both"/>
        <w:rPr>
          <w:rFonts w:ascii="Times New Roman" w:hAnsi="Times New Roman" w:cs="Times New Roman"/>
          <w:sz w:val="24"/>
          <w:szCs w:val="24"/>
        </w:rPr>
      </w:pPr>
      <w:r w:rsidRPr="004C4D03">
        <w:rPr>
          <w:rFonts w:ascii="Times New Roman" w:hAnsi="Times New Roman" w:cs="Times New Roman"/>
          <w:sz w:val="24"/>
          <w:szCs w:val="24"/>
        </w:rPr>
        <w:t>B28.</w:t>
      </w:r>
      <w:r w:rsidRPr="004C4D03">
        <w:rPr>
          <w:rFonts w:ascii="Times New Roman" w:hAnsi="Times New Roman" w:cs="Times New Roman"/>
          <w:sz w:val="24"/>
          <w:szCs w:val="24"/>
        </w:rPr>
        <w:tab/>
      </w:r>
      <w:r w:rsidR="002F6737">
        <w:rPr>
          <w:rFonts w:ascii="Times New Roman" w:hAnsi="Times New Roman" w:cs="Times New Roman"/>
          <w:sz w:val="24"/>
          <w:szCs w:val="24"/>
        </w:rPr>
        <w:t>Eliminado.</w:t>
      </w:r>
    </w:p>
    <w:p w:rsidR="002F6737" w:rsidRDefault="002F6737" w:rsidP="004C4D03">
      <w:pPr>
        <w:spacing w:after="0" w:line="240" w:lineRule="auto"/>
        <w:jc w:val="both"/>
        <w:rPr>
          <w:rFonts w:ascii="Times New Roman" w:hAnsi="Times New Roman" w:cs="Times New Roman"/>
          <w:sz w:val="24"/>
          <w:szCs w:val="24"/>
        </w:rPr>
      </w:pPr>
    </w:p>
    <w:p w:rsidR="002F6737" w:rsidRPr="004C4D03" w:rsidRDefault="002F6737" w:rsidP="002F6737">
      <w:pPr>
        <w:spacing w:after="0" w:line="240" w:lineRule="auto"/>
        <w:jc w:val="both"/>
        <w:rPr>
          <w:rFonts w:ascii="Times New Roman" w:hAnsi="Times New Roman" w:cs="Times New Roman"/>
          <w:sz w:val="24"/>
          <w:szCs w:val="24"/>
        </w:rPr>
      </w:pPr>
      <w:r w:rsidRPr="004C4D03">
        <w:rPr>
          <w:rFonts w:ascii="Times New Roman" w:hAnsi="Times New Roman" w:cs="Times New Roman"/>
          <w:sz w:val="24"/>
          <w:szCs w:val="24"/>
        </w:rPr>
        <w:t>B2</w:t>
      </w:r>
      <w:r>
        <w:rPr>
          <w:rFonts w:ascii="Times New Roman" w:hAnsi="Times New Roman" w:cs="Times New Roman"/>
          <w:sz w:val="24"/>
          <w:szCs w:val="24"/>
        </w:rPr>
        <w:t>9</w:t>
      </w:r>
      <w:r w:rsidRPr="004C4D03">
        <w:rPr>
          <w:rFonts w:ascii="Times New Roman" w:hAnsi="Times New Roman" w:cs="Times New Roman"/>
          <w:sz w:val="24"/>
          <w:szCs w:val="24"/>
        </w:rPr>
        <w:t>.</w:t>
      </w:r>
      <w:r w:rsidRPr="004C4D03">
        <w:rPr>
          <w:rFonts w:ascii="Times New Roman" w:hAnsi="Times New Roman" w:cs="Times New Roman"/>
          <w:sz w:val="24"/>
          <w:szCs w:val="24"/>
        </w:rPr>
        <w:tab/>
      </w:r>
      <w:r>
        <w:rPr>
          <w:rFonts w:ascii="Times New Roman" w:hAnsi="Times New Roman" w:cs="Times New Roman"/>
          <w:sz w:val="24"/>
          <w:szCs w:val="24"/>
        </w:rPr>
        <w:t>Eliminado.</w:t>
      </w:r>
    </w:p>
    <w:p w:rsidR="002F6737" w:rsidRDefault="002F6737" w:rsidP="004C4D03">
      <w:pPr>
        <w:spacing w:after="0" w:line="240" w:lineRule="auto"/>
        <w:jc w:val="both"/>
        <w:rPr>
          <w:rFonts w:ascii="Times New Roman" w:hAnsi="Times New Roman" w:cs="Times New Roman"/>
          <w:sz w:val="24"/>
          <w:szCs w:val="24"/>
        </w:rPr>
      </w:pPr>
    </w:p>
    <w:p w:rsidR="002F6737" w:rsidRPr="004C4D03" w:rsidRDefault="002F6737" w:rsidP="002F6737">
      <w:pPr>
        <w:spacing w:after="0" w:line="240" w:lineRule="auto"/>
        <w:jc w:val="both"/>
        <w:rPr>
          <w:rFonts w:ascii="Times New Roman" w:hAnsi="Times New Roman" w:cs="Times New Roman"/>
          <w:sz w:val="24"/>
          <w:szCs w:val="24"/>
        </w:rPr>
      </w:pPr>
      <w:r w:rsidRPr="004C4D03">
        <w:rPr>
          <w:rFonts w:ascii="Times New Roman" w:hAnsi="Times New Roman" w:cs="Times New Roman"/>
          <w:sz w:val="24"/>
          <w:szCs w:val="24"/>
        </w:rPr>
        <w:t>B</w:t>
      </w:r>
      <w:r>
        <w:rPr>
          <w:rFonts w:ascii="Times New Roman" w:hAnsi="Times New Roman" w:cs="Times New Roman"/>
          <w:sz w:val="24"/>
          <w:szCs w:val="24"/>
        </w:rPr>
        <w:t>30</w:t>
      </w:r>
      <w:r w:rsidRPr="004C4D03">
        <w:rPr>
          <w:rFonts w:ascii="Times New Roman" w:hAnsi="Times New Roman" w:cs="Times New Roman"/>
          <w:sz w:val="24"/>
          <w:szCs w:val="24"/>
        </w:rPr>
        <w:t>.</w:t>
      </w:r>
      <w:r w:rsidRPr="004C4D03">
        <w:rPr>
          <w:rFonts w:ascii="Times New Roman" w:hAnsi="Times New Roman" w:cs="Times New Roman"/>
          <w:sz w:val="24"/>
          <w:szCs w:val="24"/>
        </w:rPr>
        <w:tab/>
      </w:r>
      <w:r>
        <w:rPr>
          <w:rFonts w:ascii="Times New Roman" w:hAnsi="Times New Roman" w:cs="Times New Roman"/>
          <w:sz w:val="24"/>
          <w:szCs w:val="24"/>
        </w:rPr>
        <w:t>Eliminado.</w:t>
      </w:r>
    </w:p>
    <w:p w:rsidR="002F6737" w:rsidRPr="004C4D03" w:rsidRDefault="002F6737" w:rsidP="004C4D03">
      <w:pPr>
        <w:spacing w:after="0" w:line="240" w:lineRule="auto"/>
        <w:jc w:val="both"/>
        <w:rPr>
          <w:rFonts w:ascii="Times New Roman" w:hAnsi="Times New Roman" w:cs="Times New Roman"/>
          <w:sz w:val="24"/>
          <w:szCs w:val="24"/>
        </w:rPr>
      </w:pPr>
    </w:p>
    <w:p w:rsidR="004C4D03" w:rsidRPr="004C4D03" w:rsidRDefault="004C4D03" w:rsidP="004C4D03">
      <w:pPr>
        <w:spacing w:after="0" w:line="240" w:lineRule="auto"/>
        <w:jc w:val="both"/>
        <w:rPr>
          <w:rFonts w:ascii="Times New Roman" w:hAnsi="Times New Roman" w:cs="Times New Roman"/>
          <w:sz w:val="24"/>
          <w:szCs w:val="24"/>
        </w:rPr>
      </w:pPr>
      <w:r w:rsidRPr="004C4D03">
        <w:rPr>
          <w:rFonts w:ascii="Times New Roman" w:hAnsi="Times New Roman" w:cs="Times New Roman"/>
          <w:sz w:val="24"/>
          <w:szCs w:val="24"/>
        </w:rPr>
        <w:t>B32.</w:t>
      </w:r>
      <w:r w:rsidRPr="004C4D03">
        <w:rPr>
          <w:rFonts w:ascii="Times New Roman" w:hAnsi="Times New Roman" w:cs="Times New Roman"/>
          <w:sz w:val="24"/>
          <w:szCs w:val="24"/>
        </w:rPr>
        <w:tab/>
      </w:r>
      <w:r w:rsidR="004E195B">
        <w:rPr>
          <w:rFonts w:ascii="Times New Roman" w:hAnsi="Times New Roman" w:cs="Times New Roman"/>
          <w:sz w:val="24"/>
          <w:szCs w:val="24"/>
        </w:rPr>
        <w:t>O</w:t>
      </w:r>
      <w:r w:rsidRPr="004C4D03">
        <w:rPr>
          <w:rFonts w:ascii="Times New Roman" w:hAnsi="Times New Roman" w:cs="Times New Roman"/>
          <w:sz w:val="24"/>
          <w:szCs w:val="24"/>
        </w:rPr>
        <w:t xml:space="preserve"> ativo intangível que atende ao critério legal-contratual é identificável mesmo se ele não puder ser transferido ou separado da adquirida ou de outros direitos e obrigações. Por exemplo:</w:t>
      </w:r>
    </w:p>
    <w:p w:rsidR="004C4D03" w:rsidRPr="000C6262" w:rsidRDefault="004C4D03" w:rsidP="004C4D03">
      <w:pPr>
        <w:spacing w:after="0" w:line="240" w:lineRule="auto"/>
        <w:jc w:val="both"/>
        <w:rPr>
          <w:rFonts w:ascii="Times New Roman" w:hAnsi="Times New Roman" w:cs="Times New Roman"/>
          <w:sz w:val="24"/>
          <w:szCs w:val="24"/>
        </w:rPr>
      </w:pPr>
      <w:r w:rsidRPr="004C4D03">
        <w:rPr>
          <w:rFonts w:ascii="Times New Roman" w:hAnsi="Times New Roman" w:cs="Times New Roman"/>
          <w:sz w:val="24"/>
          <w:szCs w:val="24"/>
        </w:rPr>
        <w:t>(a)</w:t>
      </w:r>
      <w:r w:rsidRPr="004C4D03">
        <w:rPr>
          <w:rFonts w:ascii="Times New Roman" w:hAnsi="Times New Roman" w:cs="Times New Roman"/>
          <w:sz w:val="24"/>
          <w:szCs w:val="24"/>
        </w:rPr>
        <w:tab/>
      </w:r>
      <w:r w:rsidRPr="00CC6026">
        <w:rPr>
          <w:rFonts w:ascii="Times New Roman" w:hAnsi="Times New Roman" w:cs="Times New Roman"/>
          <w:strike/>
          <w:sz w:val="24"/>
          <w:szCs w:val="24"/>
        </w:rPr>
        <w:t>a adquirida arrenda instalações fabris por meio de contrato de arrendamento cujos termos e condições são favoráveis em relação ao mercado. As condições do arrendamento explicitamente proíbem a transferência do arrendamento (por meio da venda ou sublocação). O montante pelo qual as condições de arrendamento são favoráveis em relação às condições das operações correntes de mercado para itens iguais ou similares constitui ativo intangível que atende ao critério contratual-legal para ser reconhecido separadamente do ágio por expectativa de rentabilidade futura (</w:t>
      </w:r>
      <w:proofErr w:type="spellStart"/>
      <w:r w:rsidRPr="00CC6026">
        <w:rPr>
          <w:rFonts w:ascii="Times New Roman" w:hAnsi="Times New Roman" w:cs="Times New Roman"/>
          <w:strike/>
          <w:sz w:val="24"/>
          <w:szCs w:val="24"/>
        </w:rPr>
        <w:t>goodwill</w:t>
      </w:r>
      <w:proofErr w:type="spellEnd"/>
      <w:r w:rsidRPr="00CC6026">
        <w:rPr>
          <w:rFonts w:ascii="Times New Roman" w:hAnsi="Times New Roman" w:cs="Times New Roman"/>
          <w:strike/>
          <w:sz w:val="24"/>
          <w:szCs w:val="24"/>
        </w:rPr>
        <w:t>), embora o adquirente não possa vender ou transferir o contrato de arrendamento;</w:t>
      </w:r>
      <w:r w:rsidR="000C6262">
        <w:rPr>
          <w:rFonts w:ascii="Times New Roman" w:hAnsi="Times New Roman" w:cs="Times New Roman"/>
          <w:strike/>
          <w:sz w:val="24"/>
          <w:szCs w:val="24"/>
        </w:rPr>
        <w:t xml:space="preserve"> </w:t>
      </w:r>
      <w:r w:rsidR="00A04CFA">
        <w:rPr>
          <w:rFonts w:ascii="Times New Roman" w:hAnsi="Times New Roman" w:cs="Times New Roman"/>
          <w:sz w:val="24"/>
          <w:szCs w:val="24"/>
        </w:rPr>
        <w:t>e</w:t>
      </w:r>
      <w:r w:rsidR="000C6262">
        <w:rPr>
          <w:rFonts w:ascii="Times New Roman" w:hAnsi="Times New Roman" w:cs="Times New Roman"/>
          <w:sz w:val="24"/>
          <w:szCs w:val="24"/>
        </w:rPr>
        <w:t>liminad</w:t>
      </w:r>
      <w:r w:rsidR="00A04CFA">
        <w:rPr>
          <w:rFonts w:ascii="Times New Roman" w:hAnsi="Times New Roman" w:cs="Times New Roman"/>
          <w:sz w:val="24"/>
          <w:szCs w:val="24"/>
        </w:rPr>
        <w:t>a;</w:t>
      </w:r>
    </w:p>
    <w:p w:rsidR="00A2457C" w:rsidRPr="0058334A" w:rsidRDefault="004C4D03" w:rsidP="004C4D03">
      <w:pPr>
        <w:spacing w:after="0" w:line="240" w:lineRule="auto"/>
        <w:jc w:val="both"/>
        <w:rPr>
          <w:rFonts w:ascii="Times New Roman" w:hAnsi="Times New Roman" w:cs="Times New Roman"/>
          <w:sz w:val="24"/>
          <w:szCs w:val="24"/>
        </w:rPr>
      </w:pPr>
      <w:r w:rsidRPr="0058334A">
        <w:rPr>
          <w:rFonts w:ascii="Times New Roman" w:hAnsi="Times New Roman" w:cs="Times New Roman"/>
          <w:sz w:val="24"/>
          <w:szCs w:val="24"/>
        </w:rPr>
        <w:t>(b) (...)</w:t>
      </w:r>
    </w:p>
    <w:p w:rsidR="004C4D03" w:rsidRPr="0058334A" w:rsidRDefault="004C4D03" w:rsidP="004C4D03">
      <w:pPr>
        <w:spacing w:after="0" w:line="240" w:lineRule="auto"/>
        <w:jc w:val="both"/>
        <w:rPr>
          <w:rFonts w:ascii="Times New Roman" w:hAnsi="Times New Roman" w:cs="Times New Roman"/>
          <w:sz w:val="24"/>
          <w:szCs w:val="24"/>
        </w:rPr>
      </w:pPr>
    </w:p>
    <w:p w:rsidR="00A2457C" w:rsidRDefault="004C4D03" w:rsidP="004A4156">
      <w:pPr>
        <w:spacing w:after="0" w:line="240" w:lineRule="auto"/>
        <w:jc w:val="both"/>
        <w:rPr>
          <w:rFonts w:ascii="Times New Roman" w:hAnsi="Times New Roman" w:cs="Times New Roman"/>
          <w:sz w:val="24"/>
          <w:szCs w:val="24"/>
        </w:rPr>
      </w:pPr>
      <w:r w:rsidRPr="004C4D03">
        <w:rPr>
          <w:rFonts w:ascii="Times New Roman" w:hAnsi="Times New Roman" w:cs="Times New Roman"/>
          <w:sz w:val="24"/>
          <w:szCs w:val="24"/>
        </w:rPr>
        <w:t>B42.</w:t>
      </w:r>
      <w:r w:rsidRPr="004C4D03">
        <w:rPr>
          <w:rFonts w:ascii="Times New Roman" w:hAnsi="Times New Roman" w:cs="Times New Roman"/>
          <w:sz w:val="24"/>
          <w:szCs w:val="24"/>
        </w:rPr>
        <w:tab/>
        <w:t xml:space="preserve">Na mensuração do valor justo, na data da aquisição, de ativo tal como edifício ou patente que sejam objeto de arrendamento mercantil operacional, </w:t>
      </w:r>
      <w:r w:rsidR="003E4337" w:rsidRPr="003E4337">
        <w:rPr>
          <w:rFonts w:ascii="Times New Roman" w:hAnsi="Times New Roman" w:cs="Times New Roman"/>
          <w:sz w:val="24"/>
          <w:szCs w:val="24"/>
          <w:u w:val="single"/>
        </w:rPr>
        <w:t>em que a adquirida é o</w:t>
      </w:r>
      <w:r w:rsidRPr="004C4D03">
        <w:rPr>
          <w:rFonts w:ascii="Times New Roman" w:hAnsi="Times New Roman" w:cs="Times New Roman"/>
          <w:sz w:val="24"/>
          <w:szCs w:val="24"/>
        </w:rPr>
        <w:t xml:space="preserve"> arrendador, o adquirente deve considerar os termos e as condições do contrato de arrendamento. </w:t>
      </w:r>
      <w:r w:rsidR="00CC6026">
        <w:rPr>
          <w:rFonts w:ascii="Times New Roman" w:hAnsi="Times New Roman" w:cs="Times New Roman"/>
          <w:sz w:val="24"/>
          <w:szCs w:val="24"/>
        </w:rPr>
        <w:t xml:space="preserve">O </w:t>
      </w:r>
      <w:r w:rsidRPr="004C4D03">
        <w:rPr>
          <w:rFonts w:ascii="Times New Roman" w:hAnsi="Times New Roman" w:cs="Times New Roman"/>
          <w:sz w:val="24"/>
          <w:szCs w:val="24"/>
        </w:rPr>
        <w:t xml:space="preserve">adquirente não </w:t>
      </w:r>
      <w:r w:rsidRPr="004C4D03">
        <w:rPr>
          <w:rFonts w:ascii="Times New Roman" w:hAnsi="Times New Roman" w:cs="Times New Roman"/>
          <w:sz w:val="24"/>
          <w:szCs w:val="24"/>
        </w:rPr>
        <w:lastRenderedPageBreak/>
        <w:t xml:space="preserve">deve reconhecer </w:t>
      </w:r>
      <w:r w:rsidR="00CC6026">
        <w:rPr>
          <w:rFonts w:ascii="Times New Roman" w:hAnsi="Times New Roman" w:cs="Times New Roman"/>
          <w:sz w:val="24"/>
          <w:szCs w:val="24"/>
        </w:rPr>
        <w:t>o</w:t>
      </w:r>
      <w:r w:rsidRPr="004C4D03">
        <w:rPr>
          <w:rFonts w:ascii="Times New Roman" w:hAnsi="Times New Roman" w:cs="Times New Roman"/>
          <w:sz w:val="24"/>
          <w:szCs w:val="24"/>
        </w:rPr>
        <w:t xml:space="preserve"> ativo ou passivo separadamente se as condições do arrendamento mercantil operacional forem favoráveis ou desfavoráveis em </w:t>
      </w:r>
      <w:r w:rsidR="00CC6026">
        <w:rPr>
          <w:rFonts w:ascii="Times New Roman" w:hAnsi="Times New Roman" w:cs="Times New Roman"/>
          <w:sz w:val="24"/>
          <w:szCs w:val="24"/>
        </w:rPr>
        <w:t>relação às condições de mercado</w:t>
      </w:r>
      <w:r w:rsidRPr="004C4D03">
        <w:rPr>
          <w:rFonts w:ascii="Times New Roman" w:hAnsi="Times New Roman" w:cs="Times New Roman"/>
          <w:sz w:val="24"/>
          <w:szCs w:val="24"/>
        </w:rPr>
        <w:t>.</w:t>
      </w:r>
      <w:r w:rsidR="00A04CFA" w:rsidRPr="00A04CFA">
        <w:rPr>
          <w:rFonts w:ascii="Times New Roman" w:hAnsi="Times New Roman" w:cs="Times New Roman"/>
          <w:sz w:val="24"/>
          <w:szCs w:val="24"/>
        </w:rPr>
        <w:t xml:space="preserve"> </w:t>
      </w:r>
    </w:p>
    <w:p w:rsidR="00A2457C" w:rsidRDefault="00A2457C" w:rsidP="004A4156">
      <w:pPr>
        <w:spacing w:after="0" w:line="240" w:lineRule="auto"/>
        <w:jc w:val="both"/>
        <w:rPr>
          <w:rFonts w:ascii="Times New Roman" w:hAnsi="Times New Roman" w:cs="Times New Roman"/>
          <w:sz w:val="24"/>
          <w:szCs w:val="24"/>
        </w:rPr>
      </w:pPr>
    </w:p>
    <w:p w:rsidR="001F7207" w:rsidRPr="00A2302E" w:rsidRDefault="001F7207" w:rsidP="001F7207">
      <w:pPr>
        <w:spacing w:after="0" w:line="240" w:lineRule="auto"/>
        <w:jc w:val="both"/>
        <w:rPr>
          <w:rFonts w:ascii="Times New Roman" w:hAnsi="Times New Roman" w:cs="Times New Roman"/>
          <w:sz w:val="24"/>
          <w:szCs w:val="24"/>
        </w:rPr>
      </w:pPr>
    </w:p>
    <w:p w:rsidR="001F7207" w:rsidRPr="00A2302E" w:rsidRDefault="001F7207" w:rsidP="001F7207">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 xml:space="preserve">6. </w:t>
      </w:r>
      <w:r w:rsidRPr="00A2302E">
        <w:rPr>
          <w:rFonts w:ascii="Times New Roman" w:hAnsi="Times New Roman" w:cs="Times New Roman"/>
          <w:b/>
          <w:sz w:val="24"/>
          <w:szCs w:val="24"/>
        </w:rPr>
        <w:tab/>
        <w:t>Altera o item 12 no CPC 16 (R1) – Estoques, que passa a vigorar com a seguinte redação:</w:t>
      </w:r>
    </w:p>
    <w:p w:rsidR="001F7207" w:rsidRPr="00A2302E" w:rsidRDefault="001F7207" w:rsidP="001F7207">
      <w:pPr>
        <w:spacing w:after="0" w:line="240" w:lineRule="auto"/>
        <w:jc w:val="both"/>
        <w:rPr>
          <w:rFonts w:ascii="Times New Roman" w:hAnsi="Times New Roman" w:cs="Times New Roman"/>
          <w:sz w:val="24"/>
          <w:szCs w:val="24"/>
        </w:rPr>
      </w:pPr>
    </w:p>
    <w:p w:rsidR="001F7207" w:rsidRPr="00A2302E" w:rsidRDefault="001F7207" w:rsidP="001F720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12. </w:t>
      </w:r>
      <w:r w:rsidRPr="00A2302E">
        <w:rPr>
          <w:rFonts w:ascii="Times New Roman" w:hAnsi="Times New Roman" w:cs="Times New Roman"/>
          <w:sz w:val="24"/>
          <w:szCs w:val="24"/>
        </w:rPr>
        <w:tab/>
        <w:t xml:space="preserve">Os custos de transformação de estoques incluem os custos diretamente relacionados com as unidades produzidas ou com as linhas de produção, como pode ser o caso da mão de obra direta. Também incluem a alocação sistemática de custos indiretos de produção, fixos e variáveis, que sejam incorridos para transformar os materiais em produtos acabados. Os custos indiretos de produção fixos são aqueles que permanecem relativamente constantes independentemente do volume de produção, tais como a depreciação e a manutenção de edifícios e instalações fabris, máquinas, equipamentos </w:t>
      </w:r>
      <w:r w:rsidR="003E4337" w:rsidRPr="00A2302E">
        <w:rPr>
          <w:rFonts w:ascii="Times New Roman" w:hAnsi="Times New Roman" w:cs="Times New Roman"/>
          <w:sz w:val="24"/>
          <w:szCs w:val="24"/>
          <w:u w:val="single"/>
        </w:rPr>
        <w:t xml:space="preserve">e ativos de direito de uso utilizados no processo de produção e o custo de gestão e de </w:t>
      </w:r>
      <w:r w:rsidRPr="00A2302E">
        <w:rPr>
          <w:rFonts w:ascii="Times New Roman" w:hAnsi="Times New Roman" w:cs="Times New Roman"/>
          <w:sz w:val="24"/>
          <w:szCs w:val="24"/>
        </w:rPr>
        <w:t>administração da fábrica. Os custos indiretos de produção variáveis são aqueles que variam diretamente, ou quase diretamente, com o volume de produção, tais como materiais indiretos e certos tipos de mão de obra indireta.</w:t>
      </w:r>
    </w:p>
    <w:p w:rsidR="001F7207" w:rsidRPr="00A2302E" w:rsidRDefault="001F7207" w:rsidP="00C2654C">
      <w:pPr>
        <w:spacing w:after="0" w:line="240" w:lineRule="auto"/>
        <w:jc w:val="both"/>
        <w:rPr>
          <w:rFonts w:ascii="Times New Roman" w:hAnsi="Times New Roman" w:cs="Times New Roman"/>
          <w:sz w:val="24"/>
          <w:szCs w:val="24"/>
        </w:rPr>
      </w:pPr>
    </w:p>
    <w:p w:rsidR="001F7207" w:rsidRPr="00A2302E" w:rsidRDefault="001F7207" w:rsidP="00C2654C">
      <w:pPr>
        <w:spacing w:after="0" w:line="240" w:lineRule="auto"/>
        <w:jc w:val="both"/>
        <w:rPr>
          <w:rFonts w:ascii="Times New Roman" w:hAnsi="Times New Roman" w:cs="Times New Roman"/>
          <w:b/>
          <w:sz w:val="24"/>
          <w:szCs w:val="24"/>
        </w:rPr>
      </w:pPr>
    </w:p>
    <w:p w:rsidR="00C2654C" w:rsidRPr="00A2302E" w:rsidRDefault="001F7207" w:rsidP="00C2654C">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7</w:t>
      </w:r>
      <w:r w:rsidR="00C2654C" w:rsidRPr="00A2302E">
        <w:rPr>
          <w:rFonts w:ascii="Times New Roman" w:hAnsi="Times New Roman" w:cs="Times New Roman"/>
          <w:b/>
          <w:sz w:val="24"/>
          <w:szCs w:val="24"/>
        </w:rPr>
        <w:t xml:space="preserve">. </w:t>
      </w:r>
      <w:r w:rsidR="00C2654C" w:rsidRPr="00A2302E">
        <w:rPr>
          <w:rFonts w:ascii="Times New Roman" w:hAnsi="Times New Roman" w:cs="Times New Roman"/>
          <w:b/>
          <w:sz w:val="24"/>
          <w:szCs w:val="24"/>
        </w:rPr>
        <w:tab/>
        <w:t>Inclui os itens 14A e 45G a 45K e exclui o item 41 no CPC 18 (R2) – Investimento em Coligada, em Controlada e em Empreendimento Controlado em Conjunto, que passam a vigorar com as seguintes redações:</w:t>
      </w:r>
    </w:p>
    <w:p w:rsidR="00C2654C" w:rsidRPr="00A2302E" w:rsidRDefault="00C2654C" w:rsidP="00C2654C">
      <w:pPr>
        <w:spacing w:after="0" w:line="240" w:lineRule="auto"/>
        <w:jc w:val="both"/>
        <w:rPr>
          <w:rFonts w:ascii="Times New Roman" w:hAnsi="Times New Roman" w:cs="Times New Roman"/>
          <w:sz w:val="24"/>
          <w:szCs w:val="24"/>
        </w:rPr>
      </w:pPr>
    </w:p>
    <w:p w:rsidR="00C2654C" w:rsidRPr="00A2302E" w:rsidRDefault="003E4337" w:rsidP="00C2654C">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14A. A entidade também deve aplicar o CPC 48 a outros instrumentos financeiros em coligada, em controlada ou em empreendimento controlado em conjunto à qual o método da equivalência patrimonial não é aplicado. Esses instrumentos incluem participações em longo prazo que, em substância, fazem parte do investimento líquido da entidade em coligada, em controlada ou em empreendimento controlado em conjunto (ver item 38). A entidade deve aplicar o CPC 48 a tais participações em longo prazo antes de aplicar o item 38 e os itens 40 a 43 deste pronunciamento. Ao aplicar o CPC 48, a entidade não deve levar em consideração quaisquer ajustes no valor contábil de participações em longo prazo decorrentes da aplicação deste pronunciamento.</w:t>
      </w:r>
    </w:p>
    <w:p w:rsidR="00C2654C" w:rsidRPr="00A2302E" w:rsidRDefault="00C2654C" w:rsidP="00C2654C">
      <w:pPr>
        <w:spacing w:after="0" w:line="240" w:lineRule="auto"/>
        <w:jc w:val="both"/>
        <w:rPr>
          <w:rFonts w:ascii="Times New Roman" w:hAnsi="Times New Roman" w:cs="Times New Roman"/>
          <w:sz w:val="24"/>
          <w:szCs w:val="24"/>
        </w:rPr>
      </w:pPr>
    </w:p>
    <w:p w:rsidR="00C2654C" w:rsidRPr="00A2302E" w:rsidRDefault="00C2654C" w:rsidP="00C2654C">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41.</w:t>
      </w:r>
      <w:r w:rsidRPr="00A2302E">
        <w:rPr>
          <w:rFonts w:ascii="Times New Roman" w:hAnsi="Times New Roman" w:cs="Times New Roman"/>
          <w:sz w:val="24"/>
          <w:szCs w:val="24"/>
        </w:rPr>
        <w:tab/>
        <w:t xml:space="preserve"> (Eliminado)</w:t>
      </w:r>
      <w:r w:rsidR="008A1CAA" w:rsidRPr="00A2302E">
        <w:rPr>
          <w:rFonts w:ascii="Times New Roman" w:hAnsi="Times New Roman" w:cs="Times New Roman"/>
          <w:sz w:val="24"/>
          <w:szCs w:val="24"/>
        </w:rPr>
        <w:t>.</w:t>
      </w:r>
    </w:p>
    <w:p w:rsidR="00C2654C" w:rsidRPr="00A2302E" w:rsidRDefault="00C2654C" w:rsidP="00C2654C">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w:t>
      </w:r>
    </w:p>
    <w:p w:rsidR="00C2654C" w:rsidRPr="00A2302E" w:rsidRDefault="003E4337" w:rsidP="00C2654C">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45G. A entidade deve aplicar as alterações dos itens 14A e 41, retrospectivamente, de acordo com o CPC 23 para períodos de relatório anual com início em 1º de janeiro do in</w:t>
      </w:r>
      <w:r w:rsidR="00540C1A">
        <w:rPr>
          <w:rFonts w:ascii="Times New Roman" w:hAnsi="Times New Roman" w:cs="Times New Roman"/>
          <w:sz w:val="24"/>
          <w:szCs w:val="24"/>
          <w:u w:val="single"/>
        </w:rPr>
        <w:t>í</w:t>
      </w:r>
      <w:r w:rsidRPr="00A2302E">
        <w:rPr>
          <w:rFonts w:ascii="Times New Roman" w:hAnsi="Times New Roman" w:cs="Times New Roman"/>
          <w:sz w:val="24"/>
          <w:szCs w:val="24"/>
          <w:u w:val="single"/>
        </w:rPr>
        <w:t>cio da vigência des</w:t>
      </w:r>
      <w:r w:rsidR="00540C1A">
        <w:rPr>
          <w:rFonts w:ascii="Times New Roman" w:hAnsi="Times New Roman" w:cs="Times New Roman"/>
          <w:sz w:val="24"/>
          <w:szCs w:val="24"/>
          <w:u w:val="single"/>
        </w:rPr>
        <w:t>s</w:t>
      </w:r>
      <w:r w:rsidRPr="00A2302E">
        <w:rPr>
          <w:rFonts w:ascii="Times New Roman" w:hAnsi="Times New Roman" w:cs="Times New Roman"/>
          <w:sz w:val="24"/>
          <w:szCs w:val="24"/>
          <w:u w:val="single"/>
        </w:rPr>
        <w:t xml:space="preserve">as alterações, exceto quando especificado nos itens 45H a 45K. </w:t>
      </w:r>
    </w:p>
    <w:p w:rsidR="00C2654C" w:rsidRPr="00A2302E" w:rsidRDefault="00C2654C" w:rsidP="00C2654C">
      <w:pPr>
        <w:spacing w:after="0" w:line="240" w:lineRule="auto"/>
        <w:jc w:val="both"/>
        <w:rPr>
          <w:rFonts w:ascii="Times New Roman" w:hAnsi="Times New Roman" w:cs="Times New Roman"/>
          <w:sz w:val="24"/>
          <w:szCs w:val="24"/>
        </w:rPr>
      </w:pPr>
    </w:p>
    <w:p w:rsidR="00C2654C" w:rsidRPr="00A2302E" w:rsidRDefault="003E4337" w:rsidP="00C2654C">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45H. A entidade que aplica pela primeira vez as alterações no item 45G ao mesmo tempo que aplica pela primeira vez o CPC 48 deve aplicar os requisitos de transição no CPC 48 às participações em longo prazo descritos no item 14A.</w:t>
      </w:r>
    </w:p>
    <w:p w:rsidR="00C2654C" w:rsidRPr="00A2302E" w:rsidRDefault="00C2654C" w:rsidP="00C2654C">
      <w:pPr>
        <w:spacing w:after="0" w:line="240" w:lineRule="auto"/>
        <w:jc w:val="both"/>
        <w:rPr>
          <w:rFonts w:ascii="Times New Roman" w:hAnsi="Times New Roman" w:cs="Times New Roman"/>
          <w:sz w:val="24"/>
          <w:szCs w:val="24"/>
        </w:rPr>
      </w:pPr>
    </w:p>
    <w:p w:rsidR="00C2654C" w:rsidRPr="00A2302E" w:rsidRDefault="003E4337" w:rsidP="00C2654C">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 xml:space="preserve">45I. A entidade que aplicou pela primeira vez as alterações no item 45G após a primeira aplicação do CPC 48 deve aplicar os requisitos de transição do CPC 48 necessários para a aplicação dos requisitos estabelecidos no item 14A para as participações em longo prazo. Para esse propósito, as referências à data da aplicação inicial do CPC 48 devem ser lidas como referentes ao início do período de relatório anual em que a entidade aplica as alterações pela primeira vez (a data da aplicação inicial das alterações). A entidade não é obrigada a reapresentar os períodos anteriores para refletir a aplicação das alterações. A entidade pode reapresentar períodos anteriores somente se for possível sem o uso de </w:t>
      </w:r>
      <w:r w:rsidR="005D7FD5">
        <w:rPr>
          <w:rFonts w:ascii="Times New Roman" w:hAnsi="Times New Roman" w:cs="Times New Roman"/>
          <w:sz w:val="24"/>
          <w:szCs w:val="24"/>
          <w:u w:val="single"/>
        </w:rPr>
        <w:t>percepção posterior</w:t>
      </w:r>
      <w:r w:rsidRPr="00A2302E">
        <w:rPr>
          <w:rFonts w:ascii="Times New Roman" w:hAnsi="Times New Roman" w:cs="Times New Roman"/>
          <w:sz w:val="24"/>
          <w:szCs w:val="24"/>
          <w:u w:val="single"/>
        </w:rPr>
        <w:t>.</w:t>
      </w:r>
    </w:p>
    <w:p w:rsidR="008865CE" w:rsidRPr="00A2302E" w:rsidRDefault="008865CE" w:rsidP="00C2654C">
      <w:pPr>
        <w:spacing w:after="0" w:line="240" w:lineRule="auto"/>
        <w:jc w:val="both"/>
        <w:rPr>
          <w:rFonts w:ascii="Times New Roman" w:hAnsi="Times New Roman" w:cs="Times New Roman"/>
          <w:sz w:val="24"/>
          <w:szCs w:val="24"/>
          <w:u w:val="single"/>
        </w:rPr>
      </w:pPr>
    </w:p>
    <w:p w:rsidR="00C2654C" w:rsidRPr="00A2302E" w:rsidRDefault="003E4337" w:rsidP="00C2654C">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lastRenderedPageBreak/>
        <w:t xml:space="preserve">45J. Ao aplicar pela primeira vez as alterações no item 45G, a entidade que aplica a isenção temporária do CPC 48, de acordo com os contratos de seguro do CPC 11, não é obrigada a reapresentar os períodos anteriores para refletir a aplicação das alterações. A entidade pode reapresentar períodos anteriores somente se for possível sem o uso de </w:t>
      </w:r>
      <w:r w:rsidR="005D7FD5">
        <w:rPr>
          <w:rFonts w:ascii="Times New Roman" w:hAnsi="Times New Roman" w:cs="Times New Roman"/>
          <w:sz w:val="24"/>
          <w:szCs w:val="24"/>
          <w:u w:val="single"/>
        </w:rPr>
        <w:t>percepção posterior</w:t>
      </w:r>
      <w:r w:rsidRPr="00A2302E">
        <w:rPr>
          <w:rFonts w:ascii="Times New Roman" w:hAnsi="Times New Roman" w:cs="Times New Roman"/>
          <w:sz w:val="24"/>
          <w:szCs w:val="24"/>
          <w:u w:val="single"/>
        </w:rPr>
        <w:t>.</w:t>
      </w:r>
    </w:p>
    <w:p w:rsidR="00C2654C" w:rsidRPr="00A2302E" w:rsidRDefault="00C2654C" w:rsidP="00C2654C">
      <w:pPr>
        <w:spacing w:after="0" w:line="240" w:lineRule="auto"/>
        <w:jc w:val="both"/>
        <w:rPr>
          <w:rFonts w:ascii="Times New Roman" w:hAnsi="Times New Roman" w:cs="Times New Roman"/>
          <w:sz w:val="24"/>
          <w:szCs w:val="24"/>
        </w:rPr>
      </w:pPr>
    </w:p>
    <w:p w:rsidR="00C2654C" w:rsidRPr="00A2302E" w:rsidRDefault="003E4337" w:rsidP="00C2654C">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45K. Se a entidade não reapresentar os períodos anteriores, aplicando o item 45I ou o item 45J, na data da aplicação inicial das alterações, deve reconhecer em lucros acumulados (ou outro componente do patrimônio líquido, conforme apropriado) qualquer diferença entre:</w:t>
      </w:r>
    </w:p>
    <w:p w:rsidR="00C2654C" w:rsidRPr="00A2302E" w:rsidRDefault="003E4337" w:rsidP="00C2654C">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(a) o valor contábil anterior das participações em longo prazo descritas no item 14A nessa data; e</w:t>
      </w:r>
    </w:p>
    <w:p w:rsidR="00C2654C" w:rsidRPr="00A2302E" w:rsidRDefault="003E4337" w:rsidP="00C2654C">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u w:val="single"/>
        </w:rPr>
        <w:t>(b) o valor contábil dessas participações em longo prazo nessa data.</w:t>
      </w:r>
    </w:p>
    <w:p w:rsidR="00C2654C" w:rsidRPr="00A2302E" w:rsidRDefault="00C2654C" w:rsidP="00C2654C">
      <w:pPr>
        <w:spacing w:after="0" w:line="240" w:lineRule="auto"/>
        <w:jc w:val="both"/>
        <w:rPr>
          <w:rFonts w:ascii="Times New Roman" w:hAnsi="Times New Roman" w:cs="Times New Roman"/>
          <w:sz w:val="24"/>
          <w:szCs w:val="24"/>
        </w:rPr>
      </w:pPr>
    </w:p>
    <w:p w:rsidR="00C2654C" w:rsidRPr="00A2302E" w:rsidRDefault="00C2654C" w:rsidP="00C2654C">
      <w:pPr>
        <w:spacing w:after="0" w:line="240" w:lineRule="auto"/>
        <w:jc w:val="both"/>
        <w:rPr>
          <w:rFonts w:ascii="Times New Roman" w:hAnsi="Times New Roman" w:cs="Times New Roman"/>
          <w:sz w:val="24"/>
          <w:szCs w:val="24"/>
        </w:rPr>
      </w:pPr>
    </w:p>
    <w:p w:rsidR="00C2654C" w:rsidRPr="00A2302E" w:rsidRDefault="001F7207" w:rsidP="00C2654C">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8</w:t>
      </w:r>
      <w:r w:rsidR="00C2654C" w:rsidRPr="00A2302E">
        <w:rPr>
          <w:rFonts w:ascii="Times New Roman" w:hAnsi="Times New Roman" w:cs="Times New Roman"/>
          <w:b/>
          <w:sz w:val="24"/>
          <w:szCs w:val="24"/>
        </w:rPr>
        <w:t xml:space="preserve">. </w:t>
      </w:r>
      <w:r w:rsidR="00C2654C" w:rsidRPr="00A2302E">
        <w:rPr>
          <w:rFonts w:ascii="Times New Roman" w:hAnsi="Times New Roman" w:cs="Times New Roman"/>
          <w:b/>
          <w:sz w:val="24"/>
          <w:szCs w:val="24"/>
        </w:rPr>
        <w:tab/>
        <w:t>Inclui o item B33CA no CPC 19 (R2) – Negócios em Conjunto, que passa a vigorar com a seguinte redação:</w:t>
      </w:r>
    </w:p>
    <w:p w:rsidR="00C2654C" w:rsidRPr="00A2302E" w:rsidRDefault="00C2654C" w:rsidP="00C2654C">
      <w:pPr>
        <w:spacing w:after="0" w:line="240" w:lineRule="auto"/>
        <w:jc w:val="both"/>
        <w:rPr>
          <w:rFonts w:ascii="Times New Roman" w:hAnsi="Times New Roman" w:cs="Times New Roman"/>
          <w:sz w:val="24"/>
          <w:szCs w:val="24"/>
        </w:rPr>
      </w:pPr>
    </w:p>
    <w:p w:rsidR="00C2654C" w:rsidRPr="00A2302E" w:rsidRDefault="003E4337" w:rsidP="00C2654C">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B33CA. A parte que participa, mas não tem controle conjunto, de operação conjunta pode obter o controle conjunto da operação conjunta em que a atividade da operação conjunta constitui um negócio, conforme definido no CPC 15. Nesses casos, participações anteriormente detidas em operação conjunta não devem ser remensuradas.</w:t>
      </w:r>
    </w:p>
    <w:p w:rsidR="007F0317" w:rsidRPr="00A2302E" w:rsidRDefault="007F0317" w:rsidP="007F0317">
      <w:pPr>
        <w:spacing w:after="0" w:line="240" w:lineRule="auto"/>
        <w:jc w:val="both"/>
        <w:rPr>
          <w:rFonts w:ascii="Times New Roman" w:hAnsi="Times New Roman" w:cs="Times New Roman"/>
          <w:sz w:val="24"/>
          <w:szCs w:val="24"/>
        </w:rPr>
      </w:pPr>
    </w:p>
    <w:p w:rsidR="001F7207" w:rsidRPr="00A2302E" w:rsidRDefault="001F7207" w:rsidP="001F7207">
      <w:pPr>
        <w:spacing w:after="0" w:line="240" w:lineRule="auto"/>
        <w:jc w:val="both"/>
        <w:rPr>
          <w:rFonts w:ascii="Times New Roman" w:hAnsi="Times New Roman" w:cs="Times New Roman"/>
          <w:sz w:val="24"/>
          <w:szCs w:val="24"/>
        </w:rPr>
      </w:pPr>
    </w:p>
    <w:p w:rsidR="001F7207" w:rsidRPr="00A2302E" w:rsidRDefault="001F7207" w:rsidP="001F7207">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 xml:space="preserve">9. </w:t>
      </w:r>
      <w:r w:rsidRPr="00A2302E">
        <w:rPr>
          <w:rFonts w:ascii="Times New Roman" w:hAnsi="Times New Roman" w:cs="Times New Roman"/>
          <w:b/>
          <w:sz w:val="24"/>
          <w:szCs w:val="24"/>
        </w:rPr>
        <w:tab/>
        <w:t>Altera os itens 6 e 14 no CPC 20 (R1) – Custos de Empréstimos, que passam a vigorar com as seguintes redações:</w:t>
      </w:r>
    </w:p>
    <w:p w:rsidR="001F7207" w:rsidRPr="00A2302E" w:rsidRDefault="001F7207" w:rsidP="001F7207">
      <w:pPr>
        <w:spacing w:after="0" w:line="240" w:lineRule="auto"/>
        <w:jc w:val="both"/>
        <w:rPr>
          <w:rFonts w:ascii="Times New Roman" w:hAnsi="Times New Roman" w:cs="Times New Roman"/>
          <w:sz w:val="24"/>
          <w:szCs w:val="24"/>
        </w:rPr>
      </w:pPr>
    </w:p>
    <w:p w:rsidR="002F6737" w:rsidRPr="00A2302E" w:rsidRDefault="001F7207" w:rsidP="001F720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6. </w:t>
      </w:r>
      <w:r w:rsidRPr="00A2302E">
        <w:rPr>
          <w:rFonts w:ascii="Times New Roman" w:hAnsi="Times New Roman" w:cs="Times New Roman"/>
          <w:sz w:val="24"/>
          <w:szCs w:val="24"/>
        </w:rPr>
        <w:tab/>
        <w:t xml:space="preserve">Custos de empréstimos podem incluir: </w:t>
      </w:r>
    </w:p>
    <w:p w:rsidR="001F7207" w:rsidRPr="002744F8" w:rsidRDefault="001F7207" w:rsidP="001F7207">
      <w:pPr>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t xml:space="preserve">(a) (...) </w:t>
      </w:r>
    </w:p>
    <w:p w:rsidR="001F7207" w:rsidRPr="00A2302E" w:rsidRDefault="00CD7C43" w:rsidP="001F720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(d</w:t>
      </w:r>
      <w:r w:rsidR="001F7207" w:rsidRPr="00A2302E">
        <w:rPr>
          <w:rFonts w:ascii="Times New Roman" w:hAnsi="Times New Roman" w:cs="Times New Roman"/>
          <w:sz w:val="24"/>
          <w:szCs w:val="24"/>
        </w:rPr>
        <w:t>)</w:t>
      </w:r>
      <w:r w:rsidR="001F7207" w:rsidRPr="00A2302E">
        <w:rPr>
          <w:rFonts w:ascii="Times New Roman" w:hAnsi="Times New Roman" w:cs="Times New Roman"/>
          <w:sz w:val="24"/>
          <w:szCs w:val="24"/>
        </w:rPr>
        <w:tab/>
      </w:r>
      <w:r w:rsidR="001F7207" w:rsidRPr="00A2302E">
        <w:rPr>
          <w:rFonts w:ascii="Times New Roman" w:hAnsi="Times New Roman" w:cs="Times New Roman"/>
          <w:sz w:val="24"/>
          <w:szCs w:val="24"/>
          <w:u w:val="single"/>
        </w:rPr>
        <w:t>juros sobre passivos de arrendamento mercantil reconhecidos</w:t>
      </w:r>
      <w:r w:rsidR="001F7207" w:rsidRPr="00A2302E">
        <w:rPr>
          <w:rFonts w:ascii="Times New Roman" w:hAnsi="Times New Roman" w:cs="Times New Roman"/>
          <w:sz w:val="24"/>
          <w:szCs w:val="24"/>
        </w:rPr>
        <w:t xml:space="preserve"> de acordo com o CPC 06 – Operações de Arrendamento Mercantil; e</w:t>
      </w:r>
    </w:p>
    <w:p w:rsidR="001F7207" w:rsidRPr="00A2302E" w:rsidRDefault="001F7207" w:rsidP="001F720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w:t>
      </w:r>
      <w:r w:rsidR="00CD7C43" w:rsidRPr="00A2302E">
        <w:rPr>
          <w:rFonts w:ascii="Times New Roman" w:hAnsi="Times New Roman" w:cs="Times New Roman"/>
          <w:sz w:val="24"/>
          <w:szCs w:val="24"/>
        </w:rPr>
        <w:t>e</w:t>
      </w:r>
      <w:r w:rsidRPr="00A2302E">
        <w:rPr>
          <w:rFonts w:ascii="Times New Roman" w:hAnsi="Times New Roman" w:cs="Times New Roman"/>
          <w:sz w:val="24"/>
          <w:szCs w:val="24"/>
        </w:rPr>
        <w:t>)</w:t>
      </w:r>
      <w:r w:rsidRPr="00A2302E">
        <w:rPr>
          <w:rFonts w:ascii="Times New Roman" w:hAnsi="Times New Roman" w:cs="Times New Roman"/>
          <w:sz w:val="24"/>
          <w:szCs w:val="24"/>
        </w:rPr>
        <w:tab/>
        <w:t>(...)</w:t>
      </w:r>
    </w:p>
    <w:p w:rsidR="001F7207" w:rsidRPr="00A2302E" w:rsidRDefault="001F7207" w:rsidP="001F7207">
      <w:pPr>
        <w:spacing w:after="0" w:line="240" w:lineRule="auto"/>
        <w:jc w:val="both"/>
        <w:rPr>
          <w:rFonts w:ascii="Times New Roman" w:hAnsi="Times New Roman" w:cs="Times New Roman"/>
          <w:sz w:val="24"/>
          <w:szCs w:val="24"/>
        </w:rPr>
      </w:pPr>
    </w:p>
    <w:p w:rsidR="001F7207" w:rsidRPr="00A2302E" w:rsidRDefault="001F7207" w:rsidP="001F720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14. </w:t>
      </w:r>
      <w:r w:rsidRPr="00A2302E">
        <w:rPr>
          <w:rFonts w:ascii="Times New Roman" w:hAnsi="Times New Roman" w:cs="Times New Roman"/>
          <w:sz w:val="24"/>
          <w:szCs w:val="24"/>
        </w:rPr>
        <w:tab/>
        <w:t>À medida que a entidade toma recursos emprestados sem destinação específica e os utiliza com o propósito de obter ativo qualificável, a entidade deve determinar o montante dos custos dos empréstimos elegíveis à capitalização</w:t>
      </w:r>
      <w:r w:rsidR="008A1CAA" w:rsidRPr="00A2302E">
        <w:rPr>
          <w:rFonts w:ascii="Times New Roman" w:hAnsi="Times New Roman" w:cs="Times New Roman"/>
          <w:sz w:val="24"/>
          <w:szCs w:val="24"/>
        </w:rPr>
        <w:t>,</w:t>
      </w:r>
      <w:r w:rsidRPr="00A2302E">
        <w:rPr>
          <w:rFonts w:ascii="Times New Roman" w:hAnsi="Times New Roman" w:cs="Times New Roman"/>
          <w:sz w:val="24"/>
          <w:szCs w:val="24"/>
        </w:rPr>
        <w:t xml:space="preserve"> aplicando uma taxa de capitalização aos gastos com o ativo. A taxa de capitalização deve ser a média ponderada dos custos dos empréstimos aplicáveis a </w:t>
      </w:r>
      <w:r w:rsidR="003E4337" w:rsidRPr="00A2302E">
        <w:rPr>
          <w:rFonts w:ascii="Times New Roman" w:hAnsi="Times New Roman" w:cs="Times New Roman"/>
          <w:sz w:val="24"/>
          <w:szCs w:val="24"/>
          <w:u w:val="single"/>
        </w:rPr>
        <w:t>todos os</w:t>
      </w:r>
      <w:r w:rsidRPr="00A2302E">
        <w:rPr>
          <w:rFonts w:ascii="Times New Roman" w:hAnsi="Times New Roman" w:cs="Times New Roman"/>
          <w:sz w:val="24"/>
          <w:szCs w:val="24"/>
        </w:rPr>
        <w:t xml:space="preserve"> empréstimos da entidade que estiveram vigentes durante o período</w:t>
      </w:r>
      <w:r w:rsidR="00CD7C43" w:rsidRPr="00A2302E">
        <w:rPr>
          <w:rFonts w:ascii="Times New Roman" w:hAnsi="Times New Roman" w:cs="Times New Roman"/>
          <w:sz w:val="24"/>
          <w:szCs w:val="24"/>
        </w:rPr>
        <w:t>.</w:t>
      </w:r>
      <w:r w:rsidRPr="00A2302E">
        <w:rPr>
          <w:rFonts w:ascii="Times New Roman" w:hAnsi="Times New Roman" w:cs="Times New Roman"/>
          <w:sz w:val="24"/>
          <w:szCs w:val="24"/>
        </w:rPr>
        <w:t xml:space="preserve"> </w:t>
      </w:r>
      <w:r w:rsidR="003E4337" w:rsidRPr="00A2302E">
        <w:rPr>
          <w:rFonts w:ascii="Times New Roman" w:hAnsi="Times New Roman" w:cs="Times New Roman"/>
          <w:sz w:val="24"/>
          <w:szCs w:val="24"/>
          <w:u w:val="single"/>
        </w:rPr>
        <w:t>No entanto, a entidade deve excluir desse cálculo os custos de empréstimos aplicáveis aos empréstimos feitos especificamente com o propósito de obter um ativo qualificável até que todas as atividades necessárias para preparar esse ativo para uso ou venda pretendidos estejam completas.</w:t>
      </w:r>
      <w:r w:rsidRPr="00A2302E">
        <w:rPr>
          <w:rFonts w:ascii="Times New Roman" w:hAnsi="Times New Roman" w:cs="Times New Roman"/>
          <w:sz w:val="24"/>
          <w:szCs w:val="24"/>
        </w:rPr>
        <w:t xml:space="preserve"> O montante dos custos de empréstimos que a entidade capitaliza durante o período não deve exceder o montante dos custos de empréstimos incorridos durante esse período.</w:t>
      </w:r>
    </w:p>
    <w:p w:rsidR="001F7207" w:rsidRPr="00A2302E" w:rsidRDefault="001F7207" w:rsidP="001F7207">
      <w:pPr>
        <w:spacing w:after="0" w:line="240" w:lineRule="auto"/>
        <w:jc w:val="both"/>
        <w:rPr>
          <w:rFonts w:ascii="Times New Roman" w:hAnsi="Times New Roman" w:cs="Times New Roman"/>
          <w:sz w:val="24"/>
          <w:szCs w:val="24"/>
        </w:rPr>
      </w:pPr>
    </w:p>
    <w:p w:rsidR="001F7207" w:rsidRPr="00A2302E" w:rsidRDefault="001F7207" w:rsidP="001F7207">
      <w:pPr>
        <w:spacing w:after="0" w:line="240" w:lineRule="auto"/>
        <w:jc w:val="both"/>
        <w:rPr>
          <w:rFonts w:ascii="Times New Roman" w:hAnsi="Times New Roman" w:cs="Times New Roman"/>
          <w:sz w:val="24"/>
          <w:szCs w:val="24"/>
        </w:rPr>
      </w:pPr>
    </w:p>
    <w:p w:rsidR="001F7207" w:rsidRPr="00A2302E" w:rsidRDefault="001F7207" w:rsidP="001F7207">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 xml:space="preserve">10. </w:t>
      </w:r>
      <w:r w:rsidRPr="00A2302E">
        <w:rPr>
          <w:rFonts w:ascii="Times New Roman" w:hAnsi="Times New Roman" w:cs="Times New Roman"/>
          <w:b/>
          <w:sz w:val="24"/>
          <w:szCs w:val="24"/>
        </w:rPr>
        <w:tab/>
        <w:t>Altera o item 5 no CPC 25 – Provisões, Passivos Contingentes e Ativos Contingentes, que passa a vigorar com a seguinte redação:</w:t>
      </w:r>
    </w:p>
    <w:p w:rsidR="001F7207" w:rsidRPr="00A2302E" w:rsidRDefault="001F7207" w:rsidP="001F7207">
      <w:pPr>
        <w:spacing w:after="0" w:line="240" w:lineRule="auto"/>
        <w:jc w:val="both"/>
        <w:rPr>
          <w:rFonts w:ascii="Times New Roman" w:hAnsi="Times New Roman" w:cs="Times New Roman"/>
          <w:sz w:val="24"/>
          <w:szCs w:val="24"/>
        </w:rPr>
      </w:pPr>
    </w:p>
    <w:p w:rsidR="001F7207" w:rsidRPr="00A2302E" w:rsidRDefault="001F7207" w:rsidP="001F720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5. </w:t>
      </w:r>
      <w:r w:rsidRPr="00A2302E">
        <w:rPr>
          <w:rFonts w:ascii="Times New Roman" w:hAnsi="Times New Roman" w:cs="Times New Roman"/>
          <w:sz w:val="24"/>
          <w:szCs w:val="24"/>
        </w:rPr>
        <w:tab/>
        <w:t>Quando outro pronunciamento tratar de um tipo específico de provisão ou de passivo ou ativo contingente, a entidade deve aplicar esse pronunciamento em vez do presente pronunciamento. Por exemplo, certos tipos de provisões são tratados nos pronunciamentos relativos a:</w:t>
      </w:r>
    </w:p>
    <w:p w:rsidR="001F7207" w:rsidRPr="002744F8" w:rsidRDefault="001F7207" w:rsidP="001F7207">
      <w:pPr>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t>(a) (...)</w:t>
      </w:r>
    </w:p>
    <w:p w:rsidR="001F7207" w:rsidRPr="00A2302E" w:rsidRDefault="001F7207" w:rsidP="001F720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(c)</w:t>
      </w:r>
      <w:r w:rsidRPr="00A2302E">
        <w:rPr>
          <w:rFonts w:ascii="Times New Roman" w:hAnsi="Times New Roman" w:cs="Times New Roman"/>
          <w:sz w:val="24"/>
          <w:szCs w:val="24"/>
        </w:rPr>
        <w:tab/>
        <w:t xml:space="preserve">arrendamento mercantil (ver o CPC 06 – Operações de Arrendamento Mercantil). </w:t>
      </w:r>
      <w:r w:rsidR="003E4337" w:rsidRPr="00A2302E">
        <w:rPr>
          <w:rFonts w:ascii="Times New Roman" w:hAnsi="Times New Roman" w:cs="Times New Roman"/>
          <w:sz w:val="24"/>
          <w:szCs w:val="24"/>
          <w:u w:val="single"/>
        </w:rPr>
        <w:t xml:space="preserve">No entanto, este pronunciamento aplica-se a qualquer arrendamento que se torne oneroso antes da data </w:t>
      </w:r>
      <w:r w:rsidR="003E4337" w:rsidRPr="00A2302E">
        <w:rPr>
          <w:rFonts w:ascii="Times New Roman" w:hAnsi="Times New Roman" w:cs="Times New Roman"/>
          <w:sz w:val="24"/>
          <w:szCs w:val="24"/>
          <w:u w:val="single"/>
        </w:rPr>
        <w:lastRenderedPageBreak/>
        <w:t>de início do arrendamento, conforme definido no CPC 06. Este pronunciamento também se aplica a arrendamentos em curto prazo e arrendamentos para os quais o ativo subjacente é de baixo valor contabilizado de acordo com o item 6 do CPC 06 e que se tornaram onerosos</w:t>
      </w:r>
      <w:r w:rsidRPr="00A2302E">
        <w:rPr>
          <w:rFonts w:ascii="Times New Roman" w:hAnsi="Times New Roman" w:cs="Times New Roman"/>
          <w:sz w:val="24"/>
          <w:szCs w:val="24"/>
        </w:rPr>
        <w:t>;</w:t>
      </w:r>
    </w:p>
    <w:p w:rsidR="001F7207" w:rsidRPr="00A2302E" w:rsidRDefault="001F7207" w:rsidP="001F720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(d) (...)</w:t>
      </w:r>
    </w:p>
    <w:p w:rsidR="001F7207" w:rsidRPr="00A2302E" w:rsidRDefault="001F7207" w:rsidP="001F7207">
      <w:pPr>
        <w:spacing w:after="0" w:line="240" w:lineRule="auto"/>
        <w:jc w:val="both"/>
        <w:rPr>
          <w:rFonts w:ascii="Times New Roman" w:hAnsi="Times New Roman" w:cs="Times New Roman"/>
          <w:sz w:val="24"/>
          <w:szCs w:val="24"/>
        </w:rPr>
      </w:pPr>
    </w:p>
    <w:p w:rsidR="001F7207" w:rsidRPr="00A2302E" w:rsidRDefault="001F7207" w:rsidP="001F7207">
      <w:pPr>
        <w:spacing w:after="0" w:line="240" w:lineRule="auto"/>
        <w:jc w:val="both"/>
        <w:rPr>
          <w:rFonts w:ascii="Times New Roman" w:hAnsi="Times New Roman" w:cs="Times New Roman"/>
          <w:sz w:val="24"/>
          <w:szCs w:val="24"/>
        </w:rPr>
      </w:pPr>
    </w:p>
    <w:p w:rsidR="001F7207" w:rsidRPr="00A2302E" w:rsidRDefault="001F7207" w:rsidP="001F7207">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 xml:space="preserve">11. </w:t>
      </w:r>
      <w:r w:rsidRPr="00A2302E">
        <w:rPr>
          <w:rFonts w:ascii="Times New Roman" w:hAnsi="Times New Roman" w:cs="Times New Roman"/>
          <w:b/>
          <w:sz w:val="24"/>
          <w:szCs w:val="24"/>
        </w:rPr>
        <w:tab/>
        <w:t>Altera o item 123 no CPC 26 (R1) – Apresentação das Demonstrações Contábeis, que passa a vigorar com a seguinte redação:</w:t>
      </w:r>
    </w:p>
    <w:p w:rsidR="001F7207" w:rsidRPr="00A2302E" w:rsidRDefault="001F7207" w:rsidP="001F7207">
      <w:pPr>
        <w:spacing w:after="0" w:line="240" w:lineRule="auto"/>
        <w:jc w:val="both"/>
        <w:rPr>
          <w:rFonts w:ascii="Times New Roman" w:hAnsi="Times New Roman" w:cs="Times New Roman"/>
          <w:sz w:val="24"/>
          <w:szCs w:val="24"/>
        </w:rPr>
      </w:pPr>
    </w:p>
    <w:p w:rsidR="001F7207" w:rsidRPr="00A2302E" w:rsidRDefault="001F7207" w:rsidP="001F720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123.</w:t>
      </w:r>
      <w:r w:rsidRPr="00A2302E">
        <w:rPr>
          <w:rFonts w:ascii="Times New Roman" w:hAnsi="Times New Roman" w:cs="Times New Roman"/>
          <w:sz w:val="24"/>
          <w:szCs w:val="24"/>
        </w:rPr>
        <w:tab/>
        <w:t>No processo de aplicação das políticas contábeis da entidade, a administração exerce diversos julgamentos, com a exceção dos que envolvem estimativas, que podem afetar significativamente os montantes reconhecidos nas demonstrações contábeis. Por exemplo, a administração exerce julgamento ao definir:</w:t>
      </w:r>
    </w:p>
    <w:p w:rsidR="001F7207" w:rsidRPr="00A2302E" w:rsidRDefault="001F7207" w:rsidP="001F720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(a)</w:t>
      </w:r>
      <w:r w:rsidRPr="00A2302E">
        <w:rPr>
          <w:rFonts w:ascii="Times New Roman" w:hAnsi="Times New Roman" w:cs="Times New Roman"/>
          <w:sz w:val="24"/>
          <w:szCs w:val="24"/>
        </w:rPr>
        <w:tab/>
        <w:t>(eliminada pela Revisão CPC 12)</w:t>
      </w:r>
    </w:p>
    <w:p w:rsidR="001F7207" w:rsidRPr="00A2302E" w:rsidRDefault="001F7207" w:rsidP="001F720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(b) </w:t>
      </w:r>
      <w:r w:rsidRPr="00A2302E">
        <w:rPr>
          <w:rFonts w:ascii="Times New Roman" w:hAnsi="Times New Roman" w:cs="Times New Roman"/>
          <w:sz w:val="24"/>
          <w:szCs w:val="24"/>
        </w:rPr>
        <w:tab/>
        <w:t xml:space="preserve">quando </w:t>
      </w:r>
      <w:r w:rsidR="003E4337" w:rsidRPr="00A2302E">
        <w:rPr>
          <w:rFonts w:ascii="Times New Roman" w:hAnsi="Times New Roman" w:cs="Times New Roman"/>
          <w:sz w:val="24"/>
          <w:szCs w:val="24"/>
          <w:u w:val="single"/>
        </w:rPr>
        <w:t>substancialmente todos</w:t>
      </w:r>
      <w:r w:rsidRPr="00A2302E">
        <w:rPr>
          <w:rFonts w:ascii="Times New Roman" w:hAnsi="Times New Roman" w:cs="Times New Roman"/>
          <w:sz w:val="24"/>
          <w:szCs w:val="24"/>
        </w:rPr>
        <w:t xml:space="preserve"> os riscos e benefícios significativos </w:t>
      </w:r>
      <w:r w:rsidR="003E4337" w:rsidRPr="00A2302E">
        <w:rPr>
          <w:rFonts w:ascii="Times New Roman" w:hAnsi="Times New Roman" w:cs="Times New Roman"/>
          <w:sz w:val="24"/>
          <w:szCs w:val="24"/>
          <w:u w:val="single"/>
        </w:rPr>
        <w:t>da propriedade de ativos financeiros e, para arrendadores, os ativos sujeitos a arrendamento são transferidos para outras entidades;</w:t>
      </w:r>
    </w:p>
    <w:p w:rsidR="001F7207" w:rsidRPr="00A2302E" w:rsidRDefault="001F7207" w:rsidP="001F720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(c) (...)</w:t>
      </w:r>
    </w:p>
    <w:p w:rsidR="001F7207" w:rsidRPr="00A2302E" w:rsidRDefault="001F7207" w:rsidP="001F7207">
      <w:pPr>
        <w:spacing w:after="0" w:line="240" w:lineRule="auto"/>
        <w:jc w:val="both"/>
        <w:rPr>
          <w:rFonts w:ascii="Times New Roman" w:hAnsi="Times New Roman" w:cs="Times New Roman"/>
          <w:sz w:val="24"/>
          <w:szCs w:val="24"/>
        </w:rPr>
      </w:pPr>
    </w:p>
    <w:p w:rsidR="001F7207" w:rsidRPr="00A2302E" w:rsidRDefault="001F7207" w:rsidP="001F7207">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 xml:space="preserve">12. </w:t>
      </w:r>
      <w:r w:rsidRPr="00A2302E">
        <w:rPr>
          <w:rFonts w:ascii="Times New Roman" w:hAnsi="Times New Roman" w:cs="Times New Roman"/>
          <w:b/>
          <w:sz w:val="24"/>
          <w:szCs w:val="24"/>
        </w:rPr>
        <w:tab/>
        <w:t>Altera os itens 5, 10, 29 e 44, exclui os itens 4 e 27 no CPC 27 – Ativo Imobilizado, que passam a vigorar com as seguintes redações:</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4. </w:t>
      </w:r>
      <w:r w:rsidRPr="00A2302E">
        <w:rPr>
          <w:rFonts w:ascii="Times New Roman" w:hAnsi="Times New Roman" w:cs="Times New Roman"/>
          <w:sz w:val="24"/>
          <w:szCs w:val="24"/>
        </w:rPr>
        <w:tab/>
      </w:r>
      <w:r w:rsidR="003212F4" w:rsidRPr="00A2302E">
        <w:rPr>
          <w:rFonts w:ascii="Times New Roman" w:hAnsi="Times New Roman" w:cs="Times New Roman"/>
          <w:sz w:val="24"/>
          <w:szCs w:val="24"/>
        </w:rPr>
        <w:t>Eliminado.</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5. </w:t>
      </w:r>
      <w:r w:rsidRPr="00A2302E">
        <w:rPr>
          <w:rFonts w:ascii="Times New Roman" w:hAnsi="Times New Roman" w:cs="Times New Roman"/>
          <w:sz w:val="24"/>
          <w:szCs w:val="24"/>
        </w:rPr>
        <w:tab/>
        <w:t>A entidade que use o modelo de custo para propriedade para investimento em conformidade com o CPC 28 – Propriedade para Investimento deve u</w:t>
      </w:r>
      <w:r w:rsidR="003212F4" w:rsidRPr="00A2302E">
        <w:rPr>
          <w:rFonts w:ascii="Times New Roman" w:hAnsi="Times New Roman" w:cs="Times New Roman"/>
          <w:sz w:val="24"/>
          <w:szCs w:val="24"/>
        </w:rPr>
        <w:t>tiliz</w:t>
      </w:r>
      <w:r w:rsidRPr="00A2302E">
        <w:rPr>
          <w:rFonts w:ascii="Times New Roman" w:hAnsi="Times New Roman" w:cs="Times New Roman"/>
          <w:sz w:val="24"/>
          <w:szCs w:val="24"/>
        </w:rPr>
        <w:t xml:space="preserve">ar o modelo de custo deste pronunciamento </w:t>
      </w:r>
      <w:r w:rsidR="003E4337" w:rsidRPr="00A2302E">
        <w:rPr>
          <w:rFonts w:ascii="Times New Roman" w:hAnsi="Times New Roman" w:cs="Times New Roman"/>
          <w:sz w:val="24"/>
          <w:szCs w:val="24"/>
          <w:u w:val="single"/>
        </w:rPr>
        <w:t>para propriedade para investimento próprio</w:t>
      </w:r>
      <w:r w:rsidRPr="00A2302E">
        <w:rPr>
          <w:rFonts w:ascii="Times New Roman" w:hAnsi="Times New Roman" w:cs="Times New Roman"/>
          <w:sz w:val="24"/>
          <w:szCs w:val="24"/>
        </w:rPr>
        <w:t>.</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10. </w:t>
      </w:r>
      <w:r w:rsidRPr="00A2302E">
        <w:rPr>
          <w:rFonts w:ascii="Times New Roman" w:hAnsi="Times New Roman" w:cs="Times New Roman"/>
          <w:sz w:val="24"/>
          <w:szCs w:val="24"/>
        </w:rPr>
        <w:tab/>
        <w:t xml:space="preserve">A entidade </w:t>
      </w:r>
      <w:r w:rsidR="0084122C">
        <w:rPr>
          <w:rFonts w:ascii="Times New Roman" w:hAnsi="Times New Roman" w:cs="Times New Roman"/>
          <w:sz w:val="24"/>
          <w:szCs w:val="24"/>
        </w:rPr>
        <w:t xml:space="preserve">deve </w:t>
      </w:r>
      <w:r w:rsidRPr="00A2302E">
        <w:rPr>
          <w:rFonts w:ascii="Times New Roman" w:hAnsi="Times New Roman" w:cs="Times New Roman"/>
          <w:sz w:val="24"/>
          <w:szCs w:val="24"/>
        </w:rPr>
        <w:t>avalia</w:t>
      </w:r>
      <w:r w:rsidR="0084122C">
        <w:rPr>
          <w:rFonts w:ascii="Times New Roman" w:hAnsi="Times New Roman" w:cs="Times New Roman"/>
          <w:sz w:val="24"/>
          <w:szCs w:val="24"/>
        </w:rPr>
        <w:t>r</w:t>
      </w:r>
      <w:r w:rsidRPr="00A2302E">
        <w:rPr>
          <w:rFonts w:ascii="Times New Roman" w:hAnsi="Times New Roman" w:cs="Times New Roman"/>
          <w:sz w:val="24"/>
          <w:szCs w:val="24"/>
        </w:rPr>
        <w:t xml:space="preserve"> segundo esse princípio de reconhecimento todos os seus custos de ativos imobilizados no momento em que eles são incorridos. Esses custos incluem custos incorridos inicialmente para adquirir ou construir item do ativo imobilizado e os custos incorridos posteriormente para renová-lo, substituir suas partes, ou dar manutenção ao mesmo. </w:t>
      </w:r>
      <w:r w:rsidR="003E4337" w:rsidRPr="00A2302E">
        <w:rPr>
          <w:rFonts w:ascii="Times New Roman" w:hAnsi="Times New Roman" w:cs="Times New Roman"/>
          <w:sz w:val="24"/>
          <w:szCs w:val="24"/>
          <w:u w:val="single"/>
        </w:rPr>
        <w:t>O custo de item de imobilizado pode incluir custos incorridos relativos aos contratos de arrendamento de ativo que são usados para construir, adicionar a, substituir parte ou serviço a item do imobilizado, tais como a depreciação de ativo de direito de uso.</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27. </w:t>
      </w:r>
      <w:r w:rsidRPr="00A2302E">
        <w:rPr>
          <w:rFonts w:ascii="Times New Roman" w:hAnsi="Times New Roman" w:cs="Times New Roman"/>
          <w:sz w:val="24"/>
          <w:szCs w:val="24"/>
        </w:rPr>
        <w:tab/>
      </w:r>
      <w:r w:rsidR="006E63A4" w:rsidRPr="00A2302E">
        <w:rPr>
          <w:rFonts w:ascii="Times New Roman" w:hAnsi="Times New Roman" w:cs="Times New Roman"/>
          <w:sz w:val="24"/>
          <w:szCs w:val="24"/>
        </w:rPr>
        <w:t>Eliminado.</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29. </w:t>
      </w:r>
      <w:r w:rsidRPr="00A2302E">
        <w:rPr>
          <w:rFonts w:ascii="Times New Roman" w:hAnsi="Times New Roman" w:cs="Times New Roman"/>
          <w:sz w:val="24"/>
          <w:szCs w:val="24"/>
        </w:rPr>
        <w:tab/>
        <w:t xml:space="preserve">Quando a opção pelo método de reavaliação for permitida por </w:t>
      </w:r>
      <w:proofErr w:type="gramStart"/>
      <w:r w:rsidRPr="00A2302E">
        <w:rPr>
          <w:rFonts w:ascii="Times New Roman" w:hAnsi="Times New Roman" w:cs="Times New Roman"/>
          <w:sz w:val="24"/>
          <w:szCs w:val="24"/>
        </w:rPr>
        <w:t>lei</w:t>
      </w:r>
      <w:r w:rsidR="003E4337" w:rsidRPr="00A2302E">
        <w:rPr>
          <w:rFonts w:ascii="Times New Roman" w:hAnsi="Times New Roman" w:cs="Times New Roman"/>
          <w:sz w:val="24"/>
          <w:szCs w:val="24"/>
          <w:vertAlign w:val="superscript"/>
        </w:rPr>
        <w:t>(</w:t>
      </w:r>
      <w:proofErr w:type="gramEnd"/>
      <w:r w:rsidR="003E4337" w:rsidRPr="00A2302E">
        <w:rPr>
          <w:rFonts w:ascii="Times New Roman" w:hAnsi="Times New Roman" w:cs="Times New Roman"/>
          <w:sz w:val="24"/>
          <w:szCs w:val="24"/>
          <w:vertAlign w:val="superscript"/>
        </w:rPr>
        <w:t>1)</w:t>
      </w:r>
      <w:r w:rsidRPr="00A2302E">
        <w:rPr>
          <w:rFonts w:ascii="Times New Roman" w:hAnsi="Times New Roman" w:cs="Times New Roman"/>
          <w:sz w:val="24"/>
          <w:szCs w:val="24"/>
        </w:rPr>
        <w:t>, a entidade deve optar pelo método de custo do item 30 ou pelo método de reavaliação do item 31 como sua política contábil e deve aplicar essa política a uma classe inteira de ativos imobilizados.</w:t>
      </w:r>
    </w:p>
    <w:p w:rsidR="004A0ED3" w:rsidRPr="00A2302E" w:rsidRDefault="003E4337" w:rsidP="004A0ED3">
      <w:pPr>
        <w:spacing w:after="0" w:line="240" w:lineRule="auto"/>
        <w:jc w:val="both"/>
        <w:rPr>
          <w:rFonts w:ascii="Times New Roman" w:hAnsi="Times New Roman" w:cs="Times New Roman"/>
          <w:sz w:val="20"/>
          <w:szCs w:val="20"/>
          <w:u w:val="single"/>
        </w:rPr>
      </w:pPr>
      <w:r w:rsidRPr="00A2302E">
        <w:rPr>
          <w:rFonts w:ascii="Times New Roman" w:hAnsi="Times New Roman" w:cs="Times New Roman"/>
          <w:sz w:val="24"/>
          <w:szCs w:val="24"/>
          <w:u w:val="single"/>
          <w:vertAlign w:val="superscript"/>
        </w:rPr>
        <w:t>(1)</w:t>
      </w:r>
      <w:r w:rsidRPr="00A2302E">
        <w:rPr>
          <w:rFonts w:ascii="Times New Roman" w:hAnsi="Times New Roman" w:cs="Times New Roman"/>
          <w:sz w:val="20"/>
          <w:szCs w:val="20"/>
          <w:u w:val="single"/>
        </w:rPr>
        <w:t xml:space="preserve"> A reavaliação de bens tangíveis e intangíveis não é permitida devido às disposições contidas na Lei n.º 11.638/2007, que alterou a Lei n.º 6.404/1976.</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44. </w:t>
      </w:r>
      <w:r w:rsidRPr="00A2302E">
        <w:rPr>
          <w:rFonts w:ascii="Times New Roman" w:hAnsi="Times New Roman" w:cs="Times New Roman"/>
          <w:sz w:val="24"/>
          <w:szCs w:val="24"/>
        </w:rPr>
        <w:tab/>
        <w:t>A entidade aloca o valor inicialmente reconhecido de item do ativo imobilizado aos componentes significativos desse item e os deprecia separadamente. Por exemplo, pode ser adequado depreciar separadamente a estrutura e os motores de aeronave. De forma similar, se o arrendador adquire o ativo imobilizado que esteja sujeito a arrendamento mercantil operacional, pode ser adequado depreciar separadamente os montantes relativos ao custo daquele item que sejam atribuíveis a condições do contrato de arrendamento mercantil favoráveis ou desfavoráveis em relação a condições de mercado.</w:t>
      </w:r>
    </w:p>
    <w:p w:rsidR="004A0ED3" w:rsidRPr="00A2302E" w:rsidRDefault="004A0ED3" w:rsidP="004A0ED3">
      <w:pPr>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 xml:space="preserve">13. </w:t>
      </w:r>
      <w:r w:rsidRPr="00A2302E">
        <w:rPr>
          <w:rFonts w:ascii="Times New Roman" w:hAnsi="Times New Roman" w:cs="Times New Roman"/>
          <w:b/>
          <w:sz w:val="24"/>
          <w:szCs w:val="24"/>
        </w:rPr>
        <w:tab/>
        <w:t>Altera os itens 5, 7, 8, 9, 30, 41, 50, 53, 53A, 54, 56, 60, 61, 62, 67, 74, 75, 77 e 78, inclui os itens 19A, 29A e 40A e exclui os itens 3, 6, 25, 26 e 34 no CPC 28 – Propriedade para Investimento, que passam a vigorar com as seguintes redações:</w:t>
      </w:r>
    </w:p>
    <w:p w:rsidR="0098198E" w:rsidRPr="00A2302E" w:rsidRDefault="0098198E" w:rsidP="0098198E">
      <w:pPr>
        <w:tabs>
          <w:tab w:val="left" w:pos="505"/>
        </w:tabs>
        <w:spacing w:after="0" w:line="240" w:lineRule="auto"/>
        <w:jc w:val="both"/>
        <w:rPr>
          <w:rFonts w:ascii="Times New Roman" w:hAnsi="Times New Roman" w:cs="Times New Roman"/>
          <w:b/>
          <w:sz w:val="24"/>
          <w:szCs w:val="24"/>
        </w:rPr>
      </w:pPr>
    </w:p>
    <w:p w:rsidR="0033459C" w:rsidRPr="00DE1E35" w:rsidRDefault="0098198E">
      <w:pPr>
        <w:tabs>
          <w:tab w:val="left" w:pos="505"/>
        </w:tabs>
        <w:spacing w:after="0" w:line="240" w:lineRule="auto"/>
        <w:jc w:val="both"/>
        <w:rPr>
          <w:rFonts w:ascii="Times New Roman" w:hAnsi="Times New Roman" w:cs="Times New Roman"/>
          <w:sz w:val="24"/>
          <w:szCs w:val="24"/>
        </w:rPr>
      </w:pPr>
      <w:r w:rsidRPr="00DE1E35">
        <w:rPr>
          <w:rFonts w:ascii="Times New Roman" w:hAnsi="Times New Roman" w:cs="Times New Roman"/>
          <w:sz w:val="24"/>
          <w:szCs w:val="24"/>
        </w:rPr>
        <w:t xml:space="preserve">3. </w:t>
      </w:r>
      <w:r w:rsidRPr="00DE1E35">
        <w:rPr>
          <w:rFonts w:ascii="Times New Roman" w:hAnsi="Times New Roman" w:cs="Times New Roman"/>
          <w:sz w:val="24"/>
          <w:szCs w:val="24"/>
        </w:rPr>
        <w:tab/>
      </w:r>
      <w:r w:rsidR="006E63A4" w:rsidRPr="00DE1E35">
        <w:rPr>
          <w:rFonts w:ascii="Times New Roman" w:hAnsi="Times New Roman" w:cs="Times New Roman"/>
          <w:sz w:val="24"/>
          <w:szCs w:val="24"/>
        </w:rPr>
        <w:t>Eliminado.</w:t>
      </w:r>
    </w:p>
    <w:p w:rsidR="0098198E" w:rsidRPr="00DE1E35" w:rsidRDefault="0098198E" w:rsidP="0098198E">
      <w:pPr>
        <w:tabs>
          <w:tab w:val="left" w:pos="505"/>
        </w:tabs>
        <w:spacing w:after="0" w:line="240" w:lineRule="auto"/>
        <w:jc w:val="both"/>
        <w:rPr>
          <w:rFonts w:ascii="Times New Roman" w:hAnsi="Times New Roman" w:cs="Times New Roman"/>
          <w:sz w:val="24"/>
          <w:szCs w:val="24"/>
        </w:rPr>
      </w:pPr>
    </w:p>
    <w:p w:rsidR="0098198E" w:rsidRPr="00DE1E35" w:rsidRDefault="0098198E" w:rsidP="0098198E">
      <w:pPr>
        <w:tabs>
          <w:tab w:val="left" w:pos="505"/>
        </w:tabs>
        <w:spacing w:after="0" w:line="240" w:lineRule="auto"/>
        <w:jc w:val="both"/>
        <w:rPr>
          <w:rFonts w:ascii="Times New Roman" w:hAnsi="Times New Roman" w:cs="Times New Roman"/>
          <w:sz w:val="24"/>
          <w:szCs w:val="24"/>
        </w:rPr>
      </w:pPr>
      <w:r w:rsidRPr="00DE1E35">
        <w:rPr>
          <w:rFonts w:ascii="Times New Roman" w:hAnsi="Times New Roman" w:cs="Times New Roman"/>
          <w:sz w:val="24"/>
          <w:szCs w:val="24"/>
        </w:rPr>
        <w:t xml:space="preserve">5. </w:t>
      </w:r>
      <w:r w:rsidRPr="00DE1E35">
        <w:rPr>
          <w:rFonts w:ascii="Times New Roman" w:hAnsi="Times New Roman" w:cs="Times New Roman"/>
          <w:sz w:val="24"/>
          <w:szCs w:val="24"/>
        </w:rPr>
        <w:tab/>
        <w:t xml:space="preserve">Os termos que se seguem são usados neste </w:t>
      </w:r>
      <w:r w:rsidR="006E63A4" w:rsidRPr="00DE1E35">
        <w:rPr>
          <w:rFonts w:ascii="Times New Roman" w:hAnsi="Times New Roman" w:cs="Times New Roman"/>
          <w:sz w:val="24"/>
          <w:szCs w:val="24"/>
        </w:rPr>
        <w:t>p</w:t>
      </w:r>
      <w:r w:rsidRPr="00DE1E35">
        <w:rPr>
          <w:rFonts w:ascii="Times New Roman" w:hAnsi="Times New Roman" w:cs="Times New Roman"/>
          <w:sz w:val="24"/>
          <w:szCs w:val="24"/>
        </w:rPr>
        <w:t>ronunciamento com os significados especificados:</w:t>
      </w:r>
    </w:p>
    <w:p w:rsidR="0098198E" w:rsidRPr="00DE1E35" w:rsidRDefault="0098198E" w:rsidP="0098198E">
      <w:pPr>
        <w:tabs>
          <w:tab w:val="left" w:pos="505"/>
        </w:tabs>
        <w:spacing w:after="0" w:line="240" w:lineRule="auto"/>
        <w:jc w:val="both"/>
        <w:rPr>
          <w:rFonts w:ascii="Times New Roman" w:hAnsi="Times New Roman" w:cs="Times New Roman"/>
          <w:sz w:val="24"/>
          <w:szCs w:val="24"/>
        </w:rPr>
      </w:pPr>
      <w:r w:rsidRPr="00DE1E35">
        <w:rPr>
          <w:rFonts w:ascii="Times New Roman" w:hAnsi="Times New Roman" w:cs="Times New Roman"/>
          <w:sz w:val="24"/>
          <w:szCs w:val="24"/>
        </w:rPr>
        <w:t>(...)</w:t>
      </w:r>
    </w:p>
    <w:p w:rsidR="0098198E" w:rsidRPr="00DE1E35" w:rsidRDefault="0098198E" w:rsidP="0098198E">
      <w:pPr>
        <w:tabs>
          <w:tab w:val="left" w:pos="505"/>
        </w:tabs>
        <w:spacing w:after="0" w:line="240" w:lineRule="auto"/>
        <w:jc w:val="both"/>
        <w:rPr>
          <w:rFonts w:ascii="Times New Roman" w:hAnsi="Times New Roman" w:cs="Times New Roman"/>
          <w:sz w:val="24"/>
          <w:szCs w:val="24"/>
        </w:rPr>
      </w:pPr>
      <w:r w:rsidRPr="00F347F0">
        <w:rPr>
          <w:rFonts w:ascii="Times New Roman" w:hAnsi="Times New Roman" w:cs="Times New Roman"/>
          <w:b/>
          <w:sz w:val="24"/>
          <w:szCs w:val="24"/>
        </w:rPr>
        <w:t>Propriedade para investimento</w:t>
      </w:r>
      <w:r w:rsidRPr="00DE1E35">
        <w:rPr>
          <w:rFonts w:ascii="Times New Roman" w:hAnsi="Times New Roman" w:cs="Times New Roman"/>
          <w:sz w:val="24"/>
          <w:szCs w:val="24"/>
        </w:rPr>
        <w:t xml:space="preserve"> é a propriedade (terreno ou edifício – ou parte de edifício – ou ambos) mantida (pelo proprietário ou pelo arrendatário </w:t>
      </w:r>
      <w:r w:rsidR="003E4337" w:rsidRPr="00DE1E35">
        <w:rPr>
          <w:rFonts w:ascii="Times New Roman" w:hAnsi="Times New Roman" w:cs="Times New Roman"/>
          <w:sz w:val="24"/>
          <w:szCs w:val="24"/>
          <w:u w:val="single"/>
        </w:rPr>
        <w:t>como ativo de direito de uso</w:t>
      </w:r>
      <w:r w:rsidRPr="00DE1E35">
        <w:rPr>
          <w:rFonts w:ascii="Times New Roman" w:hAnsi="Times New Roman" w:cs="Times New Roman"/>
          <w:sz w:val="24"/>
          <w:szCs w:val="24"/>
        </w:rPr>
        <w:t>) para auferir aluguel ou para valorização do capital ou para ambas, e não para:</w:t>
      </w:r>
    </w:p>
    <w:p w:rsidR="002F6737" w:rsidRPr="00DE1E35" w:rsidRDefault="0098198E" w:rsidP="00DE1E35">
      <w:pPr>
        <w:tabs>
          <w:tab w:val="left" w:pos="505"/>
        </w:tabs>
        <w:spacing w:after="0" w:line="240" w:lineRule="auto"/>
        <w:jc w:val="both"/>
        <w:rPr>
          <w:rFonts w:ascii="Times New Roman" w:hAnsi="Times New Roman" w:cs="Times New Roman"/>
          <w:sz w:val="24"/>
          <w:szCs w:val="24"/>
        </w:rPr>
      </w:pPr>
      <w:r w:rsidRPr="00DE1E35">
        <w:rPr>
          <w:rFonts w:ascii="Times New Roman" w:hAnsi="Times New Roman" w:cs="Times New Roman"/>
          <w:sz w:val="24"/>
          <w:szCs w:val="24"/>
        </w:rPr>
        <w:t>(a)</w:t>
      </w:r>
      <w:r w:rsidRPr="00DE1E35">
        <w:rPr>
          <w:rFonts w:ascii="Times New Roman" w:hAnsi="Times New Roman" w:cs="Times New Roman"/>
          <w:sz w:val="24"/>
          <w:szCs w:val="24"/>
        </w:rPr>
        <w:tab/>
        <w:t xml:space="preserve">uso na produção ou fornecimento de bens ou serviços ou para finalidades administrativas; ou </w:t>
      </w:r>
    </w:p>
    <w:p w:rsidR="0098198E" w:rsidRPr="00DE1E35" w:rsidRDefault="00DE1E35" w:rsidP="0098198E">
      <w:pPr>
        <w:tabs>
          <w:tab w:val="left" w:pos="505"/>
        </w:tabs>
        <w:spacing w:after="0" w:line="240" w:lineRule="auto"/>
        <w:jc w:val="both"/>
        <w:rPr>
          <w:rFonts w:ascii="Times New Roman" w:hAnsi="Times New Roman" w:cs="Times New Roman"/>
          <w:sz w:val="24"/>
          <w:szCs w:val="24"/>
        </w:rPr>
      </w:pPr>
      <w:r w:rsidRPr="00DE1E35">
        <w:rPr>
          <w:rFonts w:ascii="Times New Roman" w:hAnsi="Times New Roman" w:cs="Times New Roman"/>
          <w:sz w:val="24"/>
          <w:szCs w:val="24"/>
        </w:rPr>
        <w:t>(b)</w:t>
      </w:r>
      <w:r w:rsidRPr="00DE1E35">
        <w:rPr>
          <w:rFonts w:ascii="Times New Roman" w:hAnsi="Times New Roman" w:cs="Times New Roman"/>
          <w:sz w:val="24"/>
          <w:szCs w:val="24"/>
        </w:rPr>
        <w:tab/>
      </w:r>
      <w:r w:rsidR="0098198E" w:rsidRPr="00DE1E35">
        <w:rPr>
          <w:rFonts w:ascii="Times New Roman" w:hAnsi="Times New Roman" w:cs="Times New Roman"/>
          <w:sz w:val="24"/>
          <w:szCs w:val="24"/>
        </w:rPr>
        <w:t>venda no curso ordinário do negócio.</w:t>
      </w:r>
    </w:p>
    <w:p w:rsidR="00F347F0" w:rsidRDefault="00F347F0" w:rsidP="0098198E">
      <w:pPr>
        <w:tabs>
          <w:tab w:val="left" w:pos="505"/>
        </w:tabs>
        <w:spacing w:after="0" w:line="240" w:lineRule="auto"/>
        <w:jc w:val="both"/>
        <w:rPr>
          <w:rFonts w:ascii="Times New Roman" w:hAnsi="Times New Roman" w:cs="Times New Roman"/>
          <w:b/>
          <w:sz w:val="24"/>
          <w:szCs w:val="24"/>
        </w:rPr>
      </w:pPr>
    </w:p>
    <w:p w:rsidR="0098198E" w:rsidRPr="00DE1E35" w:rsidRDefault="0098198E" w:rsidP="0098198E">
      <w:pPr>
        <w:tabs>
          <w:tab w:val="left" w:pos="505"/>
        </w:tabs>
        <w:spacing w:after="0" w:line="240" w:lineRule="auto"/>
        <w:jc w:val="both"/>
        <w:rPr>
          <w:rFonts w:ascii="Times New Roman" w:hAnsi="Times New Roman" w:cs="Times New Roman"/>
          <w:sz w:val="24"/>
          <w:szCs w:val="24"/>
        </w:rPr>
      </w:pPr>
      <w:r w:rsidRPr="00F347F0">
        <w:rPr>
          <w:rFonts w:ascii="Times New Roman" w:hAnsi="Times New Roman" w:cs="Times New Roman"/>
          <w:b/>
          <w:sz w:val="24"/>
          <w:szCs w:val="24"/>
        </w:rPr>
        <w:t>Propriedade ocupada pelo proprietário</w:t>
      </w:r>
      <w:r w:rsidRPr="00DE1E35">
        <w:rPr>
          <w:rFonts w:ascii="Times New Roman" w:hAnsi="Times New Roman" w:cs="Times New Roman"/>
          <w:sz w:val="24"/>
          <w:szCs w:val="24"/>
        </w:rPr>
        <w:t xml:space="preserve"> é a propriedade mantida (pelo proprietário ou pelo arrendatário </w:t>
      </w:r>
      <w:r w:rsidR="003E4337" w:rsidRPr="00DE1E35">
        <w:rPr>
          <w:rFonts w:ascii="Times New Roman" w:hAnsi="Times New Roman" w:cs="Times New Roman"/>
          <w:sz w:val="24"/>
          <w:szCs w:val="24"/>
          <w:u w:val="single"/>
        </w:rPr>
        <w:t>como ativo de direito de uso</w:t>
      </w:r>
      <w:r w:rsidRPr="00DE1E35">
        <w:rPr>
          <w:rFonts w:ascii="Times New Roman" w:hAnsi="Times New Roman" w:cs="Times New Roman"/>
          <w:sz w:val="24"/>
          <w:szCs w:val="24"/>
        </w:rPr>
        <w:t>) para uso na produção ou fornecimento de bens ou serviços ou para finalidades administrativas.</w:t>
      </w:r>
    </w:p>
    <w:p w:rsidR="0098198E" w:rsidRPr="00DE1E35"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6. </w:t>
      </w:r>
      <w:r w:rsidRPr="00A2302E">
        <w:rPr>
          <w:rFonts w:ascii="Times New Roman" w:hAnsi="Times New Roman" w:cs="Times New Roman"/>
          <w:sz w:val="24"/>
          <w:szCs w:val="24"/>
        </w:rPr>
        <w:tab/>
      </w:r>
      <w:r w:rsidR="000F3D03" w:rsidRPr="00A2302E">
        <w:rPr>
          <w:rFonts w:ascii="Times New Roman" w:hAnsi="Times New Roman" w:cs="Times New Roman"/>
          <w:sz w:val="24"/>
          <w:szCs w:val="24"/>
        </w:rPr>
        <w:t>Eliminado.</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7. </w:t>
      </w:r>
      <w:r w:rsidRPr="00A2302E">
        <w:rPr>
          <w:rFonts w:ascii="Times New Roman" w:hAnsi="Times New Roman" w:cs="Times New Roman"/>
          <w:sz w:val="24"/>
          <w:szCs w:val="24"/>
        </w:rPr>
        <w:tab/>
        <w:t xml:space="preserve">As propriedades para investimento são mantidas para obter rendas ou para valorização do capital ou para ambas, e por isso classificadas no subgrupo Investimentos, dentro do Ativo Não Circulante. Por isso, a propriedade para investimento gera fluxos de caixa altamente independentes dos outros ativos mantidos pela entidade. Isso distingue as propriedades para investimento de propriedades ocupadas pelos proprietários. A produção ou fornecimento de bens ou serviços (ou o uso de propriedades para finalidades administrativas) gera fluxos de caixa que são atribuíveis não apenas às propriedades, mas também a outros ativos usados no processo de produção ou de fornecimento. O CPC 27 – Ativo Imobilizado aplica-se </w:t>
      </w:r>
      <w:r w:rsidR="00AC24CC">
        <w:rPr>
          <w:rFonts w:ascii="Times New Roman" w:hAnsi="Times New Roman" w:cs="Times New Roman"/>
          <w:sz w:val="24"/>
          <w:szCs w:val="24"/>
        </w:rPr>
        <w:t>à</w:t>
      </w:r>
      <w:r w:rsidR="00AC24CC" w:rsidRPr="00A2302E">
        <w:rPr>
          <w:rFonts w:ascii="Times New Roman" w:hAnsi="Times New Roman" w:cs="Times New Roman"/>
          <w:sz w:val="24"/>
          <w:szCs w:val="24"/>
        </w:rPr>
        <w:t xml:space="preserve"> </w:t>
      </w:r>
      <w:r w:rsidRPr="00A2302E">
        <w:rPr>
          <w:rFonts w:ascii="Times New Roman" w:hAnsi="Times New Roman" w:cs="Times New Roman"/>
          <w:sz w:val="24"/>
          <w:szCs w:val="24"/>
        </w:rPr>
        <w:t xml:space="preserve">propriedade </w:t>
      </w:r>
      <w:r w:rsidR="003E4337" w:rsidRPr="00A2302E">
        <w:rPr>
          <w:rFonts w:ascii="Times New Roman" w:hAnsi="Times New Roman" w:cs="Times New Roman"/>
          <w:sz w:val="24"/>
          <w:szCs w:val="24"/>
          <w:u w:val="single"/>
        </w:rPr>
        <w:t>própria</w:t>
      </w:r>
      <w:r w:rsidRPr="00A2302E">
        <w:rPr>
          <w:rFonts w:ascii="Times New Roman" w:hAnsi="Times New Roman" w:cs="Times New Roman"/>
          <w:sz w:val="24"/>
          <w:szCs w:val="24"/>
        </w:rPr>
        <w:t xml:space="preserve"> ocupada pelo proprietário </w:t>
      </w:r>
      <w:r w:rsidR="003E4337" w:rsidRPr="00A2302E">
        <w:rPr>
          <w:rFonts w:ascii="Times New Roman" w:hAnsi="Times New Roman" w:cs="Times New Roman"/>
          <w:sz w:val="24"/>
          <w:szCs w:val="24"/>
          <w:u w:val="single"/>
        </w:rPr>
        <w:t xml:space="preserve">e o CPC 06 aplica-se </w:t>
      </w:r>
      <w:r w:rsidR="00AC24CC">
        <w:rPr>
          <w:rFonts w:ascii="Times New Roman" w:hAnsi="Times New Roman" w:cs="Times New Roman"/>
          <w:sz w:val="24"/>
          <w:szCs w:val="24"/>
          <w:u w:val="single"/>
        </w:rPr>
        <w:t>à</w:t>
      </w:r>
      <w:r w:rsidR="00AC24CC" w:rsidRPr="00A2302E">
        <w:rPr>
          <w:rFonts w:ascii="Times New Roman" w:hAnsi="Times New Roman" w:cs="Times New Roman"/>
          <w:sz w:val="24"/>
          <w:szCs w:val="24"/>
          <w:u w:val="single"/>
        </w:rPr>
        <w:t xml:space="preserve"> </w:t>
      </w:r>
      <w:r w:rsidR="003E4337" w:rsidRPr="00A2302E">
        <w:rPr>
          <w:rFonts w:ascii="Times New Roman" w:hAnsi="Times New Roman" w:cs="Times New Roman"/>
          <w:sz w:val="24"/>
          <w:szCs w:val="24"/>
          <w:u w:val="single"/>
        </w:rPr>
        <w:t>propriedade ocupada pelo proprietário mantida por arrendamento como ativo de direito de uso</w:t>
      </w:r>
      <w:r w:rsidRPr="00A2302E">
        <w:rPr>
          <w:rFonts w:ascii="Times New Roman" w:hAnsi="Times New Roman" w:cs="Times New Roman"/>
          <w:sz w:val="24"/>
          <w:szCs w:val="24"/>
        </w:rPr>
        <w:t>.</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8. </w:t>
      </w:r>
      <w:r w:rsidRPr="00A2302E">
        <w:rPr>
          <w:rFonts w:ascii="Times New Roman" w:hAnsi="Times New Roman" w:cs="Times New Roman"/>
          <w:sz w:val="24"/>
          <w:szCs w:val="24"/>
        </w:rPr>
        <w:tab/>
        <w:t>O que se segue são exemplos de propriedades para investimento:</w:t>
      </w:r>
    </w:p>
    <w:p w:rsidR="0098198E" w:rsidRPr="002744F8" w:rsidRDefault="0098198E" w:rsidP="0098198E">
      <w:pPr>
        <w:tabs>
          <w:tab w:val="left" w:pos="505"/>
        </w:tabs>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t>(a) (...)</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(c)</w:t>
      </w:r>
      <w:r w:rsidRPr="00A2302E">
        <w:rPr>
          <w:rFonts w:ascii="Times New Roman" w:hAnsi="Times New Roman" w:cs="Times New Roman"/>
          <w:sz w:val="24"/>
          <w:szCs w:val="24"/>
        </w:rPr>
        <w:tab/>
        <w:t xml:space="preserve">edifício que seja propriedade da entidade (ou </w:t>
      </w:r>
      <w:r w:rsidR="003E4337" w:rsidRPr="00A2302E">
        <w:rPr>
          <w:rFonts w:ascii="Times New Roman" w:hAnsi="Times New Roman" w:cs="Times New Roman"/>
          <w:sz w:val="24"/>
          <w:szCs w:val="24"/>
          <w:u w:val="single"/>
        </w:rPr>
        <w:t>ativo de direito de uso relativo a edifício</w:t>
      </w:r>
      <w:r w:rsidRPr="00A2302E">
        <w:rPr>
          <w:rFonts w:ascii="Times New Roman" w:hAnsi="Times New Roman" w:cs="Times New Roman"/>
          <w:sz w:val="24"/>
          <w:szCs w:val="24"/>
        </w:rPr>
        <w:t xml:space="preserve"> mantido pela entidade) e que seja arrendado sob um ou mais arrendamentos operacionais;</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(d) (...)</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9. </w:t>
      </w:r>
      <w:r w:rsidRPr="00A2302E">
        <w:rPr>
          <w:rFonts w:ascii="Times New Roman" w:hAnsi="Times New Roman" w:cs="Times New Roman"/>
          <w:sz w:val="24"/>
          <w:szCs w:val="24"/>
        </w:rPr>
        <w:tab/>
        <w:t>Seguem-se exemplos de itens que não são propriedades para investimento, estando, por isso, fora do alcance deste pronunciamento:</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(a) (...)</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(c)</w:t>
      </w:r>
      <w:r w:rsidRPr="00A2302E">
        <w:rPr>
          <w:rFonts w:ascii="Times New Roman" w:hAnsi="Times New Roman" w:cs="Times New Roman"/>
          <w:sz w:val="24"/>
          <w:szCs w:val="24"/>
        </w:rPr>
        <w:tab/>
        <w:t xml:space="preserve">propriedade ocupada pelo proprietário (ver CPC 27 </w:t>
      </w:r>
      <w:r w:rsidR="003E4337" w:rsidRPr="00A2302E">
        <w:rPr>
          <w:rFonts w:ascii="Times New Roman" w:hAnsi="Times New Roman" w:cs="Times New Roman"/>
          <w:sz w:val="24"/>
          <w:szCs w:val="24"/>
          <w:u w:val="single"/>
        </w:rPr>
        <w:t>e CPC 06</w:t>
      </w:r>
      <w:r w:rsidRPr="00A2302E">
        <w:rPr>
          <w:rFonts w:ascii="Times New Roman" w:hAnsi="Times New Roman" w:cs="Times New Roman"/>
          <w:sz w:val="24"/>
          <w:szCs w:val="24"/>
        </w:rPr>
        <w:t>), incluindo (entre outras coisas) propriedade mantida para uso futuro como propriedade ocupada pelo proprietário, propriedade mantida para desenvolvimento futuro e uso subsequente como propriedade ocupada pelo proprietário, propriedade ocupada por empregados (paguem ou não aluguéis a taxas de mercado) e propriedade ocupada pelo proprietário no aguardo de alienação;</w:t>
      </w:r>
    </w:p>
    <w:p w:rsidR="0098198E" w:rsidRPr="002744F8" w:rsidRDefault="0098198E" w:rsidP="0098198E">
      <w:pPr>
        <w:tabs>
          <w:tab w:val="left" w:pos="505"/>
        </w:tabs>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t>(d) (...)</w:t>
      </w:r>
    </w:p>
    <w:p w:rsidR="0098198E" w:rsidRPr="002744F8"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3E4337" w:rsidP="0098198E">
      <w:pPr>
        <w:tabs>
          <w:tab w:val="left" w:pos="505"/>
        </w:tabs>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19A. A propriedade para investimento mantida por arrendatário como ativo de direito de uso deve ser reconhecida de acordo com o CPC 06.</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2744F8" w:rsidRDefault="0098198E" w:rsidP="0098198E">
      <w:pPr>
        <w:tabs>
          <w:tab w:val="left" w:pos="505"/>
        </w:tabs>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lastRenderedPageBreak/>
        <w:t xml:space="preserve">25. </w:t>
      </w:r>
      <w:r w:rsidRPr="002744F8">
        <w:rPr>
          <w:rFonts w:ascii="Times New Roman" w:hAnsi="Times New Roman" w:cs="Times New Roman"/>
          <w:sz w:val="24"/>
          <w:szCs w:val="24"/>
        </w:rPr>
        <w:tab/>
      </w:r>
      <w:r w:rsidR="005E1607" w:rsidRPr="002744F8">
        <w:rPr>
          <w:rFonts w:ascii="Times New Roman" w:hAnsi="Times New Roman" w:cs="Times New Roman"/>
          <w:sz w:val="24"/>
          <w:szCs w:val="24"/>
        </w:rPr>
        <w:t xml:space="preserve">Eliminado. </w:t>
      </w:r>
    </w:p>
    <w:p w:rsidR="0098198E" w:rsidRPr="002744F8" w:rsidRDefault="0098198E" w:rsidP="0098198E">
      <w:pPr>
        <w:tabs>
          <w:tab w:val="left" w:pos="505"/>
        </w:tabs>
        <w:spacing w:after="0" w:line="240" w:lineRule="auto"/>
        <w:jc w:val="both"/>
        <w:rPr>
          <w:rFonts w:ascii="Times New Roman" w:hAnsi="Times New Roman" w:cs="Times New Roman"/>
          <w:sz w:val="24"/>
          <w:szCs w:val="24"/>
        </w:rPr>
      </w:pPr>
    </w:p>
    <w:p w:rsidR="0098198E" w:rsidRPr="002744F8" w:rsidRDefault="0098198E" w:rsidP="0098198E">
      <w:pPr>
        <w:tabs>
          <w:tab w:val="left" w:pos="505"/>
        </w:tabs>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t xml:space="preserve">26. </w:t>
      </w:r>
      <w:r w:rsidRPr="002744F8">
        <w:rPr>
          <w:rFonts w:ascii="Times New Roman" w:hAnsi="Times New Roman" w:cs="Times New Roman"/>
          <w:sz w:val="24"/>
          <w:szCs w:val="24"/>
        </w:rPr>
        <w:tab/>
      </w:r>
      <w:r w:rsidR="005E1607" w:rsidRPr="002744F8">
        <w:rPr>
          <w:rFonts w:ascii="Times New Roman" w:hAnsi="Times New Roman" w:cs="Times New Roman"/>
          <w:sz w:val="24"/>
          <w:szCs w:val="24"/>
        </w:rPr>
        <w:t xml:space="preserve">Eliminado. </w:t>
      </w:r>
    </w:p>
    <w:p w:rsidR="00DE1E35" w:rsidRPr="002744F8" w:rsidRDefault="00DE1E35" w:rsidP="0098198E">
      <w:pPr>
        <w:tabs>
          <w:tab w:val="left" w:pos="505"/>
        </w:tabs>
        <w:spacing w:after="0" w:line="240" w:lineRule="auto"/>
        <w:jc w:val="both"/>
        <w:rPr>
          <w:rFonts w:ascii="Times New Roman" w:hAnsi="Times New Roman" w:cs="Times New Roman"/>
          <w:sz w:val="24"/>
          <w:szCs w:val="24"/>
        </w:rPr>
      </w:pPr>
    </w:p>
    <w:p w:rsidR="0098198E" w:rsidRPr="00A2302E" w:rsidRDefault="003E4337" w:rsidP="0098198E">
      <w:pPr>
        <w:tabs>
          <w:tab w:val="left" w:pos="505"/>
        </w:tabs>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29A. A propriedade para investimento mantida por arrendatário como ativo de direito de uso deve ser mensurada inicialmente ao custo de acordo com o CPC 06.</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30. </w:t>
      </w:r>
      <w:r w:rsidRPr="00A2302E">
        <w:rPr>
          <w:rFonts w:ascii="Times New Roman" w:hAnsi="Times New Roman" w:cs="Times New Roman"/>
          <w:sz w:val="24"/>
          <w:szCs w:val="24"/>
        </w:rPr>
        <w:tab/>
        <w:t>Com as exceções indicadas nos itens 32A, a entidade deve escolher como sua política contábil o método do valor justo nos itens 33 a 55 ou o método do custo no item 56 e deve aplicar essa política a todas as suas propriedades para investimento.</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98198E" w:rsidRDefault="0098198E" w:rsidP="0098198E">
      <w:pPr>
        <w:tabs>
          <w:tab w:val="left" w:pos="505"/>
        </w:tabs>
        <w:spacing w:after="0" w:line="240" w:lineRule="auto"/>
        <w:jc w:val="both"/>
        <w:rPr>
          <w:rFonts w:ascii="Times New Roman" w:hAnsi="Times New Roman" w:cs="Times New Roman"/>
          <w:sz w:val="24"/>
          <w:szCs w:val="24"/>
          <w:lang w:val="en-US"/>
        </w:rPr>
      </w:pPr>
      <w:r w:rsidRPr="0098198E">
        <w:rPr>
          <w:rFonts w:ascii="Times New Roman" w:hAnsi="Times New Roman" w:cs="Times New Roman"/>
          <w:sz w:val="24"/>
          <w:szCs w:val="24"/>
          <w:lang w:val="en-US"/>
        </w:rPr>
        <w:t xml:space="preserve">34. </w:t>
      </w:r>
      <w:r w:rsidRPr="0098198E">
        <w:rPr>
          <w:rFonts w:ascii="Times New Roman" w:hAnsi="Times New Roman" w:cs="Times New Roman"/>
          <w:sz w:val="24"/>
          <w:szCs w:val="24"/>
          <w:lang w:val="en-US"/>
        </w:rPr>
        <w:tab/>
      </w:r>
      <w:proofErr w:type="spellStart"/>
      <w:r w:rsidR="005E1607">
        <w:rPr>
          <w:rFonts w:ascii="Times New Roman" w:hAnsi="Times New Roman" w:cs="Times New Roman"/>
          <w:sz w:val="24"/>
          <w:szCs w:val="24"/>
          <w:lang w:val="en-US"/>
        </w:rPr>
        <w:t>Eliminado</w:t>
      </w:r>
      <w:proofErr w:type="spellEnd"/>
      <w:r w:rsidR="005E1607">
        <w:rPr>
          <w:rFonts w:ascii="Times New Roman" w:hAnsi="Times New Roman" w:cs="Times New Roman"/>
          <w:sz w:val="24"/>
          <w:szCs w:val="24"/>
          <w:lang w:val="en-US"/>
        </w:rPr>
        <w:t xml:space="preserve">. </w:t>
      </w:r>
    </w:p>
    <w:p w:rsidR="0098198E" w:rsidRPr="0098198E" w:rsidRDefault="0098198E" w:rsidP="0098198E">
      <w:pPr>
        <w:tabs>
          <w:tab w:val="left" w:pos="505"/>
        </w:tabs>
        <w:spacing w:after="0" w:line="240" w:lineRule="auto"/>
        <w:jc w:val="both"/>
        <w:rPr>
          <w:rFonts w:ascii="Times New Roman" w:hAnsi="Times New Roman" w:cs="Times New Roman"/>
          <w:sz w:val="24"/>
          <w:szCs w:val="24"/>
          <w:lang w:val="en-US"/>
        </w:rPr>
      </w:pPr>
    </w:p>
    <w:p w:rsidR="0098198E" w:rsidRPr="00A2302E" w:rsidRDefault="003E4337" w:rsidP="0098198E">
      <w:pPr>
        <w:tabs>
          <w:tab w:val="left" w:pos="505"/>
        </w:tabs>
        <w:spacing w:after="0" w:line="240" w:lineRule="auto"/>
        <w:jc w:val="both"/>
        <w:rPr>
          <w:rFonts w:ascii="Times New Roman" w:hAnsi="Times New Roman" w:cs="Times New Roman"/>
          <w:sz w:val="24"/>
          <w:szCs w:val="24"/>
          <w:u w:val="single"/>
        </w:rPr>
      </w:pPr>
      <w:proofErr w:type="gramStart"/>
      <w:r w:rsidRPr="00A2302E">
        <w:rPr>
          <w:rFonts w:ascii="Times New Roman" w:hAnsi="Times New Roman" w:cs="Times New Roman"/>
          <w:sz w:val="24"/>
          <w:szCs w:val="24"/>
          <w:u w:val="single"/>
        </w:rPr>
        <w:t>40A</w:t>
      </w:r>
      <w:proofErr w:type="gramEnd"/>
      <w:r w:rsidR="00AC24CC">
        <w:rPr>
          <w:rFonts w:ascii="Times New Roman" w:hAnsi="Times New Roman" w:cs="Times New Roman"/>
          <w:sz w:val="24"/>
          <w:szCs w:val="24"/>
          <w:u w:val="single"/>
        </w:rPr>
        <w:t>.</w:t>
      </w:r>
      <w:r w:rsidRPr="00A2302E">
        <w:rPr>
          <w:rFonts w:ascii="Times New Roman" w:hAnsi="Times New Roman" w:cs="Times New Roman"/>
          <w:sz w:val="24"/>
          <w:szCs w:val="24"/>
          <w:u w:val="single"/>
        </w:rPr>
        <w:t xml:space="preserve"> Quando o arrendatário utiliza o modelo de valor justo para mensurar a propriedade para investimento que é mantida como ativo de direito de uso, deve mensurar o ativo de direito de uso, e não a propriedade subjacente, ao </w:t>
      </w:r>
      <w:r w:rsidR="005E1607" w:rsidRPr="00A2302E">
        <w:rPr>
          <w:rFonts w:ascii="Times New Roman" w:hAnsi="Times New Roman" w:cs="Times New Roman"/>
          <w:sz w:val="24"/>
          <w:szCs w:val="24"/>
          <w:u w:val="single"/>
        </w:rPr>
        <w:t xml:space="preserve">valor </w:t>
      </w:r>
      <w:r w:rsidRPr="00A2302E">
        <w:rPr>
          <w:rFonts w:ascii="Times New Roman" w:hAnsi="Times New Roman" w:cs="Times New Roman"/>
          <w:sz w:val="24"/>
          <w:szCs w:val="24"/>
          <w:u w:val="single"/>
        </w:rPr>
        <w:t>justo.</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41. </w:t>
      </w:r>
      <w:r w:rsidRPr="00A2302E">
        <w:rPr>
          <w:rFonts w:ascii="Times New Roman" w:hAnsi="Times New Roman" w:cs="Times New Roman"/>
          <w:sz w:val="24"/>
          <w:szCs w:val="24"/>
        </w:rPr>
        <w:tab/>
        <w:t xml:space="preserve">O </w:t>
      </w:r>
      <w:r w:rsidR="003E4337" w:rsidRPr="00A2302E">
        <w:rPr>
          <w:rFonts w:ascii="Times New Roman" w:hAnsi="Times New Roman" w:cs="Times New Roman"/>
          <w:sz w:val="24"/>
          <w:szCs w:val="24"/>
          <w:u w:val="single"/>
        </w:rPr>
        <w:t>CPC 06</w:t>
      </w:r>
      <w:r w:rsidRPr="00A2302E">
        <w:rPr>
          <w:rFonts w:ascii="Times New Roman" w:hAnsi="Times New Roman" w:cs="Times New Roman"/>
          <w:sz w:val="24"/>
          <w:szCs w:val="24"/>
        </w:rPr>
        <w:t xml:space="preserve"> especifica a base do reconhecimento inicial do custo de propriedade </w:t>
      </w:r>
      <w:r w:rsidR="003E4337" w:rsidRPr="00A2302E">
        <w:rPr>
          <w:rFonts w:ascii="Times New Roman" w:hAnsi="Times New Roman" w:cs="Times New Roman"/>
          <w:sz w:val="24"/>
          <w:szCs w:val="24"/>
          <w:u w:val="single"/>
        </w:rPr>
        <w:t>para investimento mantida por arrendatário como ativo de direito de uso</w:t>
      </w:r>
      <w:r w:rsidRPr="00A2302E">
        <w:rPr>
          <w:rFonts w:ascii="Times New Roman" w:hAnsi="Times New Roman" w:cs="Times New Roman"/>
          <w:sz w:val="24"/>
          <w:szCs w:val="24"/>
        </w:rPr>
        <w:t xml:space="preserve">. O item 33 exige que </w:t>
      </w:r>
      <w:r w:rsidR="003E4337" w:rsidRPr="00A2302E">
        <w:rPr>
          <w:rFonts w:ascii="Times New Roman" w:hAnsi="Times New Roman" w:cs="Times New Roman"/>
          <w:sz w:val="24"/>
          <w:szCs w:val="24"/>
          <w:u w:val="single"/>
        </w:rPr>
        <w:t>a propriedade para investimento mantida por arrendatário como ativo de direito de uso</w:t>
      </w:r>
      <w:r w:rsidRPr="00A2302E">
        <w:rPr>
          <w:rFonts w:ascii="Times New Roman" w:hAnsi="Times New Roman" w:cs="Times New Roman"/>
          <w:sz w:val="24"/>
          <w:szCs w:val="24"/>
        </w:rPr>
        <w:t xml:space="preserve"> seja remensurada, se necessário, pelo valor justo, </w:t>
      </w:r>
      <w:r w:rsidR="003E4337" w:rsidRPr="00A2302E">
        <w:rPr>
          <w:rFonts w:ascii="Times New Roman" w:hAnsi="Times New Roman" w:cs="Times New Roman"/>
          <w:sz w:val="24"/>
          <w:szCs w:val="24"/>
          <w:u w:val="single"/>
        </w:rPr>
        <w:t>se a entidade escolher o modelo de valor justo</w:t>
      </w:r>
      <w:r w:rsidRPr="00A2302E">
        <w:rPr>
          <w:rFonts w:ascii="Times New Roman" w:hAnsi="Times New Roman" w:cs="Times New Roman"/>
          <w:sz w:val="24"/>
          <w:szCs w:val="24"/>
        </w:rPr>
        <w:t xml:space="preserve">. </w:t>
      </w:r>
      <w:r w:rsidR="003E4337" w:rsidRPr="00A2302E">
        <w:rPr>
          <w:rFonts w:ascii="Times New Roman" w:hAnsi="Times New Roman" w:cs="Times New Roman"/>
          <w:sz w:val="24"/>
          <w:szCs w:val="24"/>
          <w:u w:val="single"/>
        </w:rPr>
        <w:t>Quando os pagamentos de arrendamento são a taxas de mercado, o valor justo da propriedade para investimento mantida por arrendatário como ativo de direito de uso</w:t>
      </w:r>
      <w:r w:rsidRPr="00A2302E">
        <w:rPr>
          <w:rFonts w:ascii="Times New Roman" w:hAnsi="Times New Roman" w:cs="Times New Roman"/>
          <w:sz w:val="24"/>
          <w:szCs w:val="24"/>
        </w:rPr>
        <w:t xml:space="preserve"> na aquisição, líquido de todos os pagamentos de arrendamento esperados (incluindo os relativos a passivos </w:t>
      </w:r>
      <w:r w:rsidR="003E4337" w:rsidRPr="00A2302E">
        <w:rPr>
          <w:rFonts w:ascii="Times New Roman" w:hAnsi="Times New Roman" w:cs="Times New Roman"/>
          <w:sz w:val="24"/>
          <w:szCs w:val="24"/>
          <w:u w:val="single"/>
        </w:rPr>
        <w:t xml:space="preserve">de </w:t>
      </w:r>
      <w:r w:rsidR="00930A3E">
        <w:rPr>
          <w:rFonts w:ascii="Times New Roman" w:hAnsi="Times New Roman" w:cs="Times New Roman"/>
          <w:sz w:val="24"/>
          <w:szCs w:val="24"/>
          <w:u w:val="single"/>
        </w:rPr>
        <w:t>arrendamento</w:t>
      </w:r>
      <w:r w:rsidR="00930A3E" w:rsidRPr="00A2302E">
        <w:rPr>
          <w:rFonts w:ascii="Times New Roman" w:hAnsi="Times New Roman" w:cs="Times New Roman"/>
          <w:sz w:val="24"/>
          <w:szCs w:val="24"/>
        </w:rPr>
        <w:t xml:space="preserve"> </w:t>
      </w:r>
      <w:r w:rsidRPr="00A2302E">
        <w:rPr>
          <w:rFonts w:ascii="Times New Roman" w:hAnsi="Times New Roman" w:cs="Times New Roman"/>
          <w:sz w:val="24"/>
          <w:szCs w:val="24"/>
        </w:rPr>
        <w:t xml:space="preserve">reconhecidos), deve ser zero. Assim, remensurar </w:t>
      </w:r>
      <w:r w:rsidR="003E4337" w:rsidRPr="00A2302E">
        <w:rPr>
          <w:rFonts w:ascii="Times New Roman" w:hAnsi="Times New Roman" w:cs="Times New Roman"/>
          <w:sz w:val="24"/>
          <w:szCs w:val="24"/>
          <w:u w:val="single"/>
        </w:rPr>
        <w:t>o ativo de direito de uso de arrendamento do custo, de acordo com o CPC 06,</w:t>
      </w:r>
      <w:r w:rsidRPr="00A2302E">
        <w:rPr>
          <w:rFonts w:ascii="Times New Roman" w:hAnsi="Times New Roman" w:cs="Times New Roman"/>
          <w:sz w:val="24"/>
          <w:szCs w:val="24"/>
        </w:rPr>
        <w:t xml:space="preserve"> para o valor justo, de acordo com o item 33 </w:t>
      </w:r>
      <w:r w:rsidR="003E4337" w:rsidRPr="00A2302E">
        <w:rPr>
          <w:rFonts w:ascii="Times New Roman" w:hAnsi="Times New Roman" w:cs="Times New Roman"/>
          <w:sz w:val="24"/>
          <w:szCs w:val="24"/>
          <w:u w:val="single"/>
        </w:rPr>
        <w:t>(tendo em conta os requisitos do item 50),</w:t>
      </w:r>
      <w:r w:rsidRPr="00A2302E">
        <w:rPr>
          <w:rFonts w:ascii="Times New Roman" w:hAnsi="Times New Roman" w:cs="Times New Roman"/>
          <w:sz w:val="24"/>
          <w:szCs w:val="24"/>
        </w:rPr>
        <w:t xml:space="preserve"> não deve resultar em qualquer ganho ou perda inicial, a não ser que o valor justo seja mensurado em momentos diferentes. Isso pode ocorrer quando for feita a escolha para aplicar o método do valor justo após o reconhecimento inicial.</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2744F8"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50. </w:t>
      </w:r>
      <w:r w:rsidRPr="00A2302E">
        <w:rPr>
          <w:rFonts w:ascii="Times New Roman" w:hAnsi="Times New Roman" w:cs="Times New Roman"/>
          <w:sz w:val="24"/>
          <w:szCs w:val="24"/>
        </w:rPr>
        <w:tab/>
        <w:t xml:space="preserve">Ao determinar o valor justo da propriedade para investimento, a entidade não conta duplamente ativos ou passivos que estejam reconhecidos como ativos ou passivos separados. </w:t>
      </w:r>
      <w:r w:rsidRPr="002744F8">
        <w:rPr>
          <w:rFonts w:ascii="Times New Roman" w:hAnsi="Times New Roman" w:cs="Times New Roman"/>
          <w:sz w:val="24"/>
          <w:szCs w:val="24"/>
        </w:rPr>
        <w:t xml:space="preserve">Por exemplo: </w:t>
      </w:r>
    </w:p>
    <w:p w:rsidR="0098198E" w:rsidRPr="002744F8" w:rsidRDefault="0098198E" w:rsidP="0098198E">
      <w:pPr>
        <w:tabs>
          <w:tab w:val="left" w:pos="505"/>
        </w:tabs>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t>(a) (...)</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(d)</w:t>
      </w:r>
      <w:r w:rsidRPr="00A2302E">
        <w:rPr>
          <w:rFonts w:ascii="Times New Roman" w:hAnsi="Times New Roman" w:cs="Times New Roman"/>
          <w:sz w:val="24"/>
          <w:szCs w:val="24"/>
        </w:rPr>
        <w:tab/>
        <w:t xml:space="preserve">o valor justo da propriedade para investimento, mantida </w:t>
      </w:r>
      <w:r w:rsidR="003E4337" w:rsidRPr="00A2302E">
        <w:rPr>
          <w:rFonts w:ascii="Times New Roman" w:hAnsi="Times New Roman" w:cs="Times New Roman"/>
          <w:sz w:val="24"/>
          <w:szCs w:val="24"/>
          <w:u w:val="single"/>
        </w:rPr>
        <w:t>por arrendatário como ativo de direito de uso</w:t>
      </w:r>
      <w:r w:rsidRPr="00A2302E">
        <w:rPr>
          <w:rFonts w:ascii="Times New Roman" w:hAnsi="Times New Roman" w:cs="Times New Roman"/>
          <w:sz w:val="24"/>
          <w:szCs w:val="24"/>
        </w:rPr>
        <w:t xml:space="preserve">, reflete os fluxos de caixa esperados (incluindo </w:t>
      </w:r>
      <w:r w:rsidR="003E4337" w:rsidRPr="00A2302E">
        <w:rPr>
          <w:rFonts w:ascii="Times New Roman" w:hAnsi="Times New Roman" w:cs="Times New Roman"/>
          <w:sz w:val="24"/>
          <w:szCs w:val="24"/>
          <w:u w:val="single"/>
        </w:rPr>
        <w:t>os pagamentos variáveis de arrendamento que se espera que se tornem exigíveis</w:t>
      </w:r>
      <w:r w:rsidRPr="00A2302E">
        <w:rPr>
          <w:rFonts w:ascii="Times New Roman" w:hAnsi="Times New Roman" w:cs="Times New Roman"/>
          <w:sz w:val="24"/>
          <w:szCs w:val="24"/>
        </w:rPr>
        <w:t>). Em conformidade, se a avaliação obtida para a propriedade for líquida de todos os pagamentos que se espera que sejam feitos, será necessário voltar a adicionar qualquer passivo de arrendamento reconhecido para atingir o valor contábil da propriedade para investimento, utilizando o método do valor justo.</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53. </w:t>
      </w:r>
      <w:r w:rsidRPr="00A2302E">
        <w:rPr>
          <w:rFonts w:ascii="Times New Roman" w:hAnsi="Times New Roman" w:cs="Times New Roman"/>
          <w:sz w:val="24"/>
          <w:szCs w:val="24"/>
        </w:rPr>
        <w:tab/>
        <w:t xml:space="preserve">Há presunção refutável de que a entidade pode confiavelmente mensurar o valor justo de propriedade para investimento em base contínua. Porém, em casos excepcionais, quando a entidade adquire pela primeira vez a propriedade para investimento (ou quando a propriedade existente se torne pela primeira vez propriedade para investimento na sequência da conclusão da construção ou do desenvolvimento, ou após a alteração de uso), há clara evidência de que o valor justo da propriedade para investimento não é mensurável com confiabilidade em base contínua. Isso ocorre quando, e apenas quando, o mercado de propriedades comparáveis está inativo (por exemplo, há poucas transações recentes, preços cotados não são atuais ou preços de transação observadas indicam que o vendedor foi forçado a vender) e quando não estão disponíveis mensurações alternativas confiáveis de valor justo (por exemplo, com base em projeções de fluxos de caixa descontados). Se a entidade concluir que o valor justo de propriedade para investimento em </w:t>
      </w:r>
      <w:r w:rsidRPr="00A2302E">
        <w:rPr>
          <w:rFonts w:ascii="Times New Roman" w:hAnsi="Times New Roman" w:cs="Times New Roman"/>
          <w:sz w:val="24"/>
          <w:szCs w:val="24"/>
        </w:rPr>
        <w:lastRenderedPageBreak/>
        <w:t xml:space="preserve">construção não é mensurável com confiabilidade, mas for esperado que o valor justo da propriedade seja mensurável com confiabilidade quando a construção for concluída, a propriedade para investimento em construção deve ser mensurada ao custo até que seu valor justo se torne confiavelmente mensurável ou a construção seja concluída (o que ocorrer primeiro). Se a entidade concluir que o valor justo de propriedade para investimento (outra que não a propriedade para investimento em construção) não é confiavelmente mensurável, a entidade deve mensurar essa propriedade para investimento usando o método do custo do CPC 27 – Ativo Imobilizado </w:t>
      </w:r>
      <w:r w:rsidRPr="00A2302E">
        <w:rPr>
          <w:rFonts w:ascii="Times New Roman" w:hAnsi="Times New Roman" w:cs="Times New Roman"/>
          <w:sz w:val="24"/>
          <w:szCs w:val="24"/>
          <w:u w:val="single"/>
        </w:rPr>
        <w:t>para propriedade para investimento própria ou de acordo com o CPC 06 para propriedade para investimento mantida por arrendatário como ativo de direito de uso</w:t>
      </w:r>
      <w:r w:rsidRPr="00A2302E">
        <w:rPr>
          <w:rFonts w:ascii="Times New Roman" w:hAnsi="Times New Roman" w:cs="Times New Roman"/>
          <w:sz w:val="24"/>
          <w:szCs w:val="24"/>
        </w:rPr>
        <w:t xml:space="preserve">. O valor residual da propriedade para investimento deve ser assumido como sendo zero. A entidade deve </w:t>
      </w:r>
      <w:r w:rsidRPr="00A2302E">
        <w:rPr>
          <w:rFonts w:ascii="Times New Roman" w:hAnsi="Times New Roman" w:cs="Times New Roman"/>
          <w:sz w:val="24"/>
          <w:szCs w:val="24"/>
          <w:u w:val="single"/>
        </w:rPr>
        <w:t>continuar a</w:t>
      </w:r>
      <w:r w:rsidRPr="00A2302E">
        <w:rPr>
          <w:rFonts w:ascii="Times New Roman" w:hAnsi="Times New Roman" w:cs="Times New Roman"/>
          <w:sz w:val="24"/>
          <w:szCs w:val="24"/>
        </w:rPr>
        <w:t xml:space="preserve"> aplicar o CPC 27 </w:t>
      </w:r>
      <w:r w:rsidRPr="00A2302E">
        <w:rPr>
          <w:rFonts w:ascii="Times New Roman" w:hAnsi="Times New Roman" w:cs="Times New Roman"/>
          <w:sz w:val="24"/>
          <w:szCs w:val="24"/>
          <w:u w:val="single"/>
        </w:rPr>
        <w:t>ou o CPC 06</w:t>
      </w:r>
      <w:r w:rsidRPr="00A2302E">
        <w:rPr>
          <w:rFonts w:ascii="Times New Roman" w:hAnsi="Times New Roman" w:cs="Times New Roman"/>
          <w:sz w:val="24"/>
          <w:szCs w:val="24"/>
        </w:rPr>
        <w:t xml:space="preserve"> até a alienação da propriedade para investimento. </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53A. </w:t>
      </w:r>
      <w:r w:rsidRPr="00A2302E">
        <w:rPr>
          <w:rFonts w:ascii="Times New Roman" w:hAnsi="Times New Roman" w:cs="Times New Roman"/>
          <w:sz w:val="24"/>
          <w:szCs w:val="24"/>
        </w:rPr>
        <w:tab/>
        <w:t xml:space="preserve">Uma vez que a entidade se torne capaz de mensurar confiavelmente o valor justo de </w:t>
      </w:r>
      <w:r w:rsidR="003E4337" w:rsidRPr="00A2302E">
        <w:rPr>
          <w:rFonts w:ascii="Times New Roman" w:hAnsi="Times New Roman" w:cs="Times New Roman"/>
          <w:sz w:val="24"/>
          <w:szCs w:val="24"/>
          <w:u w:val="single"/>
        </w:rPr>
        <w:t>propriedade para investimento</w:t>
      </w:r>
      <w:r w:rsidRPr="00A2302E">
        <w:rPr>
          <w:rFonts w:ascii="Times New Roman" w:hAnsi="Times New Roman" w:cs="Times New Roman"/>
          <w:sz w:val="24"/>
          <w:szCs w:val="24"/>
        </w:rPr>
        <w:t xml:space="preserve"> em construção que tenha sido previamente avaliada ao custo, deve mensurar essa propriedade pelo valor justo. Assim que a construção estiver completada, presume-se que o valor justo possa ser mensurado confiavelmente. Se esse não for o caso, de acordo com o item 53, a propriedade deve ser contabilizada pelo método do custo, de acordo com o CPC 27 – Ativo Imobilizado, </w:t>
      </w:r>
      <w:r w:rsidR="003E4337" w:rsidRPr="00A2302E">
        <w:rPr>
          <w:rFonts w:ascii="Times New Roman" w:hAnsi="Times New Roman" w:cs="Times New Roman"/>
          <w:sz w:val="24"/>
          <w:szCs w:val="24"/>
          <w:u w:val="single"/>
        </w:rPr>
        <w:t>para ativos próprios, ou com o CPC 06, para propriedade para investimento mantida por arrendatário como ativo de direito de uso</w:t>
      </w:r>
      <w:r w:rsidRPr="00A2302E">
        <w:rPr>
          <w:rFonts w:ascii="Times New Roman" w:hAnsi="Times New Roman" w:cs="Times New Roman"/>
          <w:sz w:val="24"/>
          <w:szCs w:val="24"/>
        </w:rPr>
        <w:t>.</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54. </w:t>
      </w:r>
      <w:r w:rsidRPr="00A2302E">
        <w:rPr>
          <w:rFonts w:ascii="Times New Roman" w:hAnsi="Times New Roman" w:cs="Times New Roman"/>
          <w:sz w:val="24"/>
          <w:szCs w:val="24"/>
        </w:rPr>
        <w:tab/>
        <w:t xml:space="preserve">Nos casos excepcionais em que a entidade seja compelida, pela razão dada no item 53, a mensurar a propriedade para investimento, usando o método do custo de acordo com o CPC 27 </w:t>
      </w:r>
      <w:r w:rsidR="003E4337" w:rsidRPr="00A2302E">
        <w:rPr>
          <w:rFonts w:ascii="Times New Roman" w:hAnsi="Times New Roman" w:cs="Times New Roman"/>
          <w:sz w:val="24"/>
          <w:szCs w:val="24"/>
          <w:u w:val="single"/>
        </w:rPr>
        <w:t>ou CPC 06</w:t>
      </w:r>
      <w:r w:rsidRPr="00A2302E">
        <w:rPr>
          <w:rFonts w:ascii="Times New Roman" w:hAnsi="Times New Roman" w:cs="Times New Roman"/>
          <w:sz w:val="24"/>
          <w:szCs w:val="24"/>
        </w:rPr>
        <w:t>, ela deve mensurar todas as suas outras propriedades para investimento pelo valor justo, inclusive as propriedades para investimento em construção. Nesses casos, embora a entidade possa usar o método do custo para uma propriedade para investimento, a entidade deve continuar a contabilizar cada uma das propriedades restantes usando o método do valor justo.</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56. Após o reconhecimento inicial, a entidade que escolher o modelo do custo deve mensurar </w:t>
      </w:r>
      <w:r w:rsidR="003E4337" w:rsidRPr="00A2302E">
        <w:rPr>
          <w:rFonts w:ascii="Times New Roman" w:hAnsi="Times New Roman" w:cs="Times New Roman"/>
          <w:sz w:val="24"/>
          <w:szCs w:val="24"/>
          <w:u w:val="single"/>
        </w:rPr>
        <w:t>a propriedade para investimento</w:t>
      </w:r>
      <w:r w:rsidRPr="00A2302E">
        <w:rPr>
          <w:rFonts w:ascii="Times New Roman" w:hAnsi="Times New Roman" w:cs="Times New Roman"/>
          <w:sz w:val="24"/>
          <w:szCs w:val="24"/>
        </w:rPr>
        <w:t>:</w:t>
      </w:r>
    </w:p>
    <w:p w:rsidR="0098198E" w:rsidRPr="00A2302E" w:rsidRDefault="003E4337" w:rsidP="0098198E">
      <w:pPr>
        <w:tabs>
          <w:tab w:val="left" w:pos="505"/>
        </w:tabs>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(a) de acordo com o CPC 31 – Ativo Não Circulante Mantido para Venda e Operação Descontinuada, se atender aos critérios para ser classificado como mantido para venda (ou está incluído em grupo para alienação que seja classificado como mantido para venda);</w:t>
      </w:r>
    </w:p>
    <w:p w:rsidR="0098198E" w:rsidRPr="00A2302E" w:rsidRDefault="003E4337" w:rsidP="0098198E">
      <w:pPr>
        <w:tabs>
          <w:tab w:val="left" w:pos="505"/>
        </w:tabs>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(b) de acordo com o CPC 06, se é mantido por arrendatário como ativo de direito de uso e não é mantido para venda, de acordo com o CPC 31; e</w:t>
      </w:r>
    </w:p>
    <w:p w:rsidR="0098198E" w:rsidRPr="00A2302E" w:rsidRDefault="003E4337" w:rsidP="0098198E">
      <w:pPr>
        <w:tabs>
          <w:tab w:val="left" w:pos="505"/>
        </w:tabs>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(c) de acordo com os requisitos do CPC 27 para o modelo do custo em todos os outros casos.</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60. </w:t>
      </w:r>
      <w:r w:rsidRPr="00A2302E">
        <w:rPr>
          <w:rFonts w:ascii="Times New Roman" w:hAnsi="Times New Roman" w:cs="Times New Roman"/>
          <w:sz w:val="24"/>
          <w:szCs w:val="24"/>
        </w:rPr>
        <w:tab/>
        <w:t xml:space="preserve">Para a transferência de propriedade para investimento contabilizada pelo valor justo para propriedade ocupada pelo proprietário ou para estoque, o custo considerado da propriedade para subsequente contabilização, de acordo com o CPC 27, </w:t>
      </w:r>
      <w:r w:rsidR="003E4337" w:rsidRPr="00A2302E">
        <w:rPr>
          <w:rFonts w:ascii="Times New Roman" w:hAnsi="Times New Roman" w:cs="Times New Roman"/>
          <w:sz w:val="24"/>
          <w:szCs w:val="24"/>
          <w:u w:val="single"/>
        </w:rPr>
        <w:t>o CPC 06</w:t>
      </w:r>
      <w:r w:rsidRPr="00A2302E">
        <w:rPr>
          <w:rFonts w:ascii="Times New Roman" w:hAnsi="Times New Roman" w:cs="Times New Roman"/>
          <w:sz w:val="24"/>
          <w:szCs w:val="24"/>
        </w:rPr>
        <w:t xml:space="preserve"> ou o CPC 16, deve ser o seu valor justo à data da alteração de uso.</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61. </w:t>
      </w:r>
      <w:r w:rsidRPr="00A2302E">
        <w:rPr>
          <w:rFonts w:ascii="Times New Roman" w:hAnsi="Times New Roman" w:cs="Times New Roman"/>
          <w:sz w:val="24"/>
          <w:szCs w:val="24"/>
        </w:rPr>
        <w:tab/>
        <w:t xml:space="preserve">Se o imóvel ocupado pelo proprietário se tornar propriedade para investimento que seja contabilizada pelo valor justo, a entidade deve aplicar o CPC 27 </w:t>
      </w:r>
      <w:r w:rsidR="003E4337" w:rsidRPr="00A2302E">
        <w:rPr>
          <w:rFonts w:ascii="Times New Roman" w:hAnsi="Times New Roman" w:cs="Times New Roman"/>
          <w:sz w:val="24"/>
          <w:szCs w:val="24"/>
          <w:u w:val="single"/>
        </w:rPr>
        <w:t>para propriedade própria e o CPC 06 para propriedade mantida por arrendatário como ativo de direito de uso até a data da alteração do uso.</w:t>
      </w:r>
      <w:r w:rsidRPr="00A2302E">
        <w:rPr>
          <w:rFonts w:ascii="Times New Roman" w:hAnsi="Times New Roman" w:cs="Times New Roman"/>
          <w:sz w:val="24"/>
          <w:szCs w:val="24"/>
        </w:rPr>
        <w:t xml:space="preserve"> A entidade deve tratar qualquer diferença nessa data entre o valor contábil do imóvel</w:t>
      </w:r>
      <w:r w:rsidR="00400821" w:rsidRPr="00A2302E">
        <w:rPr>
          <w:rFonts w:ascii="Times New Roman" w:hAnsi="Times New Roman" w:cs="Times New Roman"/>
          <w:sz w:val="24"/>
          <w:szCs w:val="24"/>
        </w:rPr>
        <w:t>,</w:t>
      </w:r>
      <w:r w:rsidRPr="00A2302E">
        <w:rPr>
          <w:rFonts w:ascii="Times New Roman" w:hAnsi="Times New Roman" w:cs="Times New Roman"/>
          <w:sz w:val="24"/>
          <w:szCs w:val="24"/>
        </w:rPr>
        <w:t xml:space="preserve"> de acordo com o CPC 27 </w:t>
      </w:r>
      <w:r w:rsidR="003E4337" w:rsidRPr="00A2302E">
        <w:rPr>
          <w:rFonts w:ascii="Times New Roman" w:hAnsi="Times New Roman" w:cs="Times New Roman"/>
          <w:sz w:val="24"/>
          <w:szCs w:val="24"/>
          <w:u w:val="single"/>
        </w:rPr>
        <w:t>ou o CPC 06</w:t>
      </w:r>
      <w:r w:rsidRPr="00A2302E">
        <w:rPr>
          <w:rFonts w:ascii="Times New Roman" w:hAnsi="Times New Roman" w:cs="Times New Roman"/>
          <w:sz w:val="24"/>
          <w:szCs w:val="24"/>
        </w:rPr>
        <w:t xml:space="preserve"> e o seu valor justo</w:t>
      </w:r>
      <w:r w:rsidR="00400821" w:rsidRPr="00A2302E">
        <w:rPr>
          <w:rFonts w:ascii="Times New Roman" w:hAnsi="Times New Roman" w:cs="Times New Roman"/>
          <w:sz w:val="24"/>
          <w:szCs w:val="24"/>
        </w:rPr>
        <w:t>,</w:t>
      </w:r>
      <w:r w:rsidRPr="00A2302E">
        <w:rPr>
          <w:rFonts w:ascii="Times New Roman" w:hAnsi="Times New Roman" w:cs="Times New Roman"/>
          <w:sz w:val="24"/>
          <w:szCs w:val="24"/>
        </w:rPr>
        <w:t xml:space="preserve"> conforme o item 62.</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62. </w:t>
      </w:r>
      <w:r w:rsidRPr="00A2302E">
        <w:rPr>
          <w:rFonts w:ascii="Times New Roman" w:hAnsi="Times New Roman" w:cs="Times New Roman"/>
          <w:sz w:val="24"/>
          <w:szCs w:val="24"/>
        </w:rPr>
        <w:tab/>
        <w:t xml:space="preserve">Até a data em que o imóvel ocupado pelo proprietário se torne propriedade para investimento contabilizada pelo valor justo, a entidade deve depreciar a propriedade </w:t>
      </w:r>
      <w:r w:rsidR="003E4337" w:rsidRPr="00A2302E">
        <w:rPr>
          <w:rFonts w:ascii="Times New Roman" w:hAnsi="Times New Roman" w:cs="Times New Roman"/>
          <w:sz w:val="24"/>
          <w:szCs w:val="24"/>
          <w:u w:val="single"/>
        </w:rPr>
        <w:t>(ou o ativo de direito de uso)</w:t>
      </w:r>
      <w:r w:rsidRPr="00A2302E">
        <w:rPr>
          <w:rFonts w:ascii="Times New Roman" w:hAnsi="Times New Roman" w:cs="Times New Roman"/>
          <w:sz w:val="24"/>
          <w:szCs w:val="24"/>
        </w:rPr>
        <w:t xml:space="preserve"> e </w:t>
      </w:r>
      <w:r w:rsidR="003E4337" w:rsidRPr="00A2302E">
        <w:rPr>
          <w:rFonts w:ascii="Times New Roman" w:hAnsi="Times New Roman" w:cs="Times New Roman"/>
          <w:sz w:val="24"/>
          <w:szCs w:val="24"/>
          <w:u w:val="single"/>
        </w:rPr>
        <w:t>deve reconhecer</w:t>
      </w:r>
      <w:r w:rsidRPr="00A2302E">
        <w:rPr>
          <w:rFonts w:ascii="Times New Roman" w:hAnsi="Times New Roman" w:cs="Times New Roman"/>
          <w:sz w:val="24"/>
          <w:szCs w:val="24"/>
        </w:rPr>
        <w:t xml:space="preserve"> quaisquer perdas por redução no valor recuperável (</w:t>
      </w:r>
      <w:proofErr w:type="spellStart"/>
      <w:r w:rsidR="003E4337" w:rsidRPr="00A2302E">
        <w:rPr>
          <w:rFonts w:ascii="Times New Roman" w:hAnsi="Times New Roman" w:cs="Times New Roman"/>
          <w:i/>
          <w:sz w:val="24"/>
          <w:szCs w:val="24"/>
        </w:rPr>
        <w:t>impairment</w:t>
      </w:r>
      <w:proofErr w:type="spellEnd"/>
      <w:r w:rsidRPr="00A2302E">
        <w:rPr>
          <w:rFonts w:ascii="Times New Roman" w:hAnsi="Times New Roman" w:cs="Times New Roman"/>
          <w:sz w:val="24"/>
          <w:szCs w:val="24"/>
        </w:rPr>
        <w:t xml:space="preserve">) que tenham ocorrido. A entidade </w:t>
      </w:r>
      <w:r w:rsidR="00E20D44">
        <w:rPr>
          <w:rFonts w:ascii="Times New Roman" w:hAnsi="Times New Roman" w:cs="Times New Roman"/>
          <w:sz w:val="24"/>
          <w:szCs w:val="24"/>
        </w:rPr>
        <w:t xml:space="preserve">deve </w:t>
      </w:r>
      <w:r w:rsidRPr="00A2302E">
        <w:rPr>
          <w:rFonts w:ascii="Times New Roman" w:hAnsi="Times New Roman" w:cs="Times New Roman"/>
          <w:sz w:val="24"/>
          <w:szCs w:val="24"/>
        </w:rPr>
        <w:t>trata</w:t>
      </w:r>
      <w:r w:rsidR="00E20D44">
        <w:rPr>
          <w:rFonts w:ascii="Times New Roman" w:hAnsi="Times New Roman" w:cs="Times New Roman"/>
          <w:sz w:val="24"/>
          <w:szCs w:val="24"/>
        </w:rPr>
        <w:t>r</w:t>
      </w:r>
      <w:r w:rsidRPr="00A2302E">
        <w:rPr>
          <w:rFonts w:ascii="Times New Roman" w:hAnsi="Times New Roman" w:cs="Times New Roman"/>
          <w:sz w:val="24"/>
          <w:szCs w:val="24"/>
        </w:rPr>
        <w:t xml:space="preserve"> qualquer diferença nessa data entre o valor contábil da propriedade</w:t>
      </w:r>
      <w:r w:rsidR="00400821" w:rsidRPr="00A2302E">
        <w:rPr>
          <w:rFonts w:ascii="Times New Roman" w:hAnsi="Times New Roman" w:cs="Times New Roman"/>
          <w:sz w:val="24"/>
          <w:szCs w:val="24"/>
        </w:rPr>
        <w:t>,</w:t>
      </w:r>
      <w:r w:rsidRPr="00A2302E">
        <w:rPr>
          <w:rFonts w:ascii="Times New Roman" w:hAnsi="Times New Roman" w:cs="Times New Roman"/>
          <w:sz w:val="24"/>
          <w:szCs w:val="24"/>
        </w:rPr>
        <w:t xml:space="preserve"> de acordo com o CPC 27 </w:t>
      </w:r>
      <w:r w:rsidR="003E4337" w:rsidRPr="00A2302E">
        <w:rPr>
          <w:rFonts w:ascii="Times New Roman" w:hAnsi="Times New Roman" w:cs="Times New Roman"/>
          <w:sz w:val="24"/>
          <w:szCs w:val="24"/>
          <w:u w:val="single"/>
        </w:rPr>
        <w:t>ou o CPC 06</w:t>
      </w:r>
      <w:r w:rsidR="00400821" w:rsidRPr="00A2302E">
        <w:rPr>
          <w:rFonts w:ascii="Times New Roman" w:hAnsi="Times New Roman" w:cs="Times New Roman"/>
          <w:sz w:val="24"/>
          <w:szCs w:val="24"/>
          <w:u w:val="single"/>
        </w:rPr>
        <w:t>,</w:t>
      </w:r>
      <w:r w:rsidRPr="00A2302E">
        <w:rPr>
          <w:rFonts w:ascii="Times New Roman" w:hAnsi="Times New Roman" w:cs="Times New Roman"/>
          <w:sz w:val="24"/>
          <w:szCs w:val="24"/>
        </w:rPr>
        <w:t xml:space="preserve"> e o seu valor justo da seguinte forma:</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lastRenderedPageBreak/>
        <w:t>(a) (...)</w:t>
      </w:r>
      <w:r w:rsidRPr="00A2302E">
        <w:rPr>
          <w:rFonts w:ascii="Times New Roman" w:hAnsi="Times New Roman" w:cs="Times New Roman"/>
          <w:sz w:val="24"/>
          <w:szCs w:val="24"/>
        </w:rPr>
        <w:tab/>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67. </w:t>
      </w:r>
      <w:r w:rsidRPr="00A2302E">
        <w:rPr>
          <w:rFonts w:ascii="Times New Roman" w:hAnsi="Times New Roman" w:cs="Times New Roman"/>
          <w:sz w:val="24"/>
          <w:szCs w:val="24"/>
        </w:rPr>
        <w:tab/>
        <w:t xml:space="preserve">A alienação de propriedade para investimento pode ser alcançada pela venda ou pela celebração de arrendamento financeiro. A data de alienação da propriedade para investimento, </w:t>
      </w:r>
      <w:r w:rsidR="003E4337" w:rsidRPr="00A2302E">
        <w:rPr>
          <w:rFonts w:ascii="Times New Roman" w:hAnsi="Times New Roman" w:cs="Times New Roman"/>
          <w:sz w:val="24"/>
          <w:szCs w:val="24"/>
          <w:u w:val="single"/>
        </w:rPr>
        <w:t xml:space="preserve">que é vendida, </w:t>
      </w:r>
      <w:r w:rsidRPr="00A2302E">
        <w:rPr>
          <w:rFonts w:ascii="Times New Roman" w:hAnsi="Times New Roman" w:cs="Times New Roman"/>
          <w:sz w:val="24"/>
          <w:szCs w:val="24"/>
        </w:rPr>
        <w:t>é a data em que o recebedor obtém o controle da propriedade para investimento</w:t>
      </w:r>
      <w:r w:rsidR="00DA4844" w:rsidRPr="00A2302E">
        <w:rPr>
          <w:rFonts w:ascii="Times New Roman" w:hAnsi="Times New Roman" w:cs="Times New Roman"/>
          <w:sz w:val="24"/>
          <w:szCs w:val="24"/>
        </w:rPr>
        <w:t>,</w:t>
      </w:r>
      <w:r w:rsidRPr="00A2302E">
        <w:rPr>
          <w:rFonts w:ascii="Times New Roman" w:hAnsi="Times New Roman" w:cs="Times New Roman"/>
          <w:sz w:val="24"/>
          <w:szCs w:val="24"/>
        </w:rPr>
        <w:t xml:space="preserve"> de acordo com os requisitos do CPC 47, que determinam quando a obrigação de </w:t>
      </w:r>
      <w:r w:rsidR="00B4255A" w:rsidRPr="00590A1F">
        <w:rPr>
          <w:rFonts w:ascii="Times New Roman" w:hAnsi="Times New Roman" w:cs="Times New Roman"/>
          <w:i/>
          <w:sz w:val="24"/>
          <w:szCs w:val="24"/>
        </w:rPr>
        <w:t xml:space="preserve">performance </w:t>
      </w:r>
      <w:r w:rsidRPr="00A2302E">
        <w:rPr>
          <w:rFonts w:ascii="Times New Roman" w:hAnsi="Times New Roman" w:cs="Times New Roman"/>
          <w:sz w:val="24"/>
          <w:szCs w:val="24"/>
        </w:rPr>
        <w:t xml:space="preserve">é satisfeita. O CPC 06 se aplica à alienação efetuada pela celebração de arrendamento financeiro e à venda e </w:t>
      </w:r>
      <w:proofErr w:type="spellStart"/>
      <w:r w:rsidR="003E4337" w:rsidRPr="00A2302E">
        <w:rPr>
          <w:rFonts w:ascii="Times New Roman" w:hAnsi="Times New Roman" w:cs="Times New Roman"/>
          <w:i/>
          <w:sz w:val="24"/>
          <w:szCs w:val="24"/>
        </w:rPr>
        <w:t>leaseback</w:t>
      </w:r>
      <w:proofErr w:type="spellEnd"/>
      <w:r w:rsidRPr="00A2302E">
        <w:rPr>
          <w:rFonts w:ascii="Times New Roman" w:hAnsi="Times New Roman" w:cs="Times New Roman"/>
          <w:sz w:val="24"/>
          <w:szCs w:val="24"/>
        </w:rPr>
        <w:t>.</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74. </w:t>
      </w:r>
      <w:r w:rsidRPr="00A2302E">
        <w:rPr>
          <w:rFonts w:ascii="Times New Roman" w:hAnsi="Times New Roman" w:cs="Times New Roman"/>
          <w:sz w:val="24"/>
          <w:szCs w:val="24"/>
        </w:rPr>
        <w:tab/>
        <w:t xml:space="preserve">As divulgações indicadas adiante se aplicam adicionalmente às enunciadas no CPC 06. De acordo com o CPC 06, o proprietário de propriedade para investimento proporciona as divulgações dos arrendadores acerca dos arrendamentos que tenham celebrado. </w:t>
      </w:r>
      <w:r w:rsidR="003E4337" w:rsidRPr="00A2302E">
        <w:rPr>
          <w:rFonts w:ascii="Times New Roman" w:hAnsi="Times New Roman" w:cs="Times New Roman"/>
          <w:sz w:val="24"/>
          <w:szCs w:val="24"/>
          <w:u w:val="single"/>
        </w:rPr>
        <w:t>O arrendatário</w:t>
      </w:r>
      <w:r w:rsidRPr="00A2302E">
        <w:rPr>
          <w:rFonts w:ascii="Times New Roman" w:hAnsi="Times New Roman" w:cs="Times New Roman"/>
          <w:sz w:val="24"/>
          <w:szCs w:val="24"/>
        </w:rPr>
        <w:t xml:space="preserve"> que detenha propriedade para investimento </w:t>
      </w:r>
      <w:r w:rsidR="003E4337" w:rsidRPr="00A2302E">
        <w:rPr>
          <w:rFonts w:ascii="Times New Roman" w:hAnsi="Times New Roman" w:cs="Times New Roman"/>
          <w:sz w:val="24"/>
          <w:szCs w:val="24"/>
          <w:u w:val="single"/>
        </w:rPr>
        <w:t>como ativo de direito de uso</w:t>
      </w:r>
      <w:r w:rsidRPr="00A2302E">
        <w:rPr>
          <w:rFonts w:ascii="Times New Roman" w:hAnsi="Times New Roman" w:cs="Times New Roman"/>
          <w:sz w:val="24"/>
          <w:szCs w:val="24"/>
        </w:rPr>
        <w:t xml:space="preserve"> proporciona divulgação dos arrendatários, </w:t>
      </w:r>
      <w:r w:rsidR="003E4337" w:rsidRPr="00A2302E">
        <w:rPr>
          <w:rFonts w:ascii="Times New Roman" w:hAnsi="Times New Roman" w:cs="Times New Roman"/>
          <w:sz w:val="24"/>
          <w:szCs w:val="24"/>
          <w:u w:val="single"/>
        </w:rPr>
        <w:t>como requerido pelo CPC 06</w:t>
      </w:r>
      <w:r w:rsidRPr="00A2302E">
        <w:rPr>
          <w:rFonts w:ascii="Times New Roman" w:hAnsi="Times New Roman" w:cs="Times New Roman"/>
          <w:sz w:val="24"/>
          <w:szCs w:val="24"/>
        </w:rPr>
        <w:t xml:space="preserve">, e divulgação dos arrendadores, </w:t>
      </w:r>
      <w:r w:rsidR="003E4337" w:rsidRPr="00A2302E">
        <w:rPr>
          <w:rFonts w:ascii="Times New Roman" w:hAnsi="Times New Roman" w:cs="Times New Roman"/>
          <w:sz w:val="24"/>
          <w:szCs w:val="24"/>
          <w:u w:val="single"/>
        </w:rPr>
        <w:t>como requerido pelo CPC 06</w:t>
      </w:r>
      <w:r w:rsidRPr="00A2302E">
        <w:rPr>
          <w:rFonts w:ascii="Times New Roman" w:hAnsi="Times New Roman" w:cs="Times New Roman"/>
          <w:sz w:val="24"/>
          <w:szCs w:val="24"/>
        </w:rPr>
        <w:t>, para qualquer arrendamento operacional que tenham celebrado.</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75. </w:t>
      </w:r>
      <w:r w:rsidRPr="00A2302E">
        <w:rPr>
          <w:rFonts w:ascii="Times New Roman" w:hAnsi="Times New Roman" w:cs="Times New Roman"/>
          <w:sz w:val="24"/>
          <w:szCs w:val="24"/>
        </w:rPr>
        <w:tab/>
        <w:t>A entidade deve divulgar:</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(a) (...)</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(b)</w:t>
      </w:r>
      <w:r w:rsidRPr="00A2302E">
        <w:rPr>
          <w:rFonts w:ascii="Times New Roman" w:hAnsi="Times New Roman" w:cs="Times New Roman"/>
          <w:sz w:val="24"/>
          <w:szCs w:val="24"/>
        </w:rPr>
        <w:tab/>
      </w:r>
      <w:r w:rsidR="009D0D03" w:rsidRPr="00A2302E">
        <w:rPr>
          <w:rFonts w:ascii="Times New Roman" w:hAnsi="Times New Roman" w:cs="Times New Roman"/>
          <w:sz w:val="24"/>
          <w:szCs w:val="24"/>
        </w:rPr>
        <w:t>e</w:t>
      </w:r>
      <w:r w:rsidRPr="00A2302E">
        <w:rPr>
          <w:rFonts w:ascii="Times New Roman" w:hAnsi="Times New Roman" w:cs="Times New Roman"/>
          <w:sz w:val="24"/>
          <w:szCs w:val="24"/>
        </w:rPr>
        <w:t>liminada</w:t>
      </w:r>
      <w:r w:rsidR="009D0D03" w:rsidRPr="00A2302E">
        <w:rPr>
          <w:rFonts w:ascii="Times New Roman" w:hAnsi="Times New Roman" w:cs="Times New Roman"/>
          <w:sz w:val="24"/>
          <w:szCs w:val="24"/>
        </w:rPr>
        <w:t>;</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(c) (...) </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77. </w:t>
      </w:r>
      <w:r w:rsidRPr="00A2302E">
        <w:rPr>
          <w:rFonts w:ascii="Times New Roman" w:hAnsi="Times New Roman" w:cs="Times New Roman"/>
          <w:sz w:val="24"/>
          <w:szCs w:val="24"/>
        </w:rPr>
        <w:tab/>
        <w:t>Quando a avaliação obtida para propriedade para investimento é ajustada significativamente para a finalidade das demonstrações contábeis, como, por exemplo, para evitar contagem dupla de ativos ou passivos que sejam reconhecidos como ativos e passivos separados</w:t>
      </w:r>
      <w:r w:rsidR="009D0D03" w:rsidRPr="00A2302E">
        <w:rPr>
          <w:rFonts w:ascii="Times New Roman" w:hAnsi="Times New Roman" w:cs="Times New Roman"/>
          <w:sz w:val="24"/>
          <w:szCs w:val="24"/>
        </w:rPr>
        <w:t>,</w:t>
      </w:r>
      <w:r w:rsidRPr="00A2302E">
        <w:rPr>
          <w:rFonts w:ascii="Times New Roman" w:hAnsi="Times New Roman" w:cs="Times New Roman"/>
          <w:sz w:val="24"/>
          <w:szCs w:val="24"/>
        </w:rPr>
        <w:t xml:space="preserve"> conforme descrito no item 50, a entidade deve divulgar a conciliação entre a valorização obtida e a avaliação ajustada incluída nas demonstrações contábeis, mostrando separadamente a quantia agregada de quaisquer </w:t>
      </w:r>
      <w:r w:rsidR="003E4337" w:rsidRPr="00A2302E">
        <w:rPr>
          <w:rFonts w:ascii="Times New Roman" w:hAnsi="Times New Roman" w:cs="Times New Roman"/>
          <w:sz w:val="24"/>
          <w:szCs w:val="24"/>
          <w:u w:val="single"/>
        </w:rPr>
        <w:t xml:space="preserve">passivos </w:t>
      </w:r>
      <w:r w:rsidRPr="00A2302E">
        <w:rPr>
          <w:rFonts w:ascii="Times New Roman" w:hAnsi="Times New Roman" w:cs="Times New Roman"/>
          <w:sz w:val="24"/>
          <w:szCs w:val="24"/>
        </w:rPr>
        <w:t xml:space="preserve">de arrendamento </w:t>
      </w:r>
      <w:r w:rsidR="003E4337" w:rsidRPr="00A2302E">
        <w:rPr>
          <w:rFonts w:ascii="Times New Roman" w:hAnsi="Times New Roman" w:cs="Times New Roman"/>
          <w:sz w:val="24"/>
          <w:szCs w:val="24"/>
          <w:u w:val="single"/>
        </w:rPr>
        <w:t>reconhecidos</w:t>
      </w:r>
      <w:r w:rsidRPr="00A2302E">
        <w:rPr>
          <w:rFonts w:ascii="Times New Roman" w:hAnsi="Times New Roman" w:cs="Times New Roman"/>
          <w:sz w:val="24"/>
          <w:szCs w:val="24"/>
        </w:rPr>
        <w:t xml:space="preserve"> que tenham sido novamente adicionados, e qualquer outro ajuste significativo.</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78. </w:t>
      </w:r>
      <w:r w:rsidRPr="00A2302E">
        <w:rPr>
          <w:rFonts w:ascii="Times New Roman" w:hAnsi="Times New Roman" w:cs="Times New Roman"/>
          <w:sz w:val="24"/>
          <w:szCs w:val="24"/>
        </w:rPr>
        <w:tab/>
        <w:t>Nos casos excepcionais referidos no item 53, quando a entidade mensurar a propriedade para investimento</w:t>
      </w:r>
      <w:r w:rsidR="001118B3" w:rsidRPr="00A2302E">
        <w:rPr>
          <w:rFonts w:ascii="Times New Roman" w:hAnsi="Times New Roman" w:cs="Times New Roman"/>
          <w:sz w:val="24"/>
          <w:szCs w:val="24"/>
        </w:rPr>
        <w:t>,</w:t>
      </w:r>
      <w:r w:rsidRPr="00A2302E">
        <w:rPr>
          <w:rFonts w:ascii="Times New Roman" w:hAnsi="Times New Roman" w:cs="Times New Roman"/>
          <w:sz w:val="24"/>
          <w:szCs w:val="24"/>
        </w:rPr>
        <w:t xml:space="preserve"> usando o método do custo do CPC 27 </w:t>
      </w:r>
      <w:r w:rsidR="003E4337" w:rsidRPr="00A2302E">
        <w:rPr>
          <w:rFonts w:ascii="Times New Roman" w:hAnsi="Times New Roman" w:cs="Times New Roman"/>
          <w:sz w:val="24"/>
          <w:szCs w:val="24"/>
          <w:u w:val="single"/>
        </w:rPr>
        <w:t>ou de acordo com o CPC 06</w:t>
      </w:r>
      <w:r w:rsidRPr="00A2302E">
        <w:rPr>
          <w:rFonts w:ascii="Times New Roman" w:hAnsi="Times New Roman" w:cs="Times New Roman"/>
          <w:sz w:val="24"/>
          <w:szCs w:val="24"/>
        </w:rPr>
        <w:t>, a conciliação exigida pelo item 76 deve divulgar as quantias relacionadas com essa propriedade para investimento separadamente das quantias relacionadas com outras propriedades para investimento. Além disso, a entidade deve divulgar:</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(a) (...)</w:t>
      </w:r>
    </w:p>
    <w:p w:rsidR="0098198E" w:rsidRPr="00A2302E" w:rsidRDefault="0098198E" w:rsidP="0098198E">
      <w:pPr>
        <w:tabs>
          <w:tab w:val="left" w:pos="505"/>
        </w:tabs>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1</w:t>
      </w:r>
      <w:r w:rsidR="0098198E" w:rsidRPr="00A2302E">
        <w:rPr>
          <w:rFonts w:ascii="Times New Roman" w:hAnsi="Times New Roman" w:cs="Times New Roman"/>
          <w:b/>
          <w:sz w:val="24"/>
          <w:szCs w:val="24"/>
        </w:rPr>
        <w:t>4</w:t>
      </w:r>
      <w:r w:rsidRPr="00A2302E">
        <w:rPr>
          <w:rFonts w:ascii="Times New Roman" w:hAnsi="Times New Roman" w:cs="Times New Roman"/>
          <w:b/>
          <w:sz w:val="24"/>
          <w:szCs w:val="24"/>
        </w:rPr>
        <w:t xml:space="preserve">. </w:t>
      </w:r>
      <w:r w:rsidRPr="00A2302E">
        <w:rPr>
          <w:rFonts w:ascii="Times New Roman" w:hAnsi="Times New Roman" w:cs="Times New Roman"/>
          <w:b/>
          <w:sz w:val="24"/>
          <w:szCs w:val="24"/>
        </w:rPr>
        <w:tab/>
        <w:t>Altera o item 2 no CPC 29 – Ativo Biológico e Produto Agrícola, que passa a vigorar com a seguinte redação:</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2.</w:t>
      </w:r>
      <w:r w:rsidRPr="00A2302E">
        <w:rPr>
          <w:rFonts w:ascii="Times New Roman" w:hAnsi="Times New Roman" w:cs="Times New Roman"/>
          <w:sz w:val="24"/>
          <w:szCs w:val="24"/>
        </w:rPr>
        <w:tab/>
        <w:t>Este pronunciamento não é aplicável em:</w:t>
      </w:r>
    </w:p>
    <w:p w:rsidR="004A0ED3" w:rsidRPr="002744F8" w:rsidRDefault="004A0ED3" w:rsidP="004A0ED3">
      <w:pPr>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t>(a) (...)</w:t>
      </w: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(d)</w:t>
      </w:r>
      <w:r w:rsidRPr="00A2302E">
        <w:rPr>
          <w:rFonts w:ascii="Times New Roman" w:hAnsi="Times New Roman" w:cs="Times New Roman"/>
          <w:sz w:val="24"/>
          <w:szCs w:val="24"/>
        </w:rPr>
        <w:tab/>
        <w:t xml:space="preserve">ativos intangíveis relacionados com atividades agrícolas (ver CPC 04 – Ativo Intangível); </w:t>
      </w:r>
    </w:p>
    <w:p w:rsidR="004A0ED3" w:rsidRPr="00A2302E" w:rsidRDefault="003E4337" w:rsidP="004A0ED3">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(e) ativos de direito de uso decorrentes de arrendamento de terrenos relacionados à atividade agrícola (ver CPC 06 – Operações de Arrendamento Mercantil).</w:t>
      </w:r>
    </w:p>
    <w:p w:rsidR="004A0ED3" w:rsidRPr="00A2302E" w:rsidRDefault="004A0ED3" w:rsidP="007F0317">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 xml:space="preserve">15. </w:t>
      </w:r>
      <w:r w:rsidRPr="00A2302E">
        <w:rPr>
          <w:rFonts w:ascii="Times New Roman" w:hAnsi="Times New Roman" w:cs="Times New Roman"/>
          <w:b/>
          <w:sz w:val="24"/>
          <w:szCs w:val="24"/>
        </w:rPr>
        <w:tab/>
        <w:t xml:space="preserve">Altera o item 20 e o título do </w:t>
      </w:r>
      <w:r w:rsidR="009835D6">
        <w:rPr>
          <w:rFonts w:ascii="Times New Roman" w:hAnsi="Times New Roman" w:cs="Times New Roman"/>
          <w:b/>
          <w:sz w:val="24"/>
          <w:szCs w:val="24"/>
        </w:rPr>
        <w:t xml:space="preserve">exemplo do </w:t>
      </w:r>
      <w:r w:rsidRPr="00A2302E">
        <w:rPr>
          <w:rFonts w:ascii="Times New Roman" w:hAnsi="Times New Roman" w:cs="Times New Roman"/>
          <w:b/>
          <w:sz w:val="24"/>
          <w:szCs w:val="24"/>
        </w:rPr>
        <w:t>item 52B</w:t>
      </w:r>
      <w:r w:rsidR="009835D6">
        <w:rPr>
          <w:rFonts w:ascii="Times New Roman" w:hAnsi="Times New Roman" w:cs="Times New Roman"/>
          <w:b/>
          <w:sz w:val="24"/>
          <w:szCs w:val="24"/>
        </w:rPr>
        <w:t>, exclui o item 52B, exceto o exemplo,</w:t>
      </w:r>
      <w:r w:rsidRPr="00A2302E">
        <w:rPr>
          <w:rFonts w:ascii="Times New Roman" w:hAnsi="Times New Roman" w:cs="Times New Roman"/>
          <w:b/>
          <w:sz w:val="24"/>
          <w:szCs w:val="24"/>
        </w:rPr>
        <w:t xml:space="preserve"> e inclui o item 57A no CPC 32 – Tributos sobre o Lucro, que passam a vigorar com as seguintes redações:</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lastRenderedPageBreak/>
        <w:t xml:space="preserve">20. </w:t>
      </w:r>
      <w:r w:rsidRPr="00A2302E">
        <w:rPr>
          <w:rFonts w:ascii="Times New Roman" w:hAnsi="Times New Roman" w:cs="Times New Roman"/>
          <w:sz w:val="24"/>
          <w:szCs w:val="24"/>
        </w:rPr>
        <w:tab/>
        <w:t xml:space="preserve">Os pronunciamentos, interpretações e orientações permitem ou exigem que determinados ativos sejam reconhecidos contabilmente ao valor justo ou, quando permitido legalmente, sejam reavaliados (consultar, por exemplo, o CPC 27 – Ativo Imobilizado, o CPC 04 – Ativo Intangível, CPC 48 – Instrumentos Financeiros, o CPC 28 – Propriedade para Investimento </w:t>
      </w:r>
      <w:r w:rsidR="003E4337" w:rsidRPr="00A2302E">
        <w:rPr>
          <w:rFonts w:ascii="Times New Roman" w:hAnsi="Times New Roman" w:cs="Times New Roman"/>
          <w:sz w:val="24"/>
          <w:szCs w:val="24"/>
          <w:u w:val="single"/>
        </w:rPr>
        <w:t>e o CPC 06 – Operações de Arrendamento Mercantil</w:t>
      </w:r>
      <w:r w:rsidRPr="00A2302E">
        <w:rPr>
          <w:rFonts w:ascii="Times New Roman" w:hAnsi="Times New Roman" w:cs="Times New Roman"/>
          <w:sz w:val="24"/>
          <w:szCs w:val="24"/>
        </w:rPr>
        <w:t>). Em algumas jurisdições, a reavaliação ou outra remensuração de ativo ao valor justo afetam o lucro tributável (prejuízo fiscal) para o período atual. Como resultado, a base fiscal do ativo é ajustada e não surge nenhuma diferença temporária. Em outras jurisdições, a reavaliação ou a remensuração de ativo não afeta o lucro tributável no período de reavaliação ou remensuração e, consequentemente, a base fiscal do ativo não é ajustada. Entretanto, a recuperação futura do valor contábil resultará em fluxo tributável de benefícios econômicos para a entidade, e o valor, que será dedutível para fins fiscais, difere do valor daqueles benefícios econômicos. A diferença entre o valor contábil de ativo reavaliado e sua base fiscal é uma diferença temporária e dá margem a ativo ou passivo fiscal diferido. Isso é verdadeiro mesmo se:</w:t>
      </w: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(a) (...)</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proofErr w:type="gramStart"/>
      <w:r w:rsidRPr="00A2302E">
        <w:rPr>
          <w:rFonts w:ascii="Times New Roman" w:hAnsi="Times New Roman" w:cs="Times New Roman"/>
          <w:sz w:val="24"/>
          <w:szCs w:val="24"/>
        </w:rPr>
        <w:t>52B</w:t>
      </w:r>
      <w:proofErr w:type="gramEnd"/>
      <w:r w:rsidRPr="00A2302E">
        <w:rPr>
          <w:rFonts w:ascii="Times New Roman" w:hAnsi="Times New Roman" w:cs="Times New Roman"/>
          <w:sz w:val="24"/>
          <w:szCs w:val="24"/>
        </w:rPr>
        <w:t>.</w:t>
      </w:r>
      <w:r w:rsidRPr="00A2302E">
        <w:rPr>
          <w:rFonts w:ascii="Times New Roman" w:hAnsi="Times New Roman" w:cs="Times New Roman"/>
          <w:sz w:val="24"/>
          <w:szCs w:val="24"/>
        </w:rPr>
        <w:tab/>
      </w:r>
      <w:r w:rsidR="00912906" w:rsidRPr="00A2302E">
        <w:rPr>
          <w:rFonts w:ascii="Times New Roman" w:hAnsi="Times New Roman" w:cs="Times New Roman"/>
          <w:sz w:val="24"/>
          <w:szCs w:val="24"/>
        </w:rPr>
        <w:t xml:space="preserve">Eliminado. </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Exemplo ilustrativo dos itens 52A e 57A</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3E4337" w:rsidP="004A0ED3">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57A. A entidade deve reconhecer o efeito tributário sobre o rendimento dos dividendos</w:t>
      </w:r>
      <w:r w:rsidR="00912906" w:rsidRPr="00A2302E">
        <w:rPr>
          <w:rFonts w:ascii="Times New Roman" w:hAnsi="Times New Roman" w:cs="Times New Roman"/>
          <w:sz w:val="24"/>
          <w:szCs w:val="24"/>
          <w:u w:val="single"/>
        </w:rPr>
        <w:t>,</w:t>
      </w:r>
      <w:r w:rsidRPr="00A2302E">
        <w:rPr>
          <w:rFonts w:ascii="Times New Roman" w:hAnsi="Times New Roman" w:cs="Times New Roman"/>
          <w:sz w:val="24"/>
          <w:szCs w:val="24"/>
          <w:u w:val="single"/>
        </w:rPr>
        <w:t xml:space="preserve"> conforme definido no CPC 48</w:t>
      </w:r>
      <w:r w:rsidR="00912906" w:rsidRPr="00A2302E">
        <w:rPr>
          <w:rFonts w:ascii="Times New Roman" w:hAnsi="Times New Roman" w:cs="Times New Roman"/>
          <w:sz w:val="24"/>
          <w:szCs w:val="24"/>
          <w:u w:val="single"/>
        </w:rPr>
        <w:t>,</w:t>
      </w:r>
      <w:r w:rsidRPr="00A2302E">
        <w:rPr>
          <w:rFonts w:ascii="Times New Roman" w:hAnsi="Times New Roman" w:cs="Times New Roman"/>
          <w:sz w:val="24"/>
          <w:szCs w:val="24"/>
          <w:u w:val="single"/>
        </w:rPr>
        <w:t xml:space="preserve"> quando reconhece o passivo para pagar o dividendo. </w:t>
      </w:r>
      <w:proofErr w:type="gramStart"/>
      <w:r w:rsidRPr="00A2302E">
        <w:rPr>
          <w:rFonts w:ascii="Times New Roman" w:hAnsi="Times New Roman" w:cs="Times New Roman"/>
          <w:sz w:val="24"/>
          <w:szCs w:val="24"/>
          <w:u w:val="single"/>
        </w:rPr>
        <w:t>O efeito tributário sobre o rendimento dos dividendos estão</w:t>
      </w:r>
      <w:proofErr w:type="gramEnd"/>
      <w:r w:rsidRPr="00A2302E">
        <w:rPr>
          <w:rFonts w:ascii="Times New Roman" w:hAnsi="Times New Roman" w:cs="Times New Roman"/>
          <w:sz w:val="24"/>
          <w:szCs w:val="24"/>
          <w:u w:val="single"/>
        </w:rPr>
        <w:t xml:space="preserve"> ligados mais diretamente a transações ou eventos passados que geraram lucros distribuíveis do que às distribuições aos proprietários. Por conseguinte, a entidade deve reconhecer o efeito tributário sobre o rendimento dos dividendos no resultado, outros resultados abrangentes ou instrumentos patrimoniais da mesma forma que a entidade originalmente reconheceu essas transações ou eventos passados.</w:t>
      </w:r>
    </w:p>
    <w:p w:rsidR="004A0ED3" w:rsidRPr="00A2302E" w:rsidRDefault="004A0ED3" w:rsidP="007F0317">
      <w:pPr>
        <w:spacing w:after="0" w:line="240" w:lineRule="auto"/>
        <w:jc w:val="both"/>
        <w:rPr>
          <w:rFonts w:ascii="Times New Roman" w:hAnsi="Times New Roman" w:cs="Times New Roman"/>
          <w:sz w:val="24"/>
          <w:szCs w:val="24"/>
        </w:rPr>
      </w:pPr>
    </w:p>
    <w:p w:rsidR="004A0ED3" w:rsidRPr="00A2302E" w:rsidRDefault="004A0ED3" w:rsidP="007F0317">
      <w:pPr>
        <w:spacing w:after="0" w:line="240" w:lineRule="auto"/>
        <w:jc w:val="both"/>
        <w:rPr>
          <w:rFonts w:ascii="Times New Roman" w:hAnsi="Times New Roman" w:cs="Times New Roman"/>
          <w:sz w:val="24"/>
          <w:szCs w:val="24"/>
        </w:rPr>
      </w:pPr>
    </w:p>
    <w:p w:rsidR="004A0ED3" w:rsidRPr="00A2302E" w:rsidRDefault="0098198E" w:rsidP="004A0ED3">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16</w:t>
      </w:r>
      <w:r w:rsidR="004A0ED3" w:rsidRPr="00A2302E">
        <w:rPr>
          <w:rFonts w:ascii="Times New Roman" w:hAnsi="Times New Roman" w:cs="Times New Roman"/>
          <w:b/>
          <w:sz w:val="24"/>
          <w:szCs w:val="24"/>
        </w:rPr>
        <w:t xml:space="preserve">. </w:t>
      </w:r>
      <w:r w:rsidR="004A0ED3" w:rsidRPr="00A2302E">
        <w:rPr>
          <w:rFonts w:ascii="Times New Roman" w:hAnsi="Times New Roman" w:cs="Times New Roman"/>
          <w:b/>
          <w:sz w:val="24"/>
          <w:szCs w:val="24"/>
        </w:rPr>
        <w:tab/>
        <w:t>Altera os itens 57, 99, 120, 123, 125, 126 e 156 e inclui os itens 101A, 122A e 123A no CPC 33 – Benefícios a Empregados, que passam a vigorar com as seguintes redações:</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57.</w:t>
      </w:r>
      <w:r w:rsidRPr="00A2302E">
        <w:rPr>
          <w:rFonts w:ascii="Times New Roman" w:hAnsi="Times New Roman" w:cs="Times New Roman"/>
          <w:sz w:val="24"/>
          <w:szCs w:val="24"/>
        </w:rPr>
        <w:tab/>
        <w:t>A contabilização de planos de benefício definido pela entidade envolve os seguintes passos:</w:t>
      </w:r>
    </w:p>
    <w:p w:rsidR="004A0ED3" w:rsidRPr="002744F8" w:rsidRDefault="004A0ED3" w:rsidP="004A0ED3">
      <w:pPr>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t>(...)</w:t>
      </w: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(c)</w:t>
      </w:r>
      <w:r w:rsidRPr="00A2302E">
        <w:rPr>
          <w:rFonts w:ascii="Times New Roman" w:hAnsi="Times New Roman" w:cs="Times New Roman"/>
          <w:sz w:val="24"/>
          <w:szCs w:val="24"/>
        </w:rPr>
        <w:tab/>
        <w:t>determinar os valores a serem reconhecidos no resultado:</w:t>
      </w: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(i)</w:t>
      </w:r>
      <w:r w:rsidRPr="00A2302E">
        <w:rPr>
          <w:rFonts w:ascii="Times New Roman" w:hAnsi="Times New Roman" w:cs="Times New Roman"/>
          <w:sz w:val="24"/>
          <w:szCs w:val="24"/>
        </w:rPr>
        <w:tab/>
        <w:t xml:space="preserve">custo do serviço corrente (ver itens 70 a 74 </w:t>
      </w:r>
      <w:r w:rsidR="003E4337" w:rsidRPr="00A2302E">
        <w:rPr>
          <w:rFonts w:ascii="Times New Roman" w:hAnsi="Times New Roman" w:cs="Times New Roman"/>
          <w:sz w:val="24"/>
          <w:szCs w:val="24"/>
          <w:u w:val="single"/>
        </w:rPr>
        <w:t>e 122A</w:t>
      </w:r>
      <w:r w:rsidRPr="00A2302E">
        <w:rPr>
          <w:rFonts w:ascii="Times New Roman" w:hAnsi="Times New Roman" w:cs="Times New Roman"/>
          <w:sz w:val="24"/>
          <w:szCs w:val="24"/>
        </w:rPr>
        <w:t>);</w:t>
      </w: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99.</w:t>
      </w:r>
      <w:r w:rsidRPr="00A2302E">
        <w:rPr>
          <w:rFonts w:ascii="Times New Roman" w:hAnsi="Times New Roman" w:cs="Times New Roman"/>
          <w:sz w:val="24"/>
          <w:szCs w:val="24"/>
        </w:rPr>
        <w:tab/>
      </w:r>
      <w:r w:rsidR="003E4337" w:rsidRPr="00A2302E">
        <w:rPr>
          <w:rFonts w:ascii="Times New Roman" w:hAnsi="Times New Roman" w:cs="Times New Roman"/>
          <w:sz w:val="24"/>
          <w:szCs w:val="24"/>
          <w:u w:val="single"/>
        </w:rPr>
        <w:t>Quando</w:t>
      </w:r>
      <w:r w:rsidRPr="00A2302E">
        <w:rPr>
          <w:rFonts w:ascii="Times New Roman" w:hAnsi="Times New Roman" w:cs="Times New Roman"/>
          <w:sz w:val="24"/>
          <w:szCs w:val="24"/>
        </w:rPr>
        <w:t xml:space="preserve"> determinar o custo do serviço passado ou o ganho ou a perda na liquidação, a entidade deve remensurar o valor líquido de passivo (ativo) de benefício definido</w:t>
      </w:r>
      <w:r w:rsidR="00136180" w:rsidRPr="00A2302E">
        <w:rPr>
          <w:rFonts w:ascii="Times New Roman" w:hAnsi="Times New Roman" w:cs="Times New Roman"/>
          <w:sz w:val="24"/>
          <w:szCs w:val="24"/>
        </w:rPr>
        <w:t>,</w:t>
      </w:r>
      <w:r w:rsidRPr="00A2302E">
        <w:rPr>
          <w:rFonts w:ascii="Times New Roman" w:hAnsi="Times New Roman" w:cs="Times New Roman"/>
          <w:sz w:val="24"/>
          <w:szCs w:val="24"/>
        </w:rPr>
        <w:t xml:space="preserve"> usando o valor justo dos ativos do plano e as premissas atuariais correntes (incluindo taxas de juros de mercado e outros preços de mercado correntes) que reflitam:</w:t>
      </w: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(a) os benefícios oferecidos em conformidade com o plano </w:t>
      </w:r>
      <w:r w:rsidR="003E4337" w:rsidRPr="00A2302E">
        <w:rPr>
          <w:rFonts w:ascii="Times New Roman" w:hAnsi="Times New Roman" w:cs="Times New Roman"/>
          <w:sz w:val="24"/>
          <w:szCs w:val="24"/>
          <w:u w:val="single"/>
        </w:rPr>
        <w:t>e os ativos do plano</w:t>
      </w:r>
      <w:r w:rsidRPr="00A2302E">
        <w:rPr>
          <w:rFonts w:ascii="Times New Roman" w:hAnsi="Times New Roman" w:cs="Times New Roman"/>
          <w:sz w:val="24"/>
          <w:szCs w:val="24"/>
        </w:rPr>
        <w:t xml:space="preserve"> antes d</w:t>
      </w:r>
      <w:r w:rsidR="00136180" w:rsidRPr="00A2302E">
        <w:rPr>
          <w:rFonts w:ascii="Times New Roman" w:hAnsi="Times New Roman" w:cs="Times New Roman"/>
          <w:sz w:val="24"/>
          <w:szCs w:val="24"/>
        </w:rPr>
        <w:t>a</w:t>
      </w:r>
      <w:r w:rsidRPr="00A2302E">
        <w:rPr>
          <w:rFonts w:ascii="Times New Roman" w:hAnsi="Times New Roman" w:cs="Times New Roman"/>
          <w:sz w:val="24"/>
          <w:szCs w:val="24"/>
        </w:rPr>
        <w:t xml:space="preserve"> alteração, redução (encurtamento/</w:t>
      </w:r>
      <w:proofErr w:type="spellStart"/>
      <w:r w:rsidR="003E4337" w:rsidRPr="00A2302E">
        <w:rPr>
          <w:rFonts w:ascii="Times New Roman" w:hAnsi="Times New Roman" w:cs="Times New Roman"/>
          <w:i/>
          <w:sz w:val="24"/>
          <w:szCs w:val="24"/>
        </w:rPr>
        <w:t>curtailment</w:t>
      </w:r>
      <w:proofErr w:type="spellEnd"/>
      <w:r w:rsidRPr="00A2302E">
        <w:rPr>
          <w:rFonts w:ascii="Times New Roman" w:hAnsi="Times New Roman" w:cs="Times New Roman"/>
          <w:sz w:val="24"/>
          <w:szCs w:val="24"/>
        </w:rPr>
        <w:t>) ou liquidação do plano; e</w:t>
      </w:r>
    </w:p>
    <w:p w:rsidR="004A0ED3" w:rsidRPr="00A2302E" w:rsidRDefault="003E4337" w:rsidP="004A0ED3">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(b) os benefícios oferecidos em conformidade com o plano e os ativos do plano após a alteração, redução ou liquidação do plano.</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3E4337" w:rsidP="004A0ED3">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101A. Quando ocorre alteração, redução ou liquidação do plano, a entidade deve reconhecer e mensurar o custo do serviço passado, ou o ganho ou a perda na liquidação, de acordo com os itens 99 a 101 e itens 102 a 112. Ao fazê-lo, a entidade não deve considerar o efeito do teto de ativos. A entidade deve então determinar o efeito do teto do ativo após a alteração, redução ou liquidação do plano e deve reconhecer qualquer alteração nesse efeito, de acordo com o item 57(d).</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120.</w:t>
      </w:r>
      <w:r w:rsidRPr="00A2302E">
        <w:rPr>
          <w:rFonts w:ascii="Times New Roman" w:hAnsi="Times New Roman" w:cs="Times New Roman"/>
          <w:sz w:val="24"/>
          <w:szCs w:val="24"/>
        </w:rPr>
        <w:tab/>
        <w:t>A entidade deve reconhecer os componentes de custo de benefício definido, exceto na medida em que outro pronunciamento exigir ou permitir a sua inclusão no custo d</w:t>
      </w:r>
      <w:r w:rsidR="00136180" w:rsidRPr="00A2302E">
        <w:rPr>
          <w:rFonts w:ascii="Times New Roman" w:hAnsi="Times New Roman" w:cs="Times New Roman"/>
          <w:sz w:val="24"/>
          <w:szCs w:val="24"/>
        </w:rPr>
        <w:t>o</w:t>
      </w:r>
      <w:r w:rsidRPr="00A2302E">
        <w:rPr>
          <w:rFonts w:ascii="Times New Roman" w:hAnsi="Times New Roman" w:cs="Times New Roman"/>
          <w:sz w:val="24"/>
          <w:szCs w:val="24"/>
        </w:rPr>
        <w:t xml:space="preserve"> ativo, da seguinte maneira:</w:t>
      </w: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(a)</w:t>
      </w:r>
      <w:r w:rsidRPr="00A2302E">
        <w:rPr>
          <w:rFonts w:ascii="Times New Roman" w:hAnsi="Times New Roman" w:cs="Times New Roman"/>
          <w:sz w:val="24"/>
          <w:szCs w:val="24"/>
        </w:rPr>
        <w:tab/>
        <w:t xml:space="preserve">custo do serviço (ver itens 66 a 112 </w:t>
      </w:r>
      <w:r w:rsidR="003E4337" w:rsidRPr="00A2302E">
        <w:rPr>
          <w:rFonts w:ascii="Times New Roman" w:hAnsi="Times New Roman" w:cs="Times New Roman"/>
          <w:sz w:val="24"/>
          <w:szCs w:val="24"/>
          <w:u w:val="single"/>
        </w:rPr>
        <w:t>e 122A</w:t>
      </w:r>
      <w:r w:rsidRPr="00A2302E">
        <w:rPr>
          <w:rFonts w:ascii="Times New Roman" w:hAnsi="Times New Roman" w:cs="Times New Roman"/>
          <w:sz w:val="24"/>
          <w:szCs w:val="24"/>
        </w:rPr>
        <w:t>) no resultado;</w:t>
      </w:r>
    </w:p>
    <w:p w:rsidR="004A0ED3" w:rsidRPr="002744F8" w:rsidRDefault="004A0ED3" w:rsidP="004A0ED3">
      <w:pPr>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t>(b) (...)</w:t>
      </w:r>
    </w:p>
    <w:p w:rsidR="004A0ED3" w:rsidRPr="002744F8" w:rsidRDefault="004A0ED3" w:rsidP="004A0ED3">
      <w:pPr>
        <w:spacing w:after="0" w:line="240" w:lineRule="auto"/>
        <w:jc w:val="both"/>
        <w:rPr>
          <w:rFonts w:ascii="Times New Roman" w:hAnsi="Times New Roman" w:cs="Times New Roman"/>
          <w:sz w:val="24"/>
          <w:szCs w:val="24"/>
        </w:rPr>
      </w:pPr>
    </w:p>
    <w:p w:rsidR="004A0ED3" w:rsidRPr="00A2302E" w:rsidRDefault="003E4337" w:rsidP="004A0ED3">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122A. A entidade deve determinar o custo do serviço atual usando as premissas atuariais determinadas no início do período de relatório anual. No entanto, se a entidade remensurar o passivo (ativo) líquido de benefício definido, de acordo com o item 99, ela deve determinar o custo do serviço atual pelo restante do período de relatório anual após a alteração, redução ou liquidação do plano, utilizando as premissas atuariais utilizadas para remensurar o passivo (ativo) líquido de benefício definido de acordo com o item 99(b).</w:t>
      </w:r>
    </w:p>
    <w:p w:rsidR="004A0ED3" w:rsidRPr="00A2302E" w:rsidRDefault="004A0ED3" w:rsidP="004A0ED3">
      <w:pPr>
        <w:spacing w:after="0" w:line="240" w:lineRule="auto"/>
        <w:jc w:val="both"/>
        <w:rPr>
          <w:rFonts w:ascii="Times New Roman" w:hAnsi="Times New Roman" w:cs="Times New Roman"/>
          <w:sz w:val="24"/>
          <w:szCs w:val="24"/>
        </w:rPr>
      </w:pPr>
    </w:p>
    <w:p w:rsidR="00E73989" w:rsidRPr="00A2302E" w:rsidRDefault="004A0ED3" w:rsidP="00E73989">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123.</w:t>
      </w:r>
      <w:r w:rsidRPr="00A2302E">
        <w:rPr>
          <w:rFonts w:ascii="Times New Roman" w:hAnsi="Times New Roman" w:cs="Times New Roman"/>
          <w:sz w:val="24"/>
          <w:szCs w:val="24"/>
        </w:rPr>
        <w:tab/>
      </w:r>
      <w:r w:rsidR="003E4337" w:rsidRPr="00A2302E">
        <w:rPr>
          <w:rFonts w:ascii="Times New Roman" w:hAnsi="Times New Roman" w:cs="Times New Roman"/>
          <w:sz w:val="24"/>
          <w:szCs w:val="24"/>
          <w:u w:val="single"/>
        </w:rPr>
        <w:t>A entidade deve determinar</w:t>
      </w:r>
      <w:r w:rsidRPr="00A2302E">
        <w:rPr>
          <w:rFonts w:ascii="Times New Roman" w:hAnsi="Times New Roman" w:cs="Times New Roman"/>
          <w:sz w:val="24"/>
          <w:szCs w:val="24"/>
        </w:rPr>
        <w:t xml:space="preserve"> os juros líquidos sobre o valor líquido de passivo (ativo) de benefício definido, multiplicando-se o valor líquido de passivo (ativo) de benefício definido pela taxa de desconto especificada no item 83.</w:t>
      </w:r>
      <w:r w:rsidR="00E73989" w:rsidRPr="00A2302E">
        <w:rPr>
          <w:rFonts w:ascii="Times New Roman" w:hAnsi="Times New Roman" w:cs="Times New Roman"/>
          <w:sz w:val="24"/>
          <w:szCs w:val="24"/>
        </w:rPr>
        <w:t xml:space="preserve"> </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3E4337" w:rsidP="004A0ED3">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123A. Para determinar os juros líquidos de acordo com o item 123, a entidade deve utilizar o</w:t>
      </w:r>
      <w:r w:rsidR="004A0ED3" w:rsidRPr="00A2302E">
        <w:rPr>
          <w:rFonts w:ascii="Times New Roman" w:hAnsi="Times New Roman" w:cs="Times New Roman"/>
          <w:sz w:val="24"/>
          <w:szCs w:val="24"/>
        </w:rPr>
        <w:t xml:space="preserve"> </w:t>
      </w:r>
      <w:r w:rsidRPr="00A2302E">
        <w:rPr>
          <w:rFonts w:ascii="Times New Roman" w:hAnsi="Times New Roman" w:cs="Times New Roman"/>
          <w:sz w:val="24"/>
          <w:szCs w:val="24"/>
          <w:u w:val="single"/>
        </w:rPr>
        <w:t>passivo (ativo) líquido de benefício definido e a taxa de desconto determinada no início do período de relatório anual. No entanto, se a entidade remensurar o passivo (ativo) líquido de benefício definido, de acordo com o item 99, a entidade deve determinar os juros líquidos pelo restante do período de relatório anual após a alteração, redução ou liquidação do plano, utilizando:</w:t>
      </w:r>
    </w:p>
    <w:p w:rsidR="004A0ED3" w:rsidRPr="00A2302E" w:rsidRDefault="003E4337" w:rsidP="004A0ED3">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(a) o passivo (ativo) líquido de benefício definido determinado, de acordo com o item 99(b); e</w:t>
      </w:r>
    </w:p>
    <w:p w:rsidR="004A0ED3" w:rsidRPr="00A2302E" w:rsidRDefault="003E4337" w:rsidP="004A0ED3">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(b) a taxa de desconto utilizada para remensurar o passivo (ativo) líquido de benefício definido, de acordo com o item 99(b).</w:t>
      </w:r>
    </w:p>
    <w:p w:rsidR="004A0ED3" w:rsidRPr="00A2302E" w:rsidRDefault="003E4337" w:rsidP="004A0ED3">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Ao aplicar o item 123A, a entidade também deve levar em consideração quaisquer alterações no passivo (ativo) líquido de benefício definido durante o período resultante de contribuições ou pagamentos de benefícios.</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110868" w:rsidRDefault="003E4337" w:rsidP="004A0ED3">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125.</w:t>
      </w:r>
      <w:r w:rsidRPr="003E4337">
        <w:rPr>
          <w:rFonts w:ascii="Times New Roman" w:hAnsi="Times New Roman" w:cs="Times New Roman"/>
          <w:sz w:val="24"/>
          <w:szCs w:val="24"/>
        </w:rPr>
        <w:tab/>
        <w:t xml:space="preserve">A receita de juros sobre ativos do plano é o componente de retorno sobre os ativos do plano e deve ser determinada, multiplicando-se o valor justo dos ativos do plano pela taxa de desconto especificada no item </w:t>
      </w:r>
      <w:r w:rsidRPr="003E4337">
        <w:rPr>
          <w:rFonts w:ascii="Times New Roman" w:hAnsi="Times New Roman" w:cs="Times New Roman"/>
          <w:sz w:val="24"/>
          <w:szCs w:val="24"/>
          <w:u w:val="single"/>
        </w:rPr>
        <w:t>123A</w:t>
      </w:r>
      <w:r w:rsidRPr="003E4337">
        <w:rPr>
          <w:rFonts w:ascii="Times New Roman" w:hAnsi="Times New Roman" w:cs="Times New Roman"/>
          <w:sz w:val="24"/>
          <w:szCs w:val="24"/>
        </w:rPr>
        <w:t xml:space="preserve">. </w:t>
      </w:r>
      <w:r w:rsidRPr="003E4337">
        <w:rPr>
          <w:rFonts w:ascii="Times New Roman" w:hAnsi="Times New Roman" w:cs="Times New Roman"/>
          <w:sz w:val="24"/>
          <w:szCs w:val="24"/>
          <w:u w:val="single"/>
        </w:rPr>
        <w:t>A entidade deve determinar o valor justo dos ativos do plano no início do período de relatório anual. No entanto, se a entidade remensurar o passivo (ativo) líquido de benefício definido, de acordo com o item 99, a entidade deve determinar a receita de juros pelo restante do período de relatório anual após a alteração, redução ou liquidação do plano, utilizando os ativos do plano utilizados para remensurar o passivo (ativo) líquido de benefício definido, de acordo com o item 99(b). Ao aplicar o item 125, a entidade também deve levar em consideração qualquer alteração nos ativos do plano mantidos durante o período resultante de contribuições ou pagamentos de benefícios.</w:t>
      </w:r>
      <w:r w:rsidRPr="003E4337">
        <w:rPr>
          <w:rFonts w:ascii="Times New Roman" w:hAnsi="Times New Roman" w:cs="Times New Roman"/>
          <w:sz w:val="24"/>
          <w:szCs w:val="24"/>
        </w:rPr>
        <w:t xml:space="preserve"> A diferença entre a receita de juros sobre ativos do plano e o retorno sobre ativos do plano deve ser incluída na remensuração do valor líquido de passivo (ativo) de benefício definido.</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126.</w:t>
      </w:r>
      <w:r w:rsidRPr="00A2302E">
        <w:rPr>
          <w:rFonts w:ascii="Times New Roman" w:hAnsi="Times New Roman" w:cs="Times New Roman"/>
          <w:sz w:val="24"/>
          <w:szCs w:val="24"/>
        </w:rPr>
        <w:tab/>
        <w:t>Os juros sobre o efeito do teto de ativo (</w:t>
      </w:r>
      <w:proofErr w:type="spellStart"/>
      <w:r w:rsidR="003E4337" w:rsidRPr="00A2302E">
        <w:rPr>
          <w:rFonts w:ascii="Times New Roman" w:hAnsi="Times New Roman" w:cs="Times New Roman"/>
          <w:i/>
          <w:sz w:val="24"/>
          <w:szCs w:val="24"/>
        </w:rPr>
        <w:t>asset</w:t>
      </w:r>
      <w:proofErr w:type="spellEnd"/>
      <w:r w:rsidR="003E4337" w:rsidRPr="00A2302E">
        <w:rPr>
          <w:rFonts w:ascii="Times New Roman" w:hAnsi="Times New Roman" w:cs="Times New Roman"/>
          <w:i/>
          <w:sz w:val="24"/>
          <w:szCs w:val="24"/>
        </w:rPr>
        <w:t xml:space="preserve"> </w:t>
      </w:r>
      <w:proofErr w:type="spellStart"/>
      <w:r w:rsidR="003E4337" w:rsidRPr="00A2302E">
        <w:rPr>
          <w:rFonts w:ascii="Times New Roman" w:hAnsi="Times New Roman" w:cs="Times New Roman"/>
          <w:i/>
          <w:sz w:val="24"/>
          <w:szCs w:val="24"/>
        </w:rPr>
        <w:t>ceiling</w:t>
      </w:r>
      <w:proofErr w:type="spellEnd"/>
      <w:r w:rsidRPr="00A2302E">
        <w:rPr>
          <w:rFonts w:ascii="Times New Roman" w:hAnsi="Times New Roman" w:cs="Times New Roman"/>
          <w:sz w:val="24"/>
          <w:szCs w:val="24"/>
        </w:rPr>
        <w:t>) são parte da mudança total no efeito do teto de ativo (</w:t>
      </w:r>
      <w:proofErr w:type="spellStart"/>
      <w:r w:rsidR="003E4337" w:rsidRPr="00A2302E">
        <w:rPr>
          <w:rFonts w:ascii="Times New Roman" w:hAnsi="Times New Roman" w:cs="Times New Roman"/>
          <w:i/>
          <w:sz w:val="24"/>
          <w:szCs w:val="24"/>
        </w:rPr>
        <w:t>asset</w:t>
      </w:r>
      <w:proofErr w:type="spellEnd"/>
      <w:r w:rsidR="003E4337" w:rsidRPr="00A2302E">
        <w:rPr>
          <w:rFonts w:ascii="Times New Roman" w:hAnsi="Times New Roman" w:cs="Times New Roman"/>
          <w:i/>
          <w:sz w:val="24"/>
          <w:szCs w:val="24"/>
        </w:rPr>
        <w:t xml:space="preserve"> </w:t>
      </w:r>
      <w:proofErr w:type="spellStart"/>
      <w:r w:rsidR="003E4337" w:rsidRPr="00A2302E">
        <w:rPr>
          <w:rFonts w:ascii="Times New Roman" w:hAnsi="Times New Roman" w:cs="Times New Roman"/>
          <w:i/>
          <w:sz w:val="24"/>
          <w:szCs w:val="24"/>
        </w:rPr>
        <w:t>ceiling</w:t>
      </w:r>
      <w:proofErr w:type="spellEnd"/>
      <w:r w:rsidRPr="00A2302E">
        <w:rPr>
          <w:rFonts w:ascii="Times New Roman" w:hAnsi="Times New Roman" w:cs="Times New Roman"/>
          <w:sz w:val="24"/>
          <w:szCs w:val="24"/>
        </w:rPr>
        <w:t>) e são determinados</w:t>
      </w:r>
      <w:r w:rsidR="00110868" w:rsidRPr="00A2302E">
        <w:rPr>
          <w:rFonts w:ascii="Times New Roman" w:hAnsi="Times New Roman" w:cs="Times New Roman"/>
          <w:sz w:val="24"/>
          <w:szCs w:val="24"/>
        </w:rPr>
        <w:t>,</w:t>
      </w:r>
      <w:r w:rsidRPr="00A2302E">
        <w:rPr>
          <w:rFonts w:ascii="Times New Roman" w:hAnsi="Times New Roman" w:cs="Times New Roman"/>
          <w:sz w:val="24"/>
          <w:szCs w:val="24"/>
        </w:rPr>
        <w:t xml:space="preserve"> multiplicando-se o efeito do teto de ativo (</w:t>
      </w:r>
      <w:proofErr w:type="spellStart"/>
      <w:r w:rsidR="003E4337" w:rsidRPr="00A2302E">
        <w:rPr>
          <w:rFonts w:ascii="Times New Roman" w:hAnsi="Times New Roman" w:cs="Times New Roman"/>
          <w:i/>
          <w:sz w:val="24"/>
          <w:szCs w:val="24"/>
        </w:rPr>
        <w:t>asset</w:t>
      </w:r>
      <w:proofErr w:type="spellEnd"/>
      <w:r w:rsidR="003E4337" w:rsidRPr="00A2302E">
        <w:rPr>
          <w:rFonts w:ascii="Times New Roman" w:hAnsi="Times New Roman" w:cs="Times New Roman"/>
          <w:i/>
          <w:sz w:val="24"/>
          <w:szCs w:val="24"/>
        </w:rPr>
        <w:t xml:space="preserve"> </w:t>
      </w:r>
      <w:proofErr w:type="spellStart"/>
      <w:r w:rsidR="003E4337" w:rsidRPr="00A2302E">
        <w:rPr>
          <w:rFonts w:ascii="Times New Roman" w:hAnsi="Times New Roman" w:cs="Times New Roman"/>
          <w:i/>
          <w:sz w:val="24"/>
          <w:szCs w:val="24"/>
        </w:rPr>
        <w:t>ceiling</w:t>
      </w:r>
      <w:proofErr w:type="spellEnd"/>
      <w:r w:rsidRPr="00A2302E">
        <w:rPr>
          <w:rFonts w:ascii="Times New Roman" w:hAnsi="Times New Roman" w:cs="Times New Roman"/>
          <w:sz w:val="24"/>
          <w:szCs w:val="24"/>
        </w:rPr>
        <w:t xml:space="preserve">) pela taxa de desconto especificada no item </w:t>
      </w:r>
      <w:r w:rsidR="003E4337" w:rsidRPr="00A2302E">
        <w:rPr>
          <w:rFonts w:ascii="Times New Roman" w:hAnsi="Times New Roman" w:cs="Times New Roman"/>
          <w:sz w:val="24"/>
          <w:szCs w:val="24"/>
          <w:u w:val="single"/>
        </w:rPr>
        <w:t>123A</w:t>
      </w:r>
      <w:r w:rsidRPr="00A2302E">
        <w:rPr>
          <w:rFonts w:ascii="Times New Roman" w:hAnsi="Times New Roman" w:cs="Times New Roman"/>
          <w:sz w:val="24"/>
          <w:szCs w:val="24"/>
        </w:rPr>
        <w:t xml:space="preserve">. </w:t>
      </w:r>
      <w:r w:rsidR="003E4337" w:rsidRPr="00A2302E">
        <w:rPr>
          <w:rFonts w:ascii="Times New Roman" w:hAnsi="Times New Roman" w:cs="Times New Roman"/>
          <w:sz w:val="24"/>
          <w:szCs w:val="24"/>
          <w:u w:val="single"/>
        </w:rPr>
        <w:t xml:space="preserve">A entidade deve determinar o efeito do teto de ativos no início do período de relatório anual. No entanto, se a entidade remensurar o passivo (ativo) líquido de benefício definido, de acordo com o item 99, a entidade deve determinar os juros sobre o efeito do teto do ativo pelo restante do período de relatório anual após a alteração, redução ou liquidação do plano, levando em conta qualquer alteração no efeito do limite de ativos determinado, de acordo com o item 101A. A diferença entre os juros sobre o efeito do teto de ativos </w:t>
      </w:r>
      <w:r w:rsidR="003A600B" w:rsidRPr="00A2302E">
        <w:rPr>
          <w:rFonts w:ascii="Times New Roman" w:hAnsi="Times New Roman" w:cs="Times New Roman"/>
          <w:sz w:val="24"/>
          <w:szCs w:val="24"/>
        </w:rPr>
        <w:lastRenderedPageBreak/>
        <w:t>e a mudança total no</w:t>
      </w:r>
      <w:r w:rsidRPr="00A2302E">
        <w:rPr>
          <w:rFonts w:ascii="Times New Roman" w:hAnsi="Times New Roman" w:cs="Times New Roman"/>
          <w:sz w:val="24"/>
          <w:szCs w:val="24"/>
        </w:rPr>
        <w:t xml:space="preserve"> efeito do teto de ativo (</w:t>
      </w:r>
      <w:proofErr w:type="spellStart"/>
      <w:r w:rsidR="003E4337" w:rsidRPr="00A2302E">
        <w:rPr>
          <w:rFonts w:ascii="Times New Roman" w:hAnsi="Times New Roman" w:cs="Times New Roman"/>
          <w:i/>
          <w:sz w:val="24"/>
          <w:szCs w:val="24"/>
        </w:rPr>
        <w:t>asset</w:t>
      </w:r>
      <w:proofErr w:type="spellEnd"/>
      <w:r w:rsidR="003E4337" w:rsidRPr="00A2302E">
        <w:rPr>
          <w:rFonts w:ascii="Times New Roman" w:hAnsi="Times New Roman" w:cs="Times New Roman"/>
          <w:i/>
          <w:sz w:val="24"/>
          <w:szCs w:val="24"/>
        </w:rPr>
        <w:t xml:space="preserve"> </w:t>
      </w:r>
      <w:proofErr w:type="spellStart"/>
      <w:r w:rsidR="003E4337" w:rsidRPr="00A2302E">
        <w:rPr>
          <w:rFonts w:ascii="Times New Roman" w:hAnsi="Times New Roman" w:cs="Times New Roman"/>
          <w:i/>
          <w:sz w:val="24"/>
          <w:szCs w:val="24"/>
        </w:rPr>
        <w:t>ceiling</w:t>
      </w:r>
      <w:proofErr w:type="spellEnd"/>
      <w:r w:rsidRPr="00A2302E">
        <w:rPr>
          <w:rFonts w:ascii="Times New Roman" w:hAnsi="Times New Roman" w:cs="Times New Roman"/>
          <w:sz w:val="24"/>
          <w:szCs w:val="24"/>
        </w:rPr>
        <w:t>) deve ser incluída na remensuração do valor líquido de passivo (ativo) de benefício definido.</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156.</w:t>
      </w:r>
      <w:r w:rsidRPr="00A2302E">
        <w:rPr>
          <w:rFonts w:ascii="Times New Roman" w:hAnsi="Times New Roman" w:cs="Times New Roman"/>
          <w:sz w:val="24"/>
          <w:szCs w:val="24"/>
        </w:rPr>
        <w:tab/>
        <w:t>Para outros benefícios em longo prazo a empregados, a entidade deve reconhecer o montante líquido dos seguintes valores no resultado, exceto se outro pronunciamento exigir ou permitir a inclusão no custo de ativo:</w:t>
      </w: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(a)</w:t>
      </w:r>
      <w:r w:rsidRPr="00A2302E">
        <w:rPr>
          <w:rFonts w:ascii="Times New Roman" w:hAnsi="Times New Roman" w:cs="Times New Roman"/>
          <w:sz w:val="24"/>
          <w:szCs w:val="24"/>
        </w:rPr>
        <w:tab/>
        <w:t xml:space="preserve">custo do serviço (ver itens 66 a 112 </w:t>
      </w:r>
      <w:r w:rsidR="003E4337" w:rsidRPr="00A2302E">
        <w:rPr>
          <w:rFonts w:ascii="Times New Roman" w:hAnsi="Times New Roman" w:cs="Times New Roman"/>
          <w:sz w:val="24"/>
          <w:szCs w:val="24"/>
          <w:u w:val="single"/>
        </w:rPr>
        <w:t>e 122A</w:t>
      </w:r>
      <w:r w:rsidRPr="00A2302E">
        <w:rPr>
          <w:rFonts w:ascii="Times New Roman" w:hAnsi="Times New Roman" w:cs="Times New Roman"/>
          <w:sz w:val="24"/>
          <w:szCs w:val="24"/>
        </w:rPr>
        <w:t>);</w:t>
      </w:r>
    </w:p>
    <w:p w:rsidR="004A0ED3" w:rsidRPr="00260BC2" w:rsidRDefault="00FA57EE" w:rsidP="004A0ED3">
      <w:pPr>
        <w:spacing w:after="0" w:line="240" w:lineRule="auto"/>
        <w:jc w:val="both"/>
        <w:rPr>
          <w:rFonts w:ascii="Times New Roman" w:hAnsi="Times New Roman" w:cs="Times New Roman"/>
          <w:sz w:val="24"/>
          <w:szCs w:val="24"/>
        </w:rPr>
      </w:pPr>
      <w:r w:rsidRPr="00260BC2">
        <w:rPr>
          <w:rFonts w:ascii="Times New Roman" w:hAnsi="Times New Roman" w:cs="Times New Roman"/>
          <w:sz w:val="24"/>
          <w:szCs w:val="24"/>
        </w:rPr>
        <w:t>(b) (...)</w:t>
      </w:r>
    </w:p>
    <w:p w:rsidR="007F0317" w:rsidRDefault="007F0317" w:rsidP="007F0317">
      <w:pPr>
        <w:spacing w:after="0" w:line="240" w:lineRule="auto"/>
        <w:jc w:val="both"/>
        <w:rPr>
          <w:rFonts w:ascii="Times New Roman" w:hAnsi="Times New Roman" w:cs="Times New Roman"/>
          <w:sz w:val="24"/>
          <w:szCs w:val="24"/>
        </w:rPr>
      </w:pPr>
    </w:p>
    <w:p w:rsidR="00BD3040" w:rsidRPr="00A2302E" w:rsidRDefault="00BD3040" w:rsidP="007F0317">
      <w:pPr>
        <w:spacing w:after="0" w:line="240" w:lineRule="auto"/>
        <w:jc w:val="both"/>
        <w:rPr>
          <w:rFonts w:ascii="Times New Roman" w:hAnsi="Times New Roman" w:cs="Times New Roman"/>
          <w:sz w:val="24"/>
          <w:szCs w:val="24"/>
        </w:rPr>
      </w:pPr>
    </w:p>
    <w:p w:rsidR="007F0317" w:rsidRPr="00A2302E" w:rsidRDefault="004A0ED3" w:rsidP="007F0317">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1</w:t>
      </w:r>
      <w:r w:rsidR="0098198E" w:rsidRPr="00A2302E">
        <w:rPr>
          <w:rFonts w:ascii="Times New Roman" w:hAnsi="Times New Roman" w:cs="Times New Roman"/>
          <w:b/>
          <w:sz w:val="24"/>
          <w:szCs w:val="24"/>
        </w:rPr>
        <w:t>7</w:t>
      </w:r>
      <w:r w:rsidR="007F0317" w:rsidRPr="00A2302E">
        <w:rPr>
          <w:rFonts w:ascii="Times New Roman" w:hAnsi="Times New Roman" w:cs="Times New Roman"/>
          <w:b/>
          <w:sz w:val="24"/>
          <w:szCs w:val="24"/>
        </w:rPr>
        <w:t xml:space="preserve">. </w:t>
      </w:r>
      <w:r w:rsidR="007F0317" w:rsidRPr="00A2302E">
        <w:rPr>
          <w:rFonts w:ascii="Times New Roman" w:hAnsi="Times New Roman" w:cs="Times New Roman"/>
          <w:b/>
          <w:sz w:val="24"/>
          <w:szCs w:val="24"/>
        </w:rPr>
        <w:tab/>
        <w:t>Altera os itens 30, B8D, B12, C4, D1, D7, D8B e D9, inclui os itens D9B a D9E e exclui o item D9A no CPC 37 (R1) – Adoção Inicial das Normas Internacionais de Contabilidade, que passam a vigorar com as seguintes redações:</w:t>
      </w:r>
    </w:p>
    <w:p w:rsidR="007F0317" w:rsidRPr="00A2302E" w:rsidRDefault="007F0317" w:rsidP="007F0317">
      <w:pPr>
        <w:spacing w:after="0" w:line="240" w:lineRule="auto"/>
        <w:jc w:val="both"/>
        <w:rPr>
          <w:rFonts w:ascii="Times New Roman" w:hAnsi="Times New Roman" w:cs="Times New Roman"/>
          <w:sz w:val="24"/>
          <w:szCs w:val="24"/>
        </w:rPr>
      </w:pPr>
    </w:p>
    <w:p w:rsidR="007F0317" w:rsidRPr="00A2302E" w:rsidRDefault="007F0317" w:rsidP="007F031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30. </w:t>
      </w:r>
      <w:r w:rsidRPr="00A2302E">
        <w:rPr>
          <w:rFonts w:ascii="Times New Roman" w:hAnsi="Times New Roman" w:cs="Times New Roman"/>
          <w:sz w:val="24"/>
          <w:szCs w:val="24"/>
        </w:rPr>
        <w:tab/>
        <w:t>Quando a entidade fizer uso, nas suas demonstrações contábeis segundo a prática contábil brasileira, do custo atribuído (</w:t>
      </w:r>
      <w:proofErr w:type="spellStart"/>
      <w:r w:rsidR="003E4337" w:rsidRPr="00A2302E">
        <w:rPr>
          <w:rFonts w:ascii="Times New Roman" w:hAnsi="Times New Roman" w:cs="Times New Roman"/>
          <w:i/>
          <w:sz w:val="24"/>
          <w:szCs w:val="24"/>
        </w:rPr>
        <w:t>deemed</w:t>
      </w:r>
      <w:proofErr w:type="spellEnd"/>
      <w:r w:rsidR="003E4337" w:rsidRPr="00A2302E">
        <w:rPr>
          <w:rFonts w:ascii="Times New Roman" w:hAnsi="Times New Roman" w:cs="Times New Roman"/>
          <w:i/>
          <w:sz w:val="24"/>
          <w:szCs w:val="24"/>
        </w:rPr>
        <w:t xml:space="preserve"> </w:t>
      </w:r>
      <w:proofErr w:type="spellStart"/>
      <w:r w:rsidR="003E4337" w:rsidRPr="00A2302E">
        <w:rPr>
          <w:rFonts w:ascii="Times New Roman" w:hAnsi="Times New Roman" w:cs="Times New Roman"/>
          <w:i/>
          <w:sz w:val="24"/>
          <w:szCs w:val="24"/>
        </w:rPr>
        <w:t>cost</w:t>
      </w:r>
      <w:proofErr w:type="spellEnd"/>
      <w:r w:rsidRPr="00A2302E">
        <w:rPr>
          <w:rFonts w:ascii="Times New Roman" w:hAnsi="Times New Roman" w:cs="Times New Roman"/>
          <w:sz w:val="24"/>
          <w:szCs w:val="24"/>
        </w:rPr>
        <w:t xml:space="preserve">) conforme a Interpretação Técnica ICPC 10 – Interpretação sobre a Aplicação Inicial ao Ativo Imobilizado e à Propriedade para Investimento dos Pronunciamentos Técnicos </w:t>
      </w:r>
      <w:proofErr w:type="spellStart"/>
      <w:r w:rsidRPr="00A2302E">
        <w:rPr>
          <w:rFonts w:ascii="Times New Roman" w:hAnsi="Times New Roman" w:cs="Times New Roman"/>
          <w:sz w:val="24"/>
          <w:szCs w:val="24"/>
        </w:rPr>
        <w:t>CPCs</w:t>
      </w:r>
      <w:proofErr w:type="spellEnd"/>
      <w:r w:rsidRPr="00A2302E">
        <w:rPr>
          <w:rFonts w:ascii="Times New Roman" w:hAnsi="Times New Roman" w:cs="Times New Roman"/>
          <w:sz w:val="24"/>
          <w:szCs w:val="24"/>
        </w:rPr>
        <w:t xml:space="preserve"> 27, 28, 37 e 43, deve utilizar tais valores em seu balanço patrimonial de abertura em </w:t>
      </w:r>
      <w:r w:rsidR="009E5B92">
        <w:rPr>
          <w:rFonts w:ascii="Times New Roman" w:hAnsi="Times New Roman" w:cs="Times New Roman"/>
          <w:sz w:val="24"/>
          <w:szCs w:val="24"/>
        </w:rPr>
        <w:t>IFRS</w:t>
      </w:r>
      <w:r w:rsidRPr="00A2302E">
        <w:rPr>
          <w:rFonts w:ascii="Times New Roman" w:hAnsi="Times New Roman" w:cs="Times New Roman"/>
          <w:sz w:val="24"/>
          <w:szCs w:val="24"/>
        </w:rPr>
        <w:t xml:space="preserve"> para ativo imobilizado, para propriedade para investimento ou </w:t>
      </w:r>
      <w:r w:rsidR="003E4337" w:rsidRPr="00A2302E">
        <w:rPr>
          <w:rFonts w:ascii="Times New Roman" w:hAnsi="Times New Roman" w:cs="Times New Roman"/>
          <w:sz w:val="24"/>
          <w:szCs w:val="24"/>
          <w:u w:val="single"/>
        </w:rPr>
        <w:t>para ativo de direito de uso</w:t>
      </w:r>
      <w:r w:rsidRPr="00A2302E">
        <w:rPr>
          <w:rFonts w:ascii="Times New Roman" w:hAnsi="Times New Roman" w:cs="Times New Roman"/>
          <w:sz w:val="24"/>
          <w:szCs w:val="24"/>
        </w:rPr>
        <w:t xml:space="preserve"> (ver itens D5 e D7). Devem ser evidenciadas, para cada linha no balanço patrimonial de abertura segundo este pronunciamento:</w:t>
      </w:r>
    </w:p>
    <w:p w:rsidR="007F0317" w:rsidRPr="002744F8" w:rsidRDefault="007F0317" w:rsidP="007F0317">
      <w:pPr>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t>(a) (...)</w:t>
      </w:r>
    </w:p>
    <w:p w:rsidR="007F0317" w:rsidRPr="002744F8" w:rsidRDefault="007F0317" w:rsidP="007F0317">
      <w:pPr>
        <w:spacing w:after="0" w:line="240" w:lineRule="auto"/>
        <w:jc w:val="both"/>
        <w:rPr>
          <w:rFonts w:ascii="Times New Roman" w:hAnsi="Times New Roman" w:cs="Times New Roman"/>
          <w:sz w:val="24"/>
          <w:szCs w:val="24"/>
        </w:rPr>
      </w:pPr>
    </w:p>
    <w:p w:rsidR="007F0317" w:rsidRPr="00A2302E" w:rsidRDefault="007F0317" w:rsidP="007F031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B8D. A entidade deve aplicar os requisitos referentes à redução ao valor recuperável na Seção 5.5 da IFRS 9 (CPC 48), retrospectivamente, sujeita aos itens</w:t>
      </w:r>
      <w:r w:rsidR="004D5B35" w:rsidRPr="00A2302E">
        <w:rPr>
          <w:rFonts w:ascii="Times New Roman" w:hAnsi="Times New Roman" w:cs="Times New Roman"/>
          <w:sz w:val="24"/>
          <w:szCs w:val="24"/>
        </w:rPr>
        <w:t xml:space="preserve"> </w:t>
      </w:r>
      <w:r w:rsidR="003E4337" w:rsidRPr="00A2302E">
        <w:rPr>
          <w:rFonts w:ascii="Times New Roman" w:hAnsi="Times New Roman" w:cs="Times New Roman"/>
          <w:sz w:val="24"/>
          <w:szCs w:val="24"/>
          <w:u w:val="single"/>
        </w:rPr>
        <w:t>B8E a B8G</w:t>
      </w:r>
      <w:r w:rsidRPr="00A2302E">
        <w:rPr>
          <w:rFonts w:ascii="Times New Roman" w:hAnsi="Times New Roman" w:cs="Times New Roman"/>
          <w:sz w:val="24"/>
          <w:szCs w:val="24"/>
        </w:rPr>
        <w:t>.</w:t>
      </w:r>
    </w:p>
    <w:p w:rsidR="007F0317" w:rsidRPr="00A2302E" w:rsidRDefault="007F0317" w:rsidP="007F0317">
      <w:pPr>
        <w:spacing w:after="0" w:line="240" w:lineRule="auto"/>
        <w:jc w:val="both"/>
        <w:rPr>
          <w:rFonts w:ascii="Times New Roman" w:hAnsi="Times New Roman" w:cs="Times New Roman"/>
          <w:sz w:val="24"/>
          <w:szCs w:val="24"/>
        </w:rPr>
      </w:pPr>
    </w:p>
    <w:p w:rsidR="007F0317" w:rsidRPr="00A2302E" w:rsidRDefault="007F0317" w:rsidP="007F031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B12.</w:t>
      </w:r>
      <w:r w:rsidRPr="00A2302E">
        <w:rPr>
          <w:rFonts w:ascii="Times New Roman" w:hAnsi="Times New Roman" w:cs="Times New Roman"/>
          <w:sz w:val="24"/>
          <w:szCs w:val="24"/>
        </w:rPr>
        <w:tab/>
        <w:t xml:space="preserve">Os requisitos e orientações dos itens B10 e B11 não impedem a entidade de utilizar as exceções descritas nos itens D19 a </w:t>
      </w:r>
      <w:r w:rsidR="003E4337" w:rsidRPr="00A2302E">
        <w:rPr>
          <w:rFonts w:ascii="Times New Roman" w:hAnsi="Times New Roman" w:cs="Times New Roman"/>
          <w:sz w:val="24"/>
          <w:szCs w:val="24"/>
          <w:u w:val="single"/>
        </w:rPr>
        <w:t>D19C</w:t>
      </w:r>
      <w:r w:rsidRPr="00A2302E">
        <w:rPr>
          <w:rFonts w:ascii="Times New Roman" w:hAnsi="Times New Roman" w:cs="Times New Roman"/>
          <w:sz w:val="24"/>
          <w:szCs w:val="24"/>
        </w:rPr>
        <w:t xml:space="preserve"> relativas a instrumentos financeiros anteriormente reconhecidos ao valor justo por meio do resultado.</w:t>
      </w:r>
    </w:p>
    <w:p w:rsidR="004D5B35" w:rsidRPr="00A2302E" w:rsidRDefault="004D5B35" w:rsidP="007F0317">
      <w:pPr>
        <w:spacing w:after="0" w:line="240" w:lineRule="auto"/>
        <w:jc w:val="both"/>
        <w:rPr>
          <w:rFonts w:ascii="Times New Roman" w:hAnsi="Times New Roman" w:cs="Times New Roman"/>
          <w:sz w:val="24"/>
          <w:szCs w:val="24"/>
        </w:rPr>
      </w:pPr>
    </w:p>
    <w:p w:rsidR="007F0317" w:rsidRPr="00A2302E" w:rsidRDefault="007F0317" w:rsidP="007F031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C4. </w:t>
      </w:r>
      <w:r w:rsidRPr="00A2302E">
        <w:rPr>
          <w:rFonts w:ascii="Times New Roman" w:hAnsi="Times New Roman" w:cs="Times New Roman"/>
          <w:sz w:val="24"/>
          <w:szCs w:val="24"/>
        </w:rPr>
        <w:tab/>
        <w:t>Quando a adotante pela primeira vez não aplicar a IFRS 3 (CPC 15) retrospectivamente às combinações de negócios passadas, isso tem os seguintes efeitos para tais combinações de negócios:</w:t>
      </w:r>
    </w:p>
    <w:p w:rsidR="007F0317" w:rsidRPr="002744F8" w:rsidRDefault="007F0317" w:rsidP="007F0317">
      <w:pPr>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t>(a) (...)</w:t>
      </w:r>
    </w:p>
    <w:p w:rsidR="007F0317" w:rsidRPr="00A2302E" w:rsidRDefault="007F0317" w:rsidP="007F031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(f</w:t>
      </w:r>
      <w:proofErr w:type="gramStart"/>
      <w:r w:rsidRPr="00A2302E">
        <w:rPr>
          <w:rFonts w:ascii="Times New Roman" w:hAnsi="Times New Roman" w:cs="Times New Roman"/>
          <w:sz w:val="24"/>
          <w:szCs w:val="24"/>
        </w:rPr>
        <w:t>)</w:t>
      </w:r>
      <w:proofErr w:type="gramEnd"/>
      <w:r w:rsidRPr="00A2302E">
        <w:rPr>
          <w:rFonts w:ascii="Times New Roman" w:hAnsi="Times New Roman" w:cs="Times New Roman"/>
          <w:sz w:val="24"/>
          <w:szCs w:val="24"/>
        </w:rPr>
        <w:tab/>
        <w:t xml:space="preserve">Se o ativo adquirido ou passivo assumido em combinação passada não tiver sido reconhecido pelos critérios contábeis anteriores, eles não terão o custo atribuído igual a zero no balanço patrimonial de abertura em </w:t>
      </w:r>
      <w:r w:rsidR="009E5B92">
        <w:rPr>
          <w:rFonts w:ascii="Times New Roman" w:hAnsi="Times New Roman" w:cs="Times New Roman"/>
          <w:sz w:val="24"/>
          <w:szCs w:val="24"/>
        </w:rPr>
        <w:t>IFRS</w:t>
      </w:r>
      <w:r w:rsidRPr="00A2302E">
        <w:rPr>
          <w:rFonts w:ascii="Times New Roman" w:hAnsi="Times New Roman" w:cs="Times New Roman"/>
          <w:sz w:val="24"/>
          <w:szCs w:val="24"/>
        </w:rPr>
        <w:t xml:space="preserve">. Em vez disso, a adquirente deve reconhecer e mensurar tais itens em seu balanço patrimonial consolidado nas mesmas bases que as IFRS exigiriam para o balanço patrimonial da adquirida. Para ilustrar: se a adquirente não tiver capitalizado, em conformidade com os critérios contábeis anteriores, os arrendamentos mercantis adquiridos em combinação de negócios passada </w:t>
      </w:r>
      <w:r w:rsidR="003E4337" w:rsidRPr="00A2302E">
        <w:rPr>
          <w:rFonts w:ascii="Times New Roman" w:hAnsi="Times New Roman" w:cs="Times New Roman"/>
          <w:sz w:val="24"/>
          <w:szCs w:val="24"/>
          <w:u w:val="single"/>
        </w:rPr>
        <w:t>em que a adquirida era arrendatária</w:t>
      </w:r>
      <w:r w:rsidRPr="00A2302E">
        <w:rPr>
          <w:rFonts w:ascii="Times New Roman" w:hAnsi="Times New Roman" w:cs="Times New Roman"/>
          <w:sz w:val="24"/>
          <w:szCs w:val="24"/>
        </w:rPr>
        <w:t xml:space="preserve">, a adquirente deve capitalizar esses arrendamentos em suas demonstrações contábeis consolidadas, tal como a </w:t>
      </w:r>
      <w:r w:rsidR="003E4337" w:rsidRPr="00A2302E">
        <w:rPr>
          <w:rFonts w:ascii="Times New Roman" w:hAnsi="Times New Roman" w:cs="Times New Roman"/>
          <w:sz w:val="24"/>
          <w:szCs w:val="24"/>
          <w:u w:val="single"/>
        </w:rPr>
        <w:t xml:space="preserve">IFRS 16 – </w:t>
      </w:r>
      <w:proofErr w:type="spellStart"/>
      <w:r w:rsidR="003E4337" w:rsidRPr="00A2302E">
        <w:rPr>
          <w:rFonts w:ascii="Times New Roman" w:hAnsi="Times New Roman" w:cs="Times New Roman"/>
          <w:i/>
          <w:sz w:val="24"/>
          <w:szCs w:val="24"/>
          <w:u w:val="single"/>
        </w:rPr>
        <w:t>Leases</w:t>
      </w:r>
      <w:proofErr w:type="spellEnd"/>
      <w:r w:rsidRPr="00A2302E">
        <w:rPr>
          <w:rFonts w:ascii="Times New Roman" w:hAnsi="Times New Roman" w:cs="Times New Roman"/>
          <w:sz w:val="24"/>
          <w:szCs w:val="24"/>
        </w:rPr>
        <w:t xml:space="preserve"> (CPC 06 – Operações de Arrendamento Mercantil) exigiria que a adquirida fizesse em seu balanço patrimonial em IFRS. Da mesma forma, se a adquirente não tiver reconhecido o passivo contingente pelos critérios contábeis anteriores, o qual ainda existe na data de transição para as IFRS, a adquirente deve reconhecer tal passivo contingente a menos que a IAS 37 – </w:t>
      </w:r>
      <w:proofErr w:type="spellStart"/>
      <w:r w:rsidR="003E4337" w:rsidRPr="00A2302E">
        <w:rPr>
          <w:rFonts w:ascii="Times New Roman" w:hAnsi="Times New Roman" w:cs="Times New Roman"/>
          <w:i/>
          <w:sz w:val="24"/>
          <w:szCs w:val="24"/>
        </w:rPr>
        <w:t>Provisions</w:t>
      </w:r>
      <w:proofErr w:type="spellEnd"/>
      <w:r w:rsidR="003E4337" w:rsidRPr="00A2302E">
        <w:rPr>
          <w:rFonts w:ascii="Times New Roman" w:hAnsi="Times New Roman" w:cs="Times New Roman"/>
          <w:i/>
          <w:sz w:val="24"/>
          <w:szCs w:val="24"/>
        </w:rPr>
        <w:t xml:space="preserve">, </w:t>
      </w:r>
      <w:proofErr w:type="spellStart"/>
      <w:r w:rsidR="003E4337" w:rsidRPr="00A2302E">
        <w:rPr>
          <w:rFonts w:ascii="Times New Roman" w:hAnsi="Times New Roman" w:cs="Times New Roman"/>
          <w:i/>
          <w:sz w:val="24"/>
          <w:szCs w:val="24"/>
        </w:rPr>
        <w:t>Contingent</w:t>
      </w:r>
      <w:proofErr w:type="spellEnd"/>
      <w:r w:rsidR="003E4337" w:rsidRPr="00A2302E">
        <w:rPr>
          <w:rFonts w:ascii="Times New Roman" w:hAnsi="Times New Roman" w:cs="Times New Roman"/>
          <w:i/>
          <w:sz w:val="24"/>
          <w:szCs w:val="24"/>
        </w:rPr>
        <w:t xml:space="preserve"> </w:t>
      </w:r>
      <w:proofErr w:type="spellStart"/>
      <w:r w:rsidR="003E4337" w:rsidRPr="00A2302E">
        <w:rPr>
          <w:rFonts w:ascii="Times New Roman" w:hAnsi="Times New Roman" w:cs="Times New Roman"/>
          <w:i/>
          <w:sz w:val="24"/>
          <w:szCs w:val="24"/>
        </w:rPr>
        <w:t>Liabilities</w:t>
      </w:r>
      <w:proofErr w:type="spellEnd"/>
      <w:r w:rsidR="003E4337" w:rsidRPr="00A2302E">
        <w:rPr>
          <w:rFonts w:ascii="Times New Roman" w:hAnsi="Times New Roman" w:cs="Times New Roman"/>
          <w:i/>
          <w:sz w:val="24"/>
          <w:szCs w:val="24"/>
        </w:rPr>
        <w:t xml:space="preserve"> </w:t>
      </w:r>
      <w:proofErr w:type="spellStart"/>
      <w:r w:rsidR="003E4337" w:rsidRPr="00A2302E">
        <w:rPr>
          <w:rFonts w:ascii="Times New Roman" w:hAnsi="Times New Roman" w:cs="Times New Roman"/>
          <w:i/>
          <w:sz w:val="24"/>
          <w:szCs w:val="24"/>
        </w:rPr>
        <w:t>and</w:t>
      </w:r>
      <w:proofErr w:type="spellEnd"/>
      <w:r w:rsidR="003E4337" w:rsidRPr="00A2302E">
        <w:rPr>
          <w:rFonts w:ascii="Times New Roman" w:hAnsi="Times New Roman" w:cs="Times New Roman"/>
          <w:i/>
          <w:sz w:val="24"/>
          <w:szCs w:val="24"/>
        </w:rPr>
        <w:t xml:space="preserve"> </w:t>
      </w:r>
      <w:proofErr w:type="spellStart"/>
      <w:r w:rsidR="003E4337" w:rsidRPr="00A2302E">
        <w:rPr>
          <w:rFonts w:ascii="Times New Roman" w:hAnsi="Times New Roman" w:cs="Times New Roman"/>
          <w:i/>
          <w:sz w:val="24"/>
          <w:szCs w:val="24"/>
        </w:rPr>
        <w:t>Contingent</w:t>
      </w:r>
      <w:proofErr w:type="spellEnd"/>
      <w:r w:rsidR="003E4337" w:rsidRPr="00A2302E">
        <w:rPr>
          <w:rFonts w:ascii="Times New Roman" w:hAnsi="Times New Roman" w:cs="Times New Roman"/>
          <w:i/>
          <w:sz w:val="24"/>
          <w:szCs w:val="24"/>
        </w:rPr>
        <w:t xml:space="preserve"> </w:t>
      </w:r>
      <w:proofErr w:type="spellStart"/>
      <w:r w:rsidR="003E4337" w:rsidRPr="00A2302E">
        <w:rPr>
          <w:rFonts w:ascii="Times New Roman" w:hAnsi="Times New Roman" w:cs="Times New Roman"/>
          <w:i/>
          <w:sz w:val="24"/>
          <w:szCs w:val="24"/>
        </w:rPr>
        <w:t>Assets</w:t>
      </w:r>
      <w:proofErr w:type="spellEnd"/>
      <w:r w:rsidRPr="00A2302E">
        <w:rPr>
          <w:rFonts w:ascii="Times New Roman" w:hAnsi="Times New Roman" w:cs="Times New Roman"/>
          <w:sz w:val="24"/>
          <w:szCs w:val="24"/>
        </w:rPr>
        <w:t xml:space="preserve"> (CPC 25 – Provisões, Passivos Contingentes e Ativos Contingentes) não permita esse reconhecimento nas demonstrações contábeis da adquirida. Inversamente, se o ativo ou </w:t>
      </w:r>
      <w:r w:rsidR="002C31AB">
        <w:rPr>
          <w:rFonts w:ascii="Times New Roman" w:hAnsi="Times New Roman" w:cs="Times New Roman"/>
          <w:sz w:val="24"/>
          <w:szCs w:val="24"/>
        </w:rPr>
        <w:t xml:space="preserve">o </w:t>
      </w:r>
      <w:r w:rsidRPr="00A2302E">
        <w:rPr>
          <w:rFonts w:ascii="Times New Roman" w:hAnsi="Times New Roman" w:cs="Times New Roman"/>
          <w:sz w:val="24"/>
          <w:szCs w:val="24"/>
        </w:rPr>
        <w:t>passivo foi incluído no valor do ágio por expectativa de rentabilidade futura (</w:t>
      </w:r>
      <w:proofErr w:type="spellStart"/>
      <w:r w:rsidR="003E4337" w:rsidRPr="00A2302E">
        <w:rPr>
          <w:rFonts w:ascii="Times New Roman" w:hAnsi="Times New Roman" w:cs="Times New Roman"/>
          <w:i/>
          <w:sz w:val="24"/>
          <w:szCs w:val="24"/>
        </w:rPr>
        <w:t>goodwill</w:t>
      </w:r>
      <w:proofErr w:type="spellEnd"/>
      <w:r w:rsidRPr="00A2302E">
        <w:rPr>
          <w:rFonts w:ascii="Times New Roman" w:hAnsi="Times New Roman" w:cs="Times New Roman"/>
          <w:sz w:val="24"/>
          <w:szCs w:val="24"/>
        </w:rPr>
        <w:t xml:space="preserve">) pelos critérios contábeis anteriores, mas que deveria ter sido reconhecido separadamente de acordo com a IFRS </w:t>
      </w:r>
      <w:proofErr w:type="gramStart"/>
      <w:r w:rsidRPr="00A2302E">
        <w:rPr>
          <w:rFonts w:ascii="Times New Roman" w:hAnsi="Times New Roman" w:cs="Times New Roman"/>
          <w:sz w:val="24"/>
          <w:szCs w:val="24"/>
        </w:rPr>
        <w:t>3</w:t>
      </w:r>
      <w:proofErr w:type="gramEnd"/>
      <w:r w:rsidRPr="00A2302E">
        <w:rPr>
          <w:rFonts w:ascii="Times New Roman" w:hAnsi="Times New Roman" w:cs="Times New Roman"/>
          <w:sz w:val="24"/>
          <w:szCs w:val="24"/>
        </w:rPr>
        <w:t xml:space="preserve"> (CPC 15), tal ativo ou passivo deve permanecer incluído no ágio por expectativa de rentabilidade futura (</w:t>
      </w:r>
      <w:proofErr w:type="spellStart"/>
      <w:r w:rsidR="003E4337" w:rsidRPr="00A2302E">
        <w:rPr>
          <w:rFonts w:ascii="Times New Roman" w:hAnsi="Times New Roman" w:cs="Times New Roman"/>
          <w:i/>
          <w:sz w:val="24"/>
          <w:szCs w:val="24"/>
        </w:rPr>
        <w:t>goodwill</w:t>
      </w:r>
      <w:proofErr w:type="spellEnd"/>
      <w:r w:rsidRPr="00A2302E">
        <w:rPr>
          <w:rFonts w:ascii="Times New Roman" w:hAnsi="Times New Roman" w:cs="Times New Roman"/>
          <w:sz w:val="24"/>
          <w:szCs w:val="24"/>
        </w:rPr>
        <w:t>) a menos que as IFRS exijam que ele seja reconhecido nas demonstrações contábeis da adquirida.</w:t>
      </w:r>
    </w:p>
    <w:p w:rsidR="007F0317" w:rsidRPr="002744F8" w:rsidRDefault="007F0317" w:rsidP="007F0317">
      <w:pPr>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lastRenderedPageBreak/>
        <w:t>(g) (...)</w:t>
      </w:r>
    </w:p>
    <w:p w:rsidR="007F0317" w:rsidRPr="002744F8" w:rsidRDefault="007F0317" w:rsidP="007F0317">
      <w:pPr>
        <w:spacing w:after="0" w:line="240" w:lineRule="auto"/>
        <w:jc w:val="both"/>
        <w:rPr>
          <w:rFonts w:ascii="Times New Roman" w:hAnsi="Times New Roman" w:cs="Times New Roman"/>
          <w:sz w:val="24"/>
          <w:szCs w:val="24"/>
        </w:rPr>
      </w:pPr>
    </w:p>
    <w:p w:rsidR="007F0317" w:rsidRPr="00A2302E" w:rsidRDefault="007F0317" w:rsidP="007F031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D1. </w:t>
      </w:r>
      <w:r w:rsidRPr="00A2302E">
        <w:rPr>
          <w:rFonts w:ascii="Times New Roman" w:hAnsi="Times New Roman" w:cs="Times New Roman"/>
          <w:sz w:val="24"/>
          <w:szCs w:val="24"/>
        </w:rPr>
        <w:tab/>
        <w:t>A entidade pode optar por uma ou mais das seguintes isenções:</w:t>
      </w:r>
    </w:p>
    <w:p w:rsidR="007F0317" w:rsidRPr="002744F8" w:rsidRDefault="007F0317" w:rsidP="007F0317">
      <w:pPr>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t>(a) (...)</w:t>
      </w:r>
    </w:p>
    <w:p w:rsidR="007F0317" w:rsidRPr="00A2302E" w:rsidRDefault="007F0317" w:rsidP="007F031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(d)</w:t>
      </w:r>
      <w:r w:rsidRPr="00A2302E">
        <w:rPr>
          <w:rFonts w:ascii="Times New Roman" w:hAnsi="Times New Roman" w:cs="Times New Roman"/>
          <w:sz w:val="24"/>
          <w:szCs w:val="24"/>
        </w:rPr>
        <w:tab/>
        <w:t xml:space="preserve">arrendamento mercantil (itens D9 e </w:t>
      </w:r>
      <w:r w:rsidR="003E4337" w:rsidRPr="00A2302E">
        <w:rPr>
          <w:rFonts w:ascii="Times New Roman" w:hAnsi="Times New Roman" w:cs="Times New Roman"/>
          <w:sz w:val="24"/>
          <w:szCs w:val="24"/>
          <w:u w:val="single"/>
        </w:rPr>
        <w:t>D9B a D9E</w:t>
      </w:r>
      <w:r w:rsidRPr="00A2302E">
        <w:rPr>
          <w:rFonts w:ascii="Times New Roman" w:hAnsi="Times New Roman" w:cs="Times New Roman"/>
          <w:sz w:val="24"/>
          <w:szCs w:val="24"/>
        </w:rPr>
        <w:t>);</w:t>
      </w:r>
    </w:p>
    <w:p w:rsidR="007F0317" w:rsidRPr="002744F8" w:rsidRDefault="007F0317" w:rsidP="007F0317">
      <w:pPr>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t>(e) (...)</w:t>
      </w:r>
    </w:p>
    <w:p w:rsidR="007F0317" w:rsidRPr="002744F8" w:rsidRDefault="007F0317" w:rsidP="007F0317">
      <w:pPr>
        <w:spacing w:after="0" w:line="240" w:lineRule="auto"/>
        <w:jc w:val="both"/>
        <w:rPr>
          <w:rFonts w:ascii="Times New Roman" w:hAnsi="Times New Roman" w:cs="Times New Roman"/>
          <w:sz w:val="24"/>
          <w:szCs w:val="24"/>
        </w:rPr>
      </w:pPr>
    </w:p>
    <w:p w:rsidR="007F0317" w:rsidRPr="00A2302E" w:rsidRDefault="007F0317" w:rsidP="007F031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D7. </w:t>
      </w:r>
      <w:r w:rsidRPr="00A2302E">
        <w:rPr>
          <w:rFonts w:ascii="Times New Roman" w:hAnsi="Times New Roman" w:cs="Times New Roman"/>
          <w:sz w:val="24"/>
          <w:szCs w:val="24"/>
        </w:rPr>
        <w:tab/>
        <w:t>A opção prevista no item D5 também está disponível para:</w:t>
      </w:r>
    </w:p>
    <w:p w:rsidR="007F0317" w:rsidRPr="00A2302E" w:rsidRDefault="007F0317" w:rsidP="007F031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(a)</w:t>
      </w:r>
      <w:r w:rsidRPr="00A2302E">
        <w:rPr>
          <w:rFonts w:ascii="Times New Roman" w:hAnsi="Times New Roman" w:cs="Times New Roman"/>
          <w:sz w:val="24"/>
          <w:szCs w:val="24"/>
        </w:rPr>
        <w:tab/>
        <w:t xml:space="preserve">propriedades para investimento, se a entidade optar pelo uso do método de custo previsto na IAS 40 – </w:t>
      </w:r>
      <w:proofErr w:type="spellStart"/>
      <w:r w:rsidR="003E4337" w:rsidRPr="00A2302E">
        <w:rPr>
          <w:rFonts w:ascii="Times New Roman" w:hAnsi="Times New Roman" w:cs="Times New Roman"/>
          <w:i/>
          <w:sz w:val="24"/>
          <w:szCs w:val="24"/>
        </w:rPr>
        <w:t>Investment</w:t>
      </w:r>
      <w:proofErr w:type="spellEnd"/>
      <w:r w:rsidR="003E4337" w:rsidRPr="00A2302E">
        <w:rPr>
          <w:rFonts w:ascii="Times New Roman" w:hAnsi="Times New Roman" w:cs="Times New Roman"/>
          <w:i/>
          <w:sz w:val="24"/>
          <w:szCs w:val="24"/>
        </w:rPr>
        <w:t xml:space="preserve"> </w:t>
      </w:r>
      <w:proofErr w:type="spellStart"/>
      <w:r w:rsidR="003E4337" w:rsidRPr="00A2302E">
        <w:rPr>
          <w:rFonts w:ascii="Times New Roman" w:hAnsi="Times New Roman" w:cs="Times New Roman"/>
          <w:i/>
          <w:sz w:val="24"/>
          <w:szCs w:val="24"/>
        </w:rPr>
        <w:t>Property</w:t>
      </w:r>
      <w:proofErr w:type="spellEnd"/>
      <w:r w:rsidRPr="00A2302E">
        <w:rPr>
          <w:rFonts w:ascii="Times New Roman" w:hAnsi="Times New Roman" w:cs="Times New Roman"/>
          <w:sz w:val="24"/>
          <w:szCs w:val="24"/>
        </w:rPr>
        <w:t xml:space="preserve"> (CPC 28 – Propriedade para Investimento);</w:t>
      </w:r>
    </w:p>
    <w:p w:rsidR="007F0317" w:rsidRPr="00A2302E" w:rsidRDefault="003E4337" w:rsidP="007F031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u w:val="single"/>
        </w:rPr>
        <w:t>(aa) ativo de direito de uso (CPC 06); e</w:t>
      </w:r>
    </w:p>
    <w:p w:rsidR="007F0317" w:rsidRPr="002744F8" w:rsidRDefault="007F0317" w:rsidP="007F0317">
      <w:pPr>
        <w:spacing w:after="0" w:line="240" w:lineRule="auto"/>
        <w:jc w:val="both"/>
        <w:rPr>
          <w:rFonts w:ascii="Times New Roman" w:hAnsi="Times New Roman" w:cs="Times New Roman"/>
          <w:sz w:val="24"/>
          <w:szCs w:val="24"/>
        </w:rPr>
      </w:pPr>
      <w:r w:rsidRPr="002744F8">
        <w:rPr>
          <w:rFonts w:ascii="Times New Roman" w:hAnsi="Times New Roman" w:cs="Times New Roman"/>
          <w:sz w:val="24"/>
          <w:szCs w:val="24"/>
        </w:rPr>
        <w:t>(b) (...)</w:t>
      </w:r>
    </w:p>
    <w:p w:rsidR="007F0317" w:rsidRPr="002744F8" w:rsidRDefault="007F0317" w:rsidP="007F0317">
      <w:pPr>
        <w:spacing w:after="0" w:line="240" w:lineRule="auto"/>
        <w:jc w:val="both"/>
        <w:rPr>
          <w:rFonts w:ascii="Times New Roman" w:hAnsi="Times New Roman" w:cs="Times New Roman"/>
          <w:sz w:val="24"/>
          <w:szCs w:val="24"/>
        </w:rPr>
      </w:pPr>
    </w:p>
    <w:p w:rsidR="007F0317" w:rsidRPr="00A2302E" w:rsidRDefault="007F0317" w:rsidP="007F031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D8B.</w:t>
      </w:r>
      <w:r w:rsidRPr="00A2302E">
        <w:rPr>
          <w:rFonts w:ascii="Times New Roman" w:hAnsi="Times New Roman" w:cs="Times New Roman"/>
          <w:sz w:val="24"/>
          <w:szCs w:val="24"/>
        </w:rPr>
        <w:tab/>
        <w:t xml:space="preserve">Algumas entidades detêm itens do ativo imobilizado, </w:t>
      </w:r>
      <w:r w:rsidR="003E4337" w:rsidRPr="003E4337">
        <w:rPr>
          <w:rFonts w:ascii="Times New Roman" w:hAnsi="Times New Roman" w:cs="Times New Roman"/>
          <w:sz w:val="24"/>
          <w:szCs w:val="24"/>
          <w:u w:val="single"/>
        </w:rPr>
        <w:t>ativo de direito de uso</w:t>
      </w:r>
      <w:r w:rsidRPr="00A2302E">
        <w:rPr>
          <w:rFonts w:ascii="Times New Roman" w:hAnsi="Times New Roman" w:cs="Times New Roman"/>
          <w:sz w:val="24"/>
          <w:szCs w:val="24"/>
        </w:rPr>
        <w:t xml:space="preserve"> ou intangível que são usados, ou eram usados anteriormente, em operações sujeitas a tarifas reguladas. O valor contábil desses itens pode incluir valores que eram determinados de acordo com as práticas </w:t>
      </w:r>
      <w:proofErr w:type="gramStart"/>
      <w:r w:rsidRPr="00A2302E">
        <w:rPr>
          <w:rFonts w:ascii="Times New Roman" w:hAnsi="Times New Roman" w:cs="Times New Roman"/>
          <w:sz w:val="24"/>
          <w:szCs w:val="24"/>
        </w:rPr>
        <w:t>contábeis</w:t>
      </w:r>
      <w:proofErr w:type="gramEnd"/>
      <w:r w:rsidRPr="00A2302E">
        <w:rPr>
          <w:rFonts w:ascii="Times New Roman" w:hAnsi="Times New Roman" w:cs="Times New Roman"/>
          <w:sz w:val="24"/>
          <w:szCs w:val="24"/>
        </w:rPr>
        <w:t xml:space="preserve"> anteriores, </w:t>
      </w:r>
      <w:r w:rsidR="003E4337" w:rsidRPr="003E4337">
        <w:rPr>
          <w:rFonts w:ascii="Times New Roman" w:hAnsi="Times New Roman" w:cs="Times New Roman"/>
          <w:sz w:val="24"/>
          <w:szCs w:val="24"/>
        </w:rPr>
        <w:t>mas</w:t>
      </w:r>
      <w:r w:rsidRPr="00A2302E">
        <w:rPr>
          <w:rFonts w:ascii="Times New Roman" w:hAnsi="Times New Roman" w:cs="Times New Roman"/>
          <w:sz w:val="24"/>
          <w:szCs w:val="24"/>
        </w:rPr>
        <w:t xml:space="preserve"> não se qualificam para capitalização de acordo com as </w:t>
      </w:r>
      <w:r w:rsidR="009E5B92">
        <w:rPr>
          <w:rFonts w:ascii="Times New Roman" w:hAnsi="Times New Roman" w:cs="Times New Roman"/>
          <w:sz w:val="24"/>
          <w:szCs w:val="24"/>
        </w:rPr>
        <w:t>IFRS</w:t>
      </w:r>
      <w:r w:rsidRPr="00A2302E">
        <w:rPr>
          <w:rFonts w:ascii="Times New Roman" w:hAnsi="Times New Roman" w:cs="Times New Roman"/>
          <w:sz w:val="24"/>
          <w:szCs w:val="24"/>
        </w:rPr>
        <w:t xml:space="preserve">. Se for esse o caso, a adotante pela primeira vez pode escolher utilizar o valor contábil de acordo com as práticas contábeis anteriores desse item na data de transição para as </w:t>
      </w:r>
      <w:r w:rsidR="009E5B92">
        <w:rPr>
          <w:rFonts w:ascii="Times New Roman" w:hAnsi="Times New Roman" w:cs="Times New Roman"/>
          <w:sz w:val="24"/>
          <w:szCs w:val="24"/>
        </w:rPr>
        <w:t>IFRS</w:t>
      </w:r>
      <w:r w:rsidRPr="00A2302E">
        <w:rPr>
          <w:rFonts w:ascii="Times New Roman" w:hAnsi="Times New Roman" w:cs="Times New Roman"/>
          <w:sz w:val="24"/>
          <w:szCs w:val="24"/>
        </w:rPr>
        <w:t xml:space="preserve"> como custo atribuído. Se a entidade aplicar essa isenção a</w:t>
      </w:r>
      <w:r w:rsidR="00AF4018" w:rsidRPr="00A2302E">
        <w:rPr>
          <w:rFonts w:ascii="Times New Roman" w:hAnsi="Times New Roman" w:cs="Times New Roman"/>
          <w:sz w:val="24"/>
          <w:szCs w:val="24"/>
        </w:rPr>
        <w:t xml:space="preserve"> um</w:t>
      </w:r>
      <w:r w:rsidRPr="00A2302E">
        <w:rPr>
          <w:rFonts w:ascii="Times New Roman" w:hAnsi="Times New Roman" w:cs="Times New Roman"/>
          <w:sz w:val="24"/>
          <w:szCs w:val="24"/>
        </w:rPr>
        <w:t xml:space="preserve"> item, ela não precisa aplicá-la a todos os itens. Na data de transição para as </w:t>
      </w:r>
      <w:r w:rsidR="009E5B92">
        <w:rPr>
          <w:rFonts w:ascii="Times New Roman" w:hAnsi="Times New Roman" w:cs="Times New Roman"/>
          <w:sz w:val="24"/>
          <w:szCs w:val="24"/>
        </w:rPr>
        <w:t>IFRS</w:t>
      </w:r>
      <w:r w:rsidRPr="00A2302E">
        <w:rPr>
          <w:rFonts w:ascii="Times New Roman" w:hAnsi="Times New Roman" w:cs="Times New Roman"/>
          <w:sz w:val="24"/>
          <w:szCs w:val="24"/>
        </w:rPr>
        <w:t xml:space="preserve">, a entidade deve testar cada item para o qual essa isenção é utilizada quanto à redução ao valor recuperável de acordo com </w:t>
      </w:r>
      <w:proofErr w:type="gramStart"/>
      <w:r w:rsidRPr="00A2302E">
        <w:rPr>
          <w:rFonts w:ascii="Times New Roman" w:hAnsi="Times New Roman" w:cs="Times New Roman"/>
          <w:sz w:val="24"/>
          <w:szCs w:val="24"/>
        </w:rPr>
        <w:t>a IAS</w:t>
      </w:r>
      <w:proofErr w:type="gramEnd"/>
      <w:r w:rsidRPr="00A2302E">
        <w:rPr>
          <w:rFonts w:ascii="Times New Roman" w:hAnsi="Times New Roman" w:cs="Times New Roman"/>
          <w:sz w:val="24"/>
          <w:szCs w:val="24"/>
        </w:rPr>
        <w:t xml:space="preserve"> 36 (CPC 01 – Redução ao Valor Recuperável de Ativos). Para as finalidades deste item, as operações estão sujeitas a tarifas reguladas se fornecerem bens ou serviços a clientes a preços estabelecidos por órgão autorizado qualificado para estabelecer tarifas que vinculam os clientes e que são destinadas a recuperar os custos específicos incorridos pela entidade ao fornecer os bens ou serviços regulados e para obter retorno específico. O retorno específico pode ser um valor mínimo ou uma faixa e não precisa ser retorno fixo ou garantido.</w:t>
      </w:r>
    </w:p>
    <w:p w:rsidR="007F0317" w:rsidRPr="00A2302E" w:rsidRDefault="007F0317" w:rsidP="007F0317">
      <w:pPr>
        <w:spacing w:after="0" w:line="240" w:lineRule="auto"/>
        <w:jc w:val="both"/>
        <w:rPr>
          <w:rFonts w:ascii="Times New Roman" w:hAnsi="Times New Roman" w:cs="Times New Roman"/>
          <w:sz w:val="24"/>
          <w:szCs w:val="24"/>
        </w:rPr>
      </w:pPr>
    </w:p>
    <w:p w:rsidR="007F0317" w:rsidRPr="00A2302E" w:rsidRDefault="007F0317" w:rsidP="007F031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D9. </w:t>
      </w:r>
      <w:r w:rsidRPr="00A2302E">
        <w:rPr>
          <w:rFonts w:ascii="Times New Roman" w:hAnsi="Times New Roman" w:cs="Times New Roman"/>
          <w:sz w:val="24"/>
          <w:szCs w:val="24"/>
        </w:rPr>
        <w:tab/>
      </w:r>
      <w:r w:rsidR="009E5B92">
        <w:rPr>
          <w:rFonts w:ascii="Times New Roman" w:hAnsi="Times New Roman" w:cs="Times New Roman"/>
          <w:sz w:val="24"/>
          <w:szCs w:val="24"/>
        </w:rPr>
        <w:t>A</w:t>
      </w:r>
      <w:r w:rsidRPr="00A2302E">
        <w:rPr>
          <w:rFonts w:ascii="Times New Roman" w:hAnsi="Times New Roman" w:cs="Times New Roman"/>
          <w:sz w:val="24"/>
          <w:szCs w:val="24"/>
        </w:rPr>
        <w:t xml:space="preserve"> adotante primeira vez pode </w:t>
      </w:r>
      <w:r w:rsidR="003E4337" w:rsidRPr="00A2302E">
        <w:rPr>
          <w:rFonts w:ascii="Times New Roman" w:hAnsi="Times New Roman" w:cs="Times New Roman"/>
          <w:sz w:val="24"/>
          <w:szCs w:val="24"/>
          <w:u w:val="single"/>
        </w:rPr>
        <w:t>avaliar</w:t>
      </w:r>
      <w:r w:rsidRPr="00A2302E">
        <w:rPr>
          <w:rFonts w:ascii="Times New Roman" w:hAnsi="Times New Roman" w:cs="Times New Roman"/>
          <w:sz w:val="24"/>
          <w:szCs w:val="24"/>
        </w:rPr>
        <w:t xml:space="preserve"> se </w:t>
      </w:r>
      <w:r w:rsidR="003E4337" w:rsidRPr="00A2302E">
        <w:rPr>
          <w:rFonts w:ascii="Times New Roman" w:hAnsi="Times New Roman" w:cs="Times New Roman"/>
          <w:sz w:val="24"/>
          <w:szCs w:val="24"/>
          <w:u w:val="single"/>
        </w:rPr>
        <w:t>o contrato</w:t>
      </w:r>
      <w:r w:rsidRPr="00A2302E">
        <w:rPr>
          <w:rFonts w:ascii="Times New Roman" w:hAnsi="Times New Roman" w:cs="Times New Roman"/>
          <w:sz w:val="24"/>
          <w:szCs w:val="24"/>
        </w:rPr>
        <w:t xml:space="preserve"> existente na data de transição para as </w:t>
      </w:r>
      <w:r w:rsidR="009E5B92">
        <w:rPr>
          <w:rFonts w:ascii="Times New Roman" w:hAnsi="Times New Roman" w:cs="Times New Roman"/>
          <w:sz w:val="24"/>
          <w:szCs w:val="24"/>
        </w:rPr>
        <w:t>IFRS</w:t>
      </w:r>
      <w:r w:rsidRPr="00A2302E">
        <w:rPr>
          <w:rFonts w:ascii="Times New Roman" w:hAnsi="Times New Roman" w:cs="Times New Roman"/>
          <w:sz w:val="24"/>
          <w:szCs w:val="24"/>
        </w:rPr>
        <w:t xml:space="preserve"> contém arrendamento, </w:t>
      </w:r>
      <w:r w:rsidR="003E4337" w:rsidRPr="00A2302E">
        <w:rPr>
          <w:rFonts w:ascii="Times New Roman" w:hAnsi="Times New Roman" w:cs="Times New Roman"/>
          <w:sz w:val="24"/>
          <w:szCs w:val="24"/>
          <w:u w:val="single"/>
        </w:rPr>
        <w:t>aplicando os itens 9 a 11 do CPC 06 a esses contratos</w:t>
      </w:r>
      <w:r w:rsidRPr="00A2302E">
        <w:rPr>
          <w:rFonts w:ascii="Times New Roman" w:hAnsi="Times New Roman" w:cs="Times New Roman"/>
          <w:sz w:val="24"/>
          <w:szCs w:val="24"/>
        </w:rPr>
        <w:t xml:space="preserve"> com base em fatos e circunstâncias existentes nessa data.</w:t>
      </w:r>
    </w:p>
    <w:p w:rsidR="007F0317" w:rsidRPr="00A2302E" w:rsidRDefault="007F0317" w:rsidP="007F0317">
      <w:pPr>
        <w:spacing w:after="0" w:line="240" w:lineRule="auto"/>
        <w:jc w:val="both"/>
        <w:rPr>
          <w:rFonts w:ascii="Times New Roman" w:hAnsi="Times New Roman" w:cs="Times New Roman"/>
          <w:sz w:val="24"/>
          <w:szCs w:val="24"/>
        </w:rPr>
      </w:pPr>
    </w:p>
    <w:p w:rsidR="007F0317" w:rsidRPr="00A2302E" w:rsidRDefault="007F0317" w:rsidP="007F0317">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D9A.  </w:t>
      </w:r>
      <w:r w:rsidR="004A52EF" w:rsidRPr="00A2302E">
        <w:rPr>
          <w:rFonts w:ascii="Times New Roman" w:hAnsi="Times New Roman" w:cs="Times New Roman"/>
          <w:sz w:val="24"/>
          <w:szCs w:val="24"/>
        </w:rPr>
        <w:t xml:space="preserve">Eliminado. </w:t>
      </w:r>
    </w:p>
    <w:p w:rsidR="007F0317" w:rsidRPr="00A2302E" w:rsidRDefault="007F0317" w:rsidP="007F0317">
      <w:pPr>
        <w:spacing w:after="0" w:line="240" w:lineRule="auto"/>
        <w:jc w:val="both"/>
        <w:rPr>
          <w:rFonts w:ascii="Times New Roman" w:hAnsi="Times New Roman" w:cs="Times New Roman"/>
          <w:sz w:val="24"/>
          <w:szCs w:val="24"/>
        </w:rPr>
      </w:pPr>
    </w:p>
    <w:p w:rsidR="007F0317" w:rsidRPr="00A2302E" w:rsidRDefault="003E4337" w:rsidP="007F0317">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 xml:space="preserve">D9B. Quando a adoptante pela primeira vez, que é </w:t>
      </w:r>
      <w:proofErr w:type="spellStart"/>
      <w:r w:rsidRPr="00A2302E">
        <w:rPr>
          <w:rFonts w:ascii="Times New Roman" w:hAnsi="Times New Roman" w:cs="Times New Roman"/>
          <w:sz w:val="24"/>
          <w:szCs w:val="24"/>
          <w:u w:val="single"/>
        </w:rPr>
        <w:t>arrendatári</w:t>
      </w:r>
      <w:r w:rsidR="009E5B92">
        <w:rPr>
          <w:rFonts w:ascii="Times New Roman" w:hAnsi="Times New Roman" w:cs="Times New Roman"/>
          <w:sz w:val="24"/>
          <w:szCs w:val="24"/>
          <w:u w:val="single"/>
        </w:rPr>
        <w:t>a</w:t>
      </w:r>
      <w:proofErr w:type="spellEnd"/>
      <w:r w:rsidRPr="00A2302E">
        <w:rPr>
          <w:rFonts w:ascii="Times New Roman" w:hAnsi="Times New Roman" w:cs="Times New Roman"/>
          <w:sz w:val="24"/>
          <w:szCs w:val="24"/>
          <w:u w:val="single"/>
        </w:rPr>
        <w:t>, reconhece passivos de arrendamento e ativos de direito de uso, pode aplicar a seguinte abordagem a todos os seus contratos de arrendamento (sujeitos aos expedientes práticos descritos no item D9D):</w:t>
      </w:r>
    </w:p>
    <w:p w:rsidR="007F0317" w:rsidRPr="00A2302E" w:rsidRDefault="003E4337" w:rsidP="007F0317">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 xml:space="preserve">(a) mensurar o passivo de arrendamento na data de transição para as </w:t>
      </w:r>
      <w:r w:rsidR="009E5B92">
        <w:rPr>
          <w:rFonts w:ascii="Times New Roman" w:hAnsi="Times New Roman" w:cs="Times New Roman"/>
          <w:sz w:val="24"/>
          <w:szCs w:val="24"/>
          <w:u w:val="single"/>
        </w:rPr>
        <w:t>IFRS</w:t>
      </w:r>
      <w:r w:rsidRPr="00A2302E">
        <w:rPr>
          <w:rFonts w:ascii="Times New Roman" w:hAnsi="Times New Roman" w:cs="Times New Roman"/>
          <w:sz w:val="24"/>
          <w:szCs w:val="24"/>
          <w:u w:val="single"/>
        </w:rPr>
        <w:t xml:space="preserve">. O arrendatário que segue essa abordagem deve mensurar esse passivo de arrendamento ao valor presente do saldo de arrendamento remanescente (ver item D9E), descontado usando a taxa de empréstimo incremental do arrendatário (ver item D9E) na data de transição para </w:t>
      </w:r>
      <w:r w:rsidR="009E5B92">
        <w:rPr>
          <w:rFonts w:ascii="Times New Roman" w:hAnsi="Times New Roman" w:cs="Times New Roman"/>
          <w:sz w:val="24"/>
          <w:szCs w:val="24"/>
          <w:u w:val="single"/>
        </w:rPr>
        <w:t>IFRS</w:t>
      </w:r>
      <w:r w:rsidRPr="00A2302E">
        <w:rPr>
          <w:rFonts w:ascii="Times New Roman" w:hAnsi="Times New Roman" w:cs="Times New Roman"/>
          <w:sz w:val="24"/>
          <w:szCs w:val="24"/>
          <w:u w:val="single"/>
        </w:rPr>
        <w:t>;</w:t>
      </w:r>
    </w:p>
    <w:p w:rsidR="007F0317" w:rsidRPr="00A2302E" w:rsidRDefault="003E4337" w:rsidP="007F0317">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 xml:space="preserve">(b) mensurar o ativo de direito de uso na data de transição para as </w:t>
      </w:r>
      <w:r w:rsidR="009E5B92">
        <w:rPr>
          <w:rFonts w:ascii="Times New Roman" w:hAnsi="Times New Roman" w:cs="Times New Roman"/>
          <w:sz w:val="24"/>
          <w:szCs w:val="24"/>
          <w:u w:val="single"/>
        </w:rPr>
        <w:t>IFRS</w:t>
      </w:r>
      <w:r w:rsidRPr="00A2302E">
        <w:rPr>
          <w:rFonts w:ascii="Times New Roman" w:hAnsi="Times New Roman" w:cs="Times New Roman"/>
          <w:sz w:val="24"/>
          <w:szCs w:val="24"/>
          <w:u w:val="single"/>
        </w:rPr>
        <w:t>. O arrendatário deve escolher, com base em arrendamento por arrendamento, para mensurar o ativo de direito de uso pelo:</w:t>
      </w:r>
    </w:p>
    <w:p w:rsidR="007F0317" w:rsidRPr="00A2302E" w:rsidRDefault="003E4337" w:rsidP="007F0317">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 xml:space="preserve">(i) seu valor contábil como se o CPC 06 tivesse sido aplicado desde a data de início do arrendamento (ver item D9E), mas descontado usando a taxa de empréstimo incremental do arrendatário na data de transição para as </w:t>
      </w:r>
      <w:r w:rsidR="009E5B92">
        <w:rPr>
          <w:rFonts w:ascii="Times New Roman" w:hAnsi="Times New Roman" w:cs="Times New Roman"/>
          <w:sz w:val="24"/>
          <w:szCs w:val="24"/>
          <w:u w:val="single"/>
        </w:rPr>
        <w:t>IFRS</w:t>
      </w:r>
      <w:r w:rsidRPr="00A2302E">
        <w:rPr>
          <w:rFonts w:ascii="Times New Roman" w:hAnsi="Times New Roman" w:cs="Times New Roman"/>
          <w:sz w:val="24"/>
          <w:szCs w:val="24"/>
          <w:u w:val="single"/>
        </w:rPr>
        <w:t xml:space="preserve">; </w:t>
      </w:r>
      <w:proofErr w:type="gramStart"/>
      <w:r w:rsidRPr="00A2302E">
        <w:rPr>
          <w:rFonts w:ascii="Times New Roman" w:hAnsi="Times New Roman" w:cs="Times New Roman"/>
          <w:sz w:val="24"/>
          <w:szCs w:val="24"/>
          <w:u w:val="single"/>
        </w:rPr>
        <w:t>ou</w:t>
      </w:r>
      <w:proofErr w:type="gramEnd"/>
    </w:p>
    <w:p w:rsidR="007F0317" w:rsidRPr="00A2302E" w:rsidRDefault="003E4337" w:rsidP="007F0317">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(ii) valor igual ao passivo do arrendamento, ajustado pelo valor de quaisquer pagamentos de arrendamento</w:t>
      </w:r>
      <w:r w:rsidR="00A3301E">
        <w:rPr>
          <w:rFonts w:ascii="Times New Roman" w:hAnsi="Times New Roman" w:cs="Times New Roman"/>
          <w:sz w:val="24"/>
          <w:szCs w:val="24"/>
          <w:u w:val="single"/>
        </w:rPr>
        <w:t>s</w:t>
      </w:r>
      <w:r w:rsidRPr="00A2302E">
        <w:rPr>
          <w:rFonts w:ascii="Times New Roman" w:hAnsi="Times New Roman" w:cs="Times New Roman"/>
          <w:sz w:val="24"/>
          <w:szCs w:val="24"/>
          <w:u w:val="single"/>
        </w:rPr>
        <w:t xml:space="preserve"> antecipados ou de </w:t>
      </w:r>
      <w:r w:rsidR="00B4255A">
        <w:rPr>
          <w:rFonts w:ascii="Times New Roman" w:hAnsi="Times New Roman" w:cs="Times New Roman"/>
          <w:sz w:val="24"/>
          <w:szCs w:val="24"/>
          <w:u w:val="single"/>
        </w:rPr>
        <w:t>arrend</w:t>
      </w:r>
      <w:r w:rsidR="00A3301E">
        <w:rPr>
          <w:rFonts w:ascii="Times New Roman" w:hAnsi="Times New Roman" w:cs="Times New Roman"/>
          <w:sz w:val="24"/>
          <w:szCs w:val="24"/>
          <w:u w:val="single"/>
        </w:rPr>
        <w:t>amentos incorridos a pagar</w:t>
      </w:r>
      <w:r w:rsidRPr="00A2302E">
        <w:rPr>
          <w:rFonts w:ascii="Times New Roman" w:hAnsi="Times New Roman" w:cs="Times New Roman"/>
          <w:sz w:val="24"/>
          <w:szCs w:val="24"/>
          <w:u w:val="single"/>
        </w:rPr>
        <w:t xml:space="preserve"> relativos a esse</w:t>
      </w:r>
      <w:r w:rsidR="00590A1F">
        <w:rPr>
          <w:rFonts w:ascii="Times New Roman" w:hAnsi="Times New Roman" w:cs="Times New Roman"/>
          <w:sz w:val="24"/>
          <w:szCs w:val="24"/>
          <w:u w:val="single"/>
        </w:rPr>
        <w:t>s</w:t>
      </w:r>
      <w:r w:rsidRPr="00A2302E">
        <w:rPr>
          <w:rFonts w:ascii="Times New Roman" w:hAnsi="Times New Roman" w:cs="Times New Roman"/>
          <w:sz w:val="24"/>
          <w:szCs w:val="24"/>
          <w:u w:val="single"/>
        </w:rPr>
        <w:t xml:space="preserve"> arrendamento</w:t>
      </w:r>
      <w:r w:rsidR="00590A1F">
        <w:rPr>
          <w:rFonts w:ascii="Times New Roman" w:hAnsi="Times New Roman" w:cs="Times New Roman"/>
          <w:sz w:val="24"/>
          <w:szCs w:val="24"/>
          <w:u w:val="single"/>
        </w:rPr>
        <w:t>s</w:t>
      </w:r>
      <w:r w:rsidRPr="00A2302E">
        <w:rPr>
          <w:rFonts w:ascii="Times New Roman" w:hAnsi="Times New Roman" w:cs="Times New Roman"/>
          <w:sz w:val="24"/>
          <w:szCs w:val="24"/>
          <w:u w:val="single"/>
        </w:rPr>
        <w:t xml:space="preserve"> reconhecidos no balanço patrimonial imediatamente antes da data de transição para as </w:t>
      </w:r>
      <w:r w:rsidR="009E5B92">
        <w:rPr>
          <w:rFonts w:ascii="Times New Roman" w:hAnsi="Times New Roman" w:cs="Times New Roman"/>
          <w:sz w:val="24"/>
          <w:szCs w:val="24"/>
          <w:u w:val="single"/>
        </w:rPr>
        <w:t>IFRS</w:t>
      </w:r>
      <w:r w:rsidRPr="00A2302E">
        <w:rPr>
          <w:rFonts w:ascii="Times New Roman" w:hAnsi="Times New Roman" w:cs="Times New Roman"/>
          <w:sz w:val="24"/>
          <w:szCs w:val="24"/>
          <w:u w:val="single"/>
        </w:rPr>
        <w:t>;</w:t>
      </w:r>
    </w:p>
    <w:p w:rsidR="007F0317" w:rsidRPr="00A2302E" w:rsidRDefault="003E4337" w:rsidP="007F0317">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 xml:space="preserve">(c) aplicar o CPC 01 aos ativos de direito de uso na data da transição para as </w:t>
      </w:r>
      <w:r w:rsidR="009E5B92">
        <w:rPr>
          <w:rFonts w:ascii="Times New Roman" w:hAnsi="Times New Roman" w:cs="Times New Roman"/>
          <w:sz w:val="24"/>
          <w:szCs w:val="24"/>
          <w:u w:val="single"/>
        </w:rPr>
        <w:t>IFRS</w:t>
      </w:r>
      <w:r w:rsidRPr="00A2302E">
        <w:rPr>
          <w:rFonts w:ascii="Times New Roman" w:hAnsi="Times New Roman" w:cs="Times New Roman"/>
          <w:sz w:val="24"/>
          <w:szCs w:val="24"/>
          <w:u w:val="single"/>
        </w:rPr>
        <w:t>.</w:t>
      </w:r>
    </w:p>
    <w:p w:rsidR="007F0317" w:rsidRPr="00A2302E" w:rsidRDefault="007F0317" w:rsidP="007F0317">
      <w:pPr>
        <w:spacing w:after="0" w:line="240" w:lineRule="auto"/>
        <w:jc w:val="both"/>
        <w:rPr>
          <w:rFonts w:ascii="Times New Roman" w:hAnsi="Times New Roman" w:cs="Times New Roman"/>
          <w:sz w:val="24"/>
          <w:szCs w:val="24"/>
          <w:u w:val="single"/>
        </w:rPr>
      </w:pPr>
    </w:p>
    <w:p w:rsidR="007F0317" w:rsidRPr="00A2302E" w:rsidRDefault="003E4337" w:rsidP="007F0317">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 xml:space="preserve">D9C. Não obstante os requisitos do item D9B, a adoptante pela primeira vez que é </w:t>
      </w:r>
      <w:proofErr w:type="spellStart"/>
      <w:r w:rsidRPr="00A2302E">
        <w:rPr>
          <w:rFonts w:ascii="Times New Roman" w:hAnsi="Times New Roman" w:cs="Times New Roman"/>
          <w:sz w:val="24"/>
          <w:szCs w:val="24"/>
          <w:u w:val="single"/>
        </w:rPr>
        <w:t>arrendatári</w:t>
      </w:r>
      <w:r w:rsidR="009E5B92">
        <w:rPr>
          <w:rFonts w:ascii="Times New Roman" w:hAnsi="Times New Roman" w:cs="Times New Roman"/>
          <w:sz w:val="24"/>
          <w:szCs w:val="24"/>
          <w:u w:val="single"/>
        </w:rPr>
        <w:t>a</w:t>
      </w:r>
      <w:proofErr w:type="spellEnd"/>
      <w:r w:rsidRPr="00A2302E">
        <w:rPr>
          <w:rFonts w:ascii="Times New Roman" w:hAnsi="Times New Roman" w:cs="Times New Roman"/>
          <w:sz w:val="24"/>
          <w:szCs w:val="24"/>
          <w:u w:val="single"/>
        </w:rPr>
        <w:t xml:space="preserve"> deve mensurar o ativo de direito de uso pelo valor justo na data de transição para as </w:t>
      </w:r>
      <w:r w:rsidR="009E5B92">
        <w:rPr>
          <w:rFonts w:ascii="Times New Roman" w:hAnsi="Times New Roman" w:cs="Times New Roman"/>
          <w:sz w:val="24"/>
          <w:szCs w:val="24"/>
          <w:u w:val="single"/>
        </w:rPr>
        <w:t>IFRS</w:t>
      </w:r>
      <w:r w:rsidRPr="00A2302E">
        <w:rPr>
          <w:rFonts w:ascii="Times New Roman" w:hAnsi="Times New Roman" w:cs="Times New Roman"/>
          <w:sz w:val="24"/>
          <w:szCs w:val="24"/>
          <w:u w:val="single"/>
        </w:rPr>
        <w:t xml:space="preserve"> para arrendamentos que atendam à definição de propriedade para investimento no CPC 28 e são mensurados usando o modelo de valor justo no CPC 28 a partir da data de transição para </w:t>
      </w:r>
      <w:r w:rsidR="009E5B92">
        <w:rPr>
          <w:rFonts w:ascii="Times New Roman" w:hAnsi="Times New Roman" w:cs="Times New Roman"/>
          <w:sz w:val="24"/>
          <w:szCs w:val="24"/>
          <w:u w:val="single"/>
        </w:rPr>
        <w:t>as IFRS</w:t>
      </w:r>
      <w:r w:rsidRPr="00A2302E">
        <w:rPr>
          <w:rFonts w:ascii="Times New Roman" w:hAnsi="Times New Roman" w:cs="Times New Roman"/>
          <w:sz w:val="24"/>
          <w:szCs w:val="24"/>
          <w:u w:val="single"/>
        </w:rPr>
        <w:t>.</w:t>
      </w:r>
    </w:p>
    <w:p w:rsidR="007F0317" w:rsidRPr="00A2302E" w:rsidRDefault="007F0317" w:rsidP="007F0317">
      <w:pPr>
        <w:spacing w:after="0" w:line="240" w:lineRule="auto"/>
        <w:jc w:val="both"/>
        <w:rPr>
          <w:rFonts w:ascii="Times New Roman" w:hAnsi="Times New Roman" w:cs="Times New Roman"/>
          <w:sz w:val="24"/>
          <w:szCs w:val="24"/>
          <w:u w:val="single"/>
        </w:rPr>
      </w:pPr>
    </w:p>
    <w:p w:rsidR="007F0317" w:rsidRPr="00A2302E" w:rsidRDefault="003E4337" w:rsidP="007F0317">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 xml:space="preserve">D9D. A adotante pela primeira vez que é </w:t>
      </w:r>
      <w:proofErr w:type="spellStart"/>
      <w:r w:rsidRPr="00A2302E">
        <w:rPr>
          <w:rFonts w:ascii="Times New Roman" w:hAnsi="Times New Roman" w:cs="Times New Roman"/>
          <w:sz w:val="24"/>
          <w:szCs w:val="24"/>
          <w:u w:val="single"/>
        </w:rPr>
        <w:t>arrendatári</w:t>
      </w:r>
      <w:r w:rsidR="009E5B92">
        <w:rPr>
          <w:rFonts w:ascii="Times New Roman" w:hAnsi="Times New Roman" w:cs="Times New Roman"/>
          <w:sz w:val="24"/>
          <w:szCs w:val="24"/>
          <w:u w:val="single"/>
        </w:rPr>
        <w:t>a</w:t>
      </w:r>
      <w:proofErr w:type="spellEnd"/>
      <w:r w:rsidRPr="00A2302E">
        <w:rPr>
          <w:rFonts w:ascii="Times New Roman" w:hAnsi="Times New Roman" w:cs="Times New Roman"/>
          <w:sz w:val="24"/>
          <w:szCs w:val="24"/>
          <w:u w:val="single"/>
        </w:rPr>
        <w:t xml:space="preserve"> pode fazer um ou mais dos seguintes itens na data de transição para as </w:t>
      </w:r>
      <w:r w:rsidR="009E5B92">
        <w:rPr>
          <w:rFonts w:ascii="Times New Roman" w:hAnsi="Times New Roman" w:cs="Times New Roman"/>
          <w:sz w:val="24"/>
          <w:szCs w:val="24"/>
          <w:u w:val="single"/>
        </w:rPr>
        <w:t>IFRS</w:t>
      </w:r>
      <w:r w:rsidRPr="00A2302E">
        <w:rPr>
          <w:rFonts w:ascii="Times New Roman" w:hAnsi="Times New Roman" w:cs="Times New Roman"/>
          <w:sz w:val="24"/>
          <w:szCs w:val="24"/>
          <w:u w:val="single"/>
        </w:rPr>
        <w:t>, aplicadas com base em arrendamento por arrendamento:</w:t>
      </w:r>
    </w:p>
    <w:p w:rsidR="007F0317" w:rsidRPr="00A2302E" w:rsidRDefault="003E4337" w:rsidP="007F0317">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 xml:space="preserve">(a) aplicar uma única taxa de desconto à carteira de arrendamento com características razoavelmente similares (por exemplo, </w:t>
      </w:r>
      <w:r w:rsidR="00CF62CB">
        <w:rPr>
          <w:rFonts w:ascii="Times New Roman" w:hAnsi="Times New Roman" w:cs="Times New Roman"/>
          <w:sz w:val="24"/>
          <w:szCs w:val="24"/>
          <w:u w:val="single"/>
        </w:rPr>
        <w:t>prazo</w:t>
      </w:r>
      <w:r w:rsidR="00CF62CB" w:rsidRPr="00A2302E">
        <w:rPr>
          <w:rFonts w:ascii="Times New Roman" w:hAnsi="Times New Roman" w:cs="Times New Roman"/>
          <w:sz w:val="24"/>
          <w:szCs w:val="24"/>
          <w:u w:val="single"/>
        </w:rPr>
        <w:t xml:space="preserve"> </w:t>
      </w:r>
      <w:r w:rsidRPr="00A2302E">
        <w:rPr>
          <w:rFonts w:ascii="Times New Roman" w:hAnsi="Times New Roman" w:cs="Times New Roman"/>
          <w:sz w:val="24"/>
          <w:szCs w:val="24"/>
          <w:u w:val="single"/>
        </w:rPr>
        <w:t>de arrendamento restante similar para uma classe similar de ativos subjacentes em ambiente econômico similar);</w:t>
      </w:r>
    </w:p>
    <w:p w:rsidR="007F0317" w:rsidRPr="00A2302E" w:rsidRDefault="003E4337" w:rsidP="007F0317">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 xml:space="preserve">(b) optar por não aplicar os requisitos do item D9B aos arrendamentos para os quais o prazo de arrendamento (ver item D9E) termina dentro de 12 meses da data de transição para </w:t>
      </w:r>
      <w:r w:rsidR="009E5B92">
        <w:rPr>
          <w:rFonts w:ascii="Times New Roman" w:hAnsi="Times New Roman" w:cs="Times New Roman"/>
          <w:sz w:val="24"/>
          <w:szCs w:val="24"/>
          <w:u w:val="single"/>
        </w:rPr>
        <w:t>as IFRS</w:t>
      </w:r>
      <w:r w:rsidRPr="00A2302E">
        <w:rPr>
          <w:rFonts w:ascii="Times New Roman" w:hAnsi="Times New Roman" w:cs="Times New Roman"/>
          <w:sz w:val="24"/>
          <w:szCs w:val="24"/>
          <w:u w:val="single"/>
        </w:rPr>
        <w:t xml:space="preserve">. Em vez disso, a entidade deve contabilizar (incluindo a divulgação de informações sobre) </w:t>
      </w:r>
      <w:r w:rsidR="00D8273B">
        <w:rPr>
          <w:rFonts w:ascii="Times New Roman" w:hAnsi="Times New Roman" w:cs="Times New Roman"/>
          <w:sz w:val="24"/>
          <w:szCs w:val="24"/>
          <w:u w:val="single"/>
        </w:rPr>
        <w:t>esses arrendamentos</w:t>
      </w:r>
      <w:r w:rsidRPr="00A2302E">
        <w:rPr>
          <w:rFonts w:ascii="Times New Roman" w:hAnsi="Times New Roman" w:cs="Times New Roman"/>
          <w:sz w:val="24"/>
          <w:szCs w:val="24"/>
          <w:u w:val="single"/>
        </w:rPr>
        <w:t xml:space="preserve"> como se fossem arrendamentos em curto prazo contabilizados de acordo com o item </w:t>
      </w:r>
      <w:proofErr w:type="gramStart"/>
      <w:r w:rsidRPr="00A2302E">
        <w:rPr>
          <w:rFonts w:ascii="Times New Roman" w:hAnsi="Times New Roman" w:cs="Times New Roman"/>
          <w:sz w:val="24"/>
          <w:szCs w:val="24"/>
          <w:u w:val="single"/>
        </w:rPr>
        <w:t>6</w:t>
      </w:r>
      <w:proofErr w:type="gramEnd"/>
      <w:r w:rsidRPr="00A2302E">
        <w:rPr>
          <w:rFonts w:ascii="Times New Roman" w:hAnsi="Times New Roman" w:cs="Times New Roman"/>
          <w:sz w:val="24"/>
          <w:szCs w:val="24"/>
          <w:u w:val="single"/>
        </w:rPr>
        <w:t xml:space="preserve"> do CPC 06</w:t>
      </w:r>
      <w:r w:rsidR="009E5B92">
        <w:rPr>
          <w:rFonts w:ascii="Times New Roman" w:hAnsi="Times New Roman" w:cs="Times New Roman"/>
          <w:sz w:val="24"/>
          <w:szCs w:val="24"/>
          <w:u w:val="single"/>
        </w:rPr>
        <w:t>;</w:t>
      </w:r>
    </w:p>
    <w:p w:rsidR="007F0317" w:rsidRPr="00A2302E" w:rsidRDefault="003E4337" w:rsidP="007F0317">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 xml:space="preserve">(c) optar por não aplicar os requisitos do item D9B aos arrendamentos para os quais o ativo subjacente é de baixo valor (conforme descrito nos itens B3 a B8 do CPC 06). Em vez disso, a entidade deve contabilizar (incluindo a divulgação de informações sobre) </w:t>
      </w:r>
      <w:r w:rsidR="00D8273B">
        <w:rPr>
          <w:rFonts w:ascii="Times New Roman" w:hAnsi="Times New Roman" w:cs="Times New Roman"/>
          <w:sz w:val="24"/>
          <w:szCs w:val="24"/>
          <w:u w:val="single"/>
        </w:rPr>
        <w:t>esses arrendamentos</w:t>
      </w:r>
      <w:r w:rsidRPr="00A2302E">
        <w:rPr>
          <w:rFonts w:ascii="Times New Roman" w:hAnsi="Times New Roman" w:cs="Times New Roman"/>
          <w:sz w:val="24"/>
          <w:szCs w:val="24"/>
          <w:u w:val="single"/>
        </w:rPr>
        <w:t xml:space="preserve"> de acordo com o item 6 do CPC 06;</w:t>
      </w:r>
    </w:p>
    <w:p w:rsidR="007F0317" w:rsidRPr="00A2302E" w:rsidRDefault="003E4337" w:rsidP="007F0317">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 xml:space="preserve">(d) excluir os custos iniciais diretos (ver item D9E) da mensuração do ativo de direito de uso na data da transição para as </w:t>
      </w:r>
      <w:r w:rsidR="009E5B92">
        <w:rPr>
          <w:rFonts w:ascii="Times New Roman" w:hAnsi="Times New Roman" w:cs="Times New Roman"/>
          <w:sz w:val="24"/>
          <w:szCs w:val="24"/>
          <w:u w:val="single"/>
        </w:rPr>
        <w:t>IFRS</w:t>
      </w:r>
      <w:r w:rsidRPr="00A2302E">
        <w:rPr>
          <w:rFonts w:ascii="Times New Roman" w:hAnsi="Times New Roman" w:cs="Times New Roman"/>
          <w:sz w:val="24"/>
          <w:szCs w:val="24"/>
          <w:u w:val="single"/>
        </w:rPr>
        <w:t>;</w:t>
      </w:r>
    </w:p>
    <w:p w:rsidR="007F0317" w:rsidRPr="00A2302E" w:rsidRDefault="003E4337" w:rsidP="007F0317">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 xml:space="preserve">(e) usar a </w:t>
      </w:r>
      <w:r w:rsidR="005C4236">
        <w:rPr>
          <w:rFonts w:ascii="Times New Roman" w:hAnsi="Times New Roman" w:cs="Times New Roman"/>
          <w:sz w:val="24"/>
          <w:szCs w:val="24"/>
          <w:u w:val="single"/>
        </w:rPr>
        <w:t>percepção posterior</w:t>
      </w:r>
      <w:r w:rsidRPr="00A2302E">
        <w:rPr>
          <w:rFonts w:ascii="Times New Roman" w:hAnsi="Times New Roman" w:cs="Times New Roman"/>
          <w:sz w:val="24"/>
          <w:szCs w:val="24"/>
          <w:u w:val="single"/>
        </w:rPr>
        <w:t>, como na determinação do prazo do arrendamento, se o contrato contiver opções para estender ou encerrar o contrato de arrendamento.</w:t>
      </w:r>
    </w:p>
    <w:p w:rsidR="007F0317" w:rsidRPr="00A2302E" w:rsidRDefault="007F0317" w:rsidP="007F0317">
      <w:pPr>
        <w:spacing w:after="0" w:line="240" w:lineRule="auto"/>
        <w:jc w:val="both"/>
        <w:rPr>
          <w:rFonts w:ascii="Times New Roman" w:hAnsi="Times New Roman" w:cs="Times New Roman"/>
          <w:sz w:val="24"/>
          <w:szCs w:val="24"/>
          <w:u w:val="single"/>
        </w:rPr>
      </w:pPr>
    </w:p>
    <w:p w:rsidR="007F0317" w:rsidRPr="00A2302E" w:rsidRDefault="003E4337" w:rsidP="007F0317">
      <w:pPr>
        <w:spacing w:after="0" w:line="240" w:lineRule="auto"/>
        <w:jc w:val="both"/>
        <w:rPr>
          <w:rFonts w:ascii="Times New Roman" w:hAnsi="Times New Roman" w:cs="Times New Roman"/>
          <w:sz w:val="24"/>
          <w:szCs w:val="24"/>
          <w:u w:val="single"/>
        </w:rPr>
      </w:pPr>
      <w:r w:rsidRPr="00A2302E">
        <w:rPr>
          <w:rFonts w:ascii="Times New Roman" w:hAnsi="Times New Roman" w:cs="Times New Roman"/>
          <w:sz w:val="24"/>
          <w:szCs w:val="24"/>
          <w:u w:val="single"/>
        </w:rPr>
        <w:t>D9E. Pagamento de arrendamento, arrendatário, taxa de empréstimo incremental do arrendatário, data de início do arrendamento, custos iniciais diretos e prazo de arrendamento são termos definidos no CPC 06 e devem ser utilizados neste pronunciamento com o mesmo significado.</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1</w:t>
      </w:r>
      <w:r w:rsidR="0098198E" w:rsidRPr="00A2302E">
        <w:rPr>
          <w:rFonts w:ascii="Times New Roman" w:hAnsi="Times New Roman" w:cs="Times New Roman"/>
          <w:b/>
          <w:sz w:val="24"/>
          <w:szCs w:val="24"/>
        </w:rPr>
        <w:t>8</w:t>
      </w:r>
      <w:r w:rsidRPr="00A2302E">
        <w:rPr>
          <w:rFonts w:ascii="Times New Roman" w:hAnsi="Times New Roman" w:cs="Times New Roman"/>
          <w:b/>
          <w:sz w:val="24"/>
          <w:szCs w:val="24"/>
        </w:rPr>
        <w:t xml:space="preserve">. </w:t>
      </w:r>
      <w:r w:rsidRPr="00A2302E">
        <w:rPr>
          <w:rFonts w:ascii="Times New Roman" w:hAnsi="Times New Roman" w:cs="Times New Roman"/>
          <w:b/>
          <w:sz w:val="24"/>
          <w:szCs w:val="24"/>
        </w:rPr>
        <w:tab/>
        <w:t>Altera os itens AG9, AG10 e AG36 no CPC 39 – Instrumentos Financeiros: Apresentação, que passam a vigorar com as seguintes redações:</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AG9.</w:t>
      </w:r>
      <w:r w:rsidRPr="00A2302E">
        <w:rPr>
          <w:rFonts w:ascii="Times New Roman" w:hAnsi="Times New Roman" w:cs="Times New Roman"/>
          <w:sz w:val="24"/>
          <w:szCs w:val="24"/>
        </w:rPr>
        <w:tab/>
      </w:r>
      <w:r w:rsidR="003E4337" w:rsidRPr="00A2302E">
        <w:rPr>
          <w:rFonts w:ascii="Times New Roman" w:hAnsi="Times New Roman" w:cs="Times New Roman"/>
          <w:sz w:val="24"/>
          <w:szCs w:val="24"/>
          <w:u w:val="single"/>
        </w:rPr>
        <w:t xml:space="preserve">O contrato de arrendamento geralmente cria o </w:t>
      </w:r>
      <w:r w:rsidRPr="00A2302E">
        <w:rPr>
          <w:rFonts w:ascii="Times New Roman" w:hAnsi="Times New Roman" w:cs="Times New Roman"/>
          <w:sz w:val="24"/>
          <w:szCs w:val="24"/>
        </w:rPr>
        <w:t xml:space="preserve">direito do arrendador de receber, e a obrigação do arrendatário de pagar, um fluxo de pagamentos que são equivalentes a combinação de principal e juros em contrato de financiamento. O arrendador </w:t>
      </w:r>
      <w:r w:rsidR="003E4337" w:rsidRPr="00A2302E">
        <w:rPr>
          <w:rFonts w:ascii="Times New Roman" w:hAnsi="Times New Roman" w:cs="Times New Roman"/>
          <w:sz w:val="24"/>
          <w:szCs w:val="24"/>
          <w:u w:val="single"/>
        </w:rPr>
        <w:t>deve contabilizar seu investimento no valor a receber em arrendamento financeiro, em vez do próprio ativo subjacente que está sujeito a arrendamento financeiro.</w:t>
      </w:r>
      <w:r w:rsidRPr="00A2302E">
        <w:rPr>
          <w:rFonts w:ascii="Times New Roman" w:hAnsi="Times New Roman" w:cs="Times New Roman"/>
          <w:sz w:val="24"/>
          <w:szCs w:val="24"/>
        </w:rPr>
        <w:t xml:space="preserve"> </w:t>
      </w:r>
      <w:r w:rsidR="003E4337" w:rsidRPr="00A2302E">
        <w:rPr>
          <w:rFonts w:ascii="Times New Roman" w:hAnsi="Times New Roman" w:cs="Times New Roman"/>
          <w:sz w:val="24"/>
          <w:szCs w:val="24"/>
          <w:u w:val="single"/>
        </w:rPr>
        <w:t>Por conseguinte, o arrendador deve considerar o arrendamento financeiro como instrumento financeiro.</w:t>
      </w:r>
      <w:r w:rsidRPr="00A2302E">
        <w:rPr>
          <w:rFonts w:ascii="Times New Roman" w:hAnsi="Times New Roman" w:cs="Times New Roman"/>
          <w:sz w:val="24"/>
          <w:szCs w:val="24"/>
        </w:rPr>
        <w:t xml:space="preserve"> </w:t>
      </w:r>
      <w:r w:rsidR="003E4337" w:rsidRPr="00A2302E">
        <w:rPr>
          <w:rFonts w:ascii="Times New Roman" w:hAnsi="Times New Roman" w:cs="Times New Roman"/>
          <w:sz w:val="24"/>
          <w:szCs w:val="24"/>
          <w:u w:val="single"/>
        </w:rPr>
        <w:t>Nos termos do CPC 06, o arrendador não deve reconhecer seu direito a receber pagamentos de arrendamento sob contrato de arrendamento operacional. O arrendador deve continuar a contabilizar o próprio ativo subjacente em vez de qualquer valor a receber no futuro no âmbito do contrato. Por conseguinte, o arrendador não deve considerar o arrendamento operacional como instrumento financeiro, exceto no que se refere aos recebimentos individuais correntes a receber e a pagar pelo arrendatário.</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AG10. </w:t>
      </w:r>
      <w:r w:rsidRPr="00A2302E">
        <w:rPr>
          <w:rFonts w:ascii="Times New Roman" w:hAnsi="Times New Roman" w:cs="Times New Roman"/>
          <w:sz w:val="24"/>
          <w:szCs w:val="24"/>
        </w:rPr>
        <w:tab/>
        <w:t xml:space="preserve">Ativos tangíveis (como estoques, instalações, terrenos e equipamentos), </w:t>
      </w:r>
      <w:r w:rsidR="003E4337" w:rsidRPr="00A2302E">
        <w:rPr>
          <w:rFonts w:ascii="Times New Roman" w:hAnsi="Times New Roman" w:cs="Times New Roman"/>
          <w:sz w:val="24"/>
          <w:szCs w:val="24"/>
          <w:u w:val="single"/>
        </w:rPr>
        <w:t>ativo de direito de uso e</w:t>
      </w:r>
      <w:r w:rsidRPr="00A2302E">
        <w:rPr>
          <w:rFonts w:ascii="Times New Roman" w:hAnsi="Times New Roman" w:cs="Times New Roman"/>
          <w:sz w:val="24"/>
          <w:szCs w:val="24"/>
        </w:rPr>
        <w:t xml:space="preserve"> ativos intangíveis (como patentes e marcas) não são ativos financeiros. O controle de tais ativos tangíveis, </w:t>
      </w:r>
      <w:r w:rsidR="003E4337" w:rsidRPr="00A2302E">
        <w:rPr>
          <w:rFonts w:ascii="Times New Roman" w:hAnsi="Times New Roman" w:cs="Times New Roman"/>
          <w:sz w:val="24"/>
          <w:szCs w:val="24"/>
          <w:u w:val="single"/>
        </w:rPr>
        <w:t>ativos de direito de uso e</w:t>
      </w:r>
      <w:r w:rsidRPr="00A2302E">
        <w:rPr>
          <w:rFonts w:ascii="Times New Roman" w:hAnsi="Times New Roman" w:cs="Times New Roman"/>
          <w:sz w:val="24"/>
          <w:szCs w:val="24"/>
        </w:rPr>
        <w:t xml:space="preserve"> ativos intangíveis criam a oportunidade de geração de caixa ou outro ativo financeiro, mas não dão direito ao recebimento de outro ativo financeiro ou caixa.</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lastRenderedPageBreak/>
        <w:t>AG36.</w:t>
      </w:r>
      <w:r w:rsidRPr="00A2302E">
        <w:rPr>
          <w:rFonts w:ascii="Times New Roman" w:hAnsi="Times New Roman" w:cs="Times New Roman"/>
          <w:sz w:val="24"/>
          <w:szCs w:val="24"/>
        </w:rPr>
        <w:tab/>
        <w:t xml:space="preserve">As ações da própria entidade não devem ser reconhecidas como ativo financeiro independentemente da razão pela qual elas foram adquiridas. O item 33 requer que a entidade que adquira suas próprias ações deduza esses instrumentos </w:t>
      </w:r>
      <w:r w:rsidR="00C32DE2">
        <w:rPr>
          <w:rFonts w:ascii="Times New Roman" w:hAnsi="Times New Roman" w:cs="Times New Roman"/>
          <w:sz w:val="24"/>
          <w:szCs w:val="24"/>
        </w:rPr>
        <w:t>patrimoniais</w:t>
      </w:r>
      <w:r w:rsidR="00C32DE2" w:rsidRPr="00A2302E">
        <w:rPr>
          <w:rFonts w:ascii="Times New Roman" w:hAnsi="Times New Roman" w:cs="Times New Roman"/>
          <w:sz w:val="24"/>
          <w:szCs w:val="24"/>
        </w:rPr>
        <w:t xml:space="preserve"> </w:t>
      </w:r>
      <w:r w:rsidRPr="00A2302E">
        <w:rPr>
          <w:rFonts w:ascii="Times New Roman" w:hAnsi="Times New Roman" w:cs="Times New Roman"/>
          <w:sz w:val="24"/>
          <w:szCs w:val="24"/>
        </w:rPr>
        <w:t xml:space="preserve">do patrimônio líquido </w:t>
      </w:r>
      <w:r w:rsidR="003E4337" w:rsidRPr="00A2302E">
        <w:rPr>
          <w:rFonts w:ascii="Times New Roman" w:hAnsi="Times New Roman" w:cs="Times New Roman"/>
          <w:sz w:val="24"/>
          <w:szCs w:val="24"/>
          <w:u w:val="single"/>
        </w:rPr>
        <w:t>(ver também o item 33A)</w:t>
      </w:r>
      <w:r w:rsidRPr="00A2302E">
        <w:rPr>
          <w:rFonts w:ascii="Times New Roman" w:hAnsi="Times New Roman" w:cs="Times New Roman"/>
          <w:sz w:val="24"/>
          <w:szCs w:val="24"/>
        </w:rPr>
        <w:t>. No entanto, quando a entidade mantém suas próprias ações em conta em nome de terceiros, como a instituição financeira que mantém suas próprias ações em nome do cliente, por exemplo, existe uma relação de agência e como resultado essas ações não devem ser incluídas no balanço patrimonial da entidade.</w:t>
      </w:r>
    </w:p>
    <w:p w:rsidR="004A0ED3" w:rsidRPr="00A2302E" w:rsidRDefault="004A0ED3" w:rsidP="004A4156">
      <w:pPr>
        <w:spacing w:after="0" w:line="240" w:lineRule="auto"/>
        <w:jc w:val="both"/>
        <w:rPr>
          <w:rFonts w:ascii="Times New Roman" w:hAnsi="Times New Roman" w:cs="Times New Roman"/>
          <w:sz w:val="24"/>
          <w:szCs w:val="24"/>
        </w:rPr>
      </w:pPr>
    </w:p>
    <w:p w:rsidR="00C2654C" w:rsidRPr="00A2302E" w:rsidRDefault="00C2654C" w:rsidP="004A4156">
      <w:pPr>
        <w:spacing w:after="0" w:line="240" w:lineRule="auto"/>
        <w:jc w:val="both"/>
        <w:rPr>
          <w:rFonts w:ascii="Times New Roman" w:hAnsi="Times New Roman" w:cs="Times New Roman"/>
          <w:sz w:val="24"/>
          <w:szCs w:val="24"/>
        </w:rPr>
      </w:pPr>
    </w:p>
    <w:p w:rsidR="00A2457C" w:rsidRPr="00A2302E" w:rsidRDefault="004A0ED3" w:rsidP="004A4156">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1</w:t>
      </w:r>
      <w:r w:rsidR="0098198E" w:rsidRPr="00A2302E">
        <w:rPr>
          <w:rFonts w:ascii="Times New Roman" w:hAnsi="Times New Roman" w:cs="Times New Roman"/>
          <w:b/>
          <w:sz w:val="24"/>
          <w:szCs w:val="24"/>
        </w:rPr>
        <w:t>9</w:t>
      </w:r>
      <w:r w:rsidR="008005DE" w:rsidRPr="00A2302E">
        <w:rPr>
          <w:rFonts w:ascii="Times New Roman" w:hAnsi="Times New Roman" w:cs="Times New Roman"/>
          <w:b/>
          <w:sz w:val="24"/>
          <w:szCs w:val="24"/>
        </w:rPr>
        <w:t xml:space="preserve">. </w:t>
      </w:r>
      <w:r w:rsidR="008005DE" w:rsidRPr="00A2302E">
        <w:rPr>
          <w:rFonts w:ascii="Times New Roman" w:hAnsi="Times New Roman" w:cs="Times New Roman"/>
          <w:b/>
          <w:sz w:val="24"/>
          <w:szCs w:val="24"/>
        </w:rPr>
        <w:tab/>
        <w:t>Altera os itens 29 e B11D no CPC 40 (R1) – Instrumentos Financeiros: Evidenciação, que passam a vigorar com as seguintes redações:</w:t>
      </w:r>
    </w:p>
    <w:p w:rsidR="000142A0" w:rsidRPr="00A2302E" w:rsidRDefault="000142A0" w:rsidP="000142A0">
      <w:pPr>
        <w:spacing w:after="0" w:line="240" w:lineRule="auto"/>
        <w:jc w:val="both"/>
        <w:rPr>
          <w:rFonts w:ascii="Times New Roman" w:hAnsi="Times New Roman" w:cs="Times New Roman"/>
          <w:sz w:val="24"/>
          <w:szCs w:val="24"/>
        </w:rPr>
      </w:pPr>
    </w:p>
    <w:p w:rsidR="000142A0" w:rsidRPr="000142A0" w:rsidRDefault="000142A0" w:rsidP="000142A0">
      <w:pPr>
        <w:pStyle w:val="Textoembloco"/>
        <w:spacing w:before="0" w:after="120" w:line="240" w:lineRule="auto"/>
        <w:ind w:left="567" w:right="-1" w:hanging="567"/>
        <w:jc w:val="both"/>
        <w:rPr>
          <w:rFonts w:ascii="Times New Roman" w:hAnsi="Times New Roman"/>
          <w:sz w:val="24"/>
          <w:lang w:val="pt-BR"/>
        </w:rPr>
      </w:pPr>
      <w:r w:rsidRPr="000142A0">
        <w:rPr>
          <w:rFonts w:ascii="Times New Roman" w:hAnsi="Times New Roman"/>
          <w:sz w:val="24"/>
          <w:lang w:val="pt-BR"/>
        </w:rPr>
        <w:t>29.</w:t>
      </w:r>
      <w:r w:rsidRPr="000142A0">
        <w:rPr>
          <w:rFonts w:ascii="Times New Roman" w:hAnsi="Times New Roman"/>
          <w:sz w:val="24"/>
          <w:lang w:val="pt-BR"/>
        </w:rPr>
        <w:tab/>
        <w:t>Divulgações de valor justo não são exigidas:</w:t>
      </w:r>
    </w:p>
    <w:p w:rsidR="000142A0" w:rsidRPr="000142A0" w:rsidRDefault="000142A0" w:rsidP="000142A0">
      <w:pPr>
        <w:widowControl w:val="0"/>
        <w:numPr>
          <w:ilvl w:val="0"/>
          <w:numId w:val="6"/>
        </w:numPr>
        <w:tabs>
          <w:tab w:val="clear" w:pos="1070"/>
        </w:tabs>
        <w:spacing w:after="120" w:line="240" w:lineRule="auto"/>
        <w:ind w:left="993" w:right="-1" w:hanging="426"/>
        <w:jc w:val="both"/>
        <w:rPr>
          <w:rFonts w:ascii="Times New Roman" w:hAnsi="Times New Roman" w:cs="Times New Roman"/>
          <w:bCs/>
          <w:iCs/>
          <w:sz w:val="24"/>
          <w:szCs w:val="24"/>
        </w:rPr>
      </w:pPr>
      <w:r>
        <w:rPr>
          <w:rFonts w:ascii="Times New Roman" w:hAnsi="Times New Roman" w:cs="Times New Roman"/>
          <w:bCs/>
          <w:iCs/>
          <w:sz w:val="24"/>
          <w:szCs w:val="24"/>
        </w:rPr>
        <w:t>(...)</w:t>
      </w:r>
    </w:p>
    <w:p w:rsidR="000142A0" w:rsidRPr="00041038" w:rsidRDefault="00041038" w:rsidP="00041038">
      <w:pPr>
        <w:widowControl w:val="0"/>
        <w:spacing w:after="120" w:line="240" w:lineRule="auto"/>
        <w:ind w:left="993" w:right="-1" w:hanging="426"/>
        <w:jc w:val="both"/>
        <w:rPr>
          <w:rFonts w:ascii="Times New Roman" w:hAnsi="Times New Roman" w:cs="Times New Roman"/>
          <w:bCs/>
          <w:iCs/>
          <w:strike/>
          <w:sz w:val="24"/>
          <w:szCs w:val="24"/>
          <w:u w:val="single"/>
        </w:rPr>
      </w:pPr>
      <w:r>
        <w:rPr>
          <w:rFonts w:ascii="Times New Roman" w:hAnsi="Times New Roman" w:cs="Times New Roman"/>
          <w:bCs/>
          <w:iCs/>
          <w:sz w:val="24"/>
          <w:szCs w:val="24"/>
        </w:rPr>
        <w:t xml:space="preserve">(c) </w:t>
      </w:r>
      <w:r>
        <w:rPr>
          <w:rFonts w:ascii="Times New Roman" w:hAnsi="Times New Roman" w:cs="Times New Roman"/>
          <w:bCs/>
          <w:iCs/>
          <w:sz w:val="24"/>
          <w:szCs w:val="24"/>
        </w:rPr>
        <w:tab/>
      </w:r>
      <w:r w:rsidR="000142A0" w:rsidRPr="00041038">
        <w:rPr>
          <w:rFonts w:ascii="Times New Roman" w:hAnsi="Times New Roman" w:cs="Times New Roman"/>
          <w:bCs/>
          <w:iCs/>
          <w:sz w:val="24"/>
          <w:szCs w:val="24"/>
        </w:rPr>
        <w:t xml:space="preserve">para contrato que contenha característica de participação discricionária (como descrito no CPC 11 – Contratos de Seguro) se o valor justo dessa característica não puder ser mensurado de maneira confiável; </w:t>
      </w:r>
      <w:r w:rsidR="000142A0" w:rsidRPr="00041038">
        <w:rPr>
          <w:rFonts w:ascii="Times New Roman" w:hAnsi="Times New Roman" w:cs="Times New Roman"/>
          <w:bCs/>
          <w:iCs/>
          <w:sz w:val="24"/>
          <w:szCs w:val="24"/>
          <w:u w:val="single"/>
        </w:rPr>
        <w:t>ou</w:t>
      </w:r>
    </w:p>
    <w:p w:rsidR="004E195B" w:rsidRPr="004E195B" w:rsidRDefault="004E195B" w:rsidP="000142A0">
      <w:pPr>
        <w:spacing w:after="0" w:line="240" w:lineRule="auto"/>
        <w:ind w:left="993" w:hanging="426"/>
        <w:jc w:val="both"/>
        <w:rPr>
          <w:rFonts w:ascii="Times New Roman" w:hAnsi="Times New Roman" w:cs="Times New Roman"/>
          <w:sz w:val="24"/>
          <w:szCs w:val="24"/>
          <w:u w:val="single"/>
        </w:rPr>
      </w:pPr>
      <w:r w:rsidRPr="004E195B">
        <w:rPr>
          <w:rFonts w:ascii="Times New Roman" w:hAnsi="Times New Roman" w:cs="Times New Roman"/>
          <w:sz w:val="24"/>
          <w:szCs w:val="24"/>
          <w:u w:val="single"/>
        </w:rPr>
        <w:t xml:space="preserve">(d) </w:t>
      </w:r>
      <w:r w:rsidR="000142A0">
        <w:rPr>
          <w:rFonts w:ascii="Times New Roman" w:hAnsi="Times New Roman" w:cs="Times New Roman"/>
          <w:sz w:val="24"/>
          <w:szCs w:val="24"/>
          <w:u w:val="single"/>
        </w:rPr>
        <w:tab/>
      </w:r>
      <w:r w:rsidRPr="004E195B">
        <w:rPr>
          <w:rFonts w:ascii="Times New Roman" w:hAnsi="Times New Roman" w:cs="Times New Roman"/>
          <w:sz w:val="24"/>
          <w:szCs w:val="24"/>
          <w:u w:val="single"/>
        </w:rPr>
        <w:t>para passivos de arrendamento.</w:t>
      </w:r>
    </w:p>
    <w:p w:rsidR="00641A37" w:rsidRDefault="00641A37" w:rsidP="004A4156">
      <w:pPr>
        <w:spacing w:after="0" w:line="240" w:lineRule="auto"/>
        <w:jc w:val="both"/>
        <w:rPr>
          <w:rFonts w:ascii="Times New Roman" w:hAnsi="Times New Roman" w:cs="Times New Roman"/>
          <w:sz w:val="24"/>
          <w:szCs w:val="24"/>
        </w:rPr>
      </w:pPr>
    </w:p>
    <w:p w:rsidR="007B7AFB" w:rsidRPr="00641A37" w:rsidRDefault="007B7AFB" w:rsidP="007B7AFB">
      <w:pPr>
        <w:spacing w:after="0" w:line="240" w:lineRule="auto"/>
        <w:jc w:val="both"/>
        <w:rPr>
          <w:rFonts w:ascii="Times New Roman" w:hAnsi="Times New Roman" w:cs="Times New Roman"/>
          <w:sz w:val="24"/>
          <w:szCs w:val="24"/>
        </w:rPr>
      </w:pPr>
      <w:r w:rsidRPr="00641A37">
        <w:rPr>
          <w:rFonts w:ascii="Times New Roman" w:hAnsi="Times New Roman" w:cs="Times New Roman"/>
          <w:sz w:val="24"/>
          <w:szCs w:val="24"/>
        </w:rPr>
        <w:t>B11D.</w:t>
      </w:r>
      <w:r w:rsidRPr="00641A37">
        <w:rPr>
          <w:rFonts w:ascii="Times New Roman" w:hAnsi="Times New Roman" w:cs="Times New Roman"/>
          <w:sz w:val="24"/>
          <w:szCs w:val="24"/>
        </w:rPr>
        <w:tab/>
        <w:t>Os montantes contratuais evidenciados na análise de vencimentos requerido pelo item 39(a) e (b) são os fluxos de caixa contratuais não descontados, por exemplo:</w:t>
      </w:r>
    </w:p>
    <w:p w:rsidR="007B7AFB" w:rsidRPr="00641A37" w:rsidRDefault="007B7AFB" w:rsidP="007B7AFB">
      <w:pPr>
        <w:spacing w:after="0" w:line="240" w:lineRule="auto"/>
        <w:jc w:val="both"/>
        <w:rPr>
          <w:rFonts w:ascii="Times New Roman" w:hAnsi="Times New Roman" w:cs="Times New Roman"/>
          <w:sz w:val="24"/>
          <w:szCs w:val="24"/>
        </w:rPr>
      </w:pPr>
      <w:r w:rsidRPr="00641A37">
        <w:rPr>
          <w:rFonts w:ascii="Times New Roman" w:hAnsi="Times New Roman" w:cs="Times New Roman"/>
          <w:sz w:val="24"/>
          <w:szCs w:val="24"/>
        </w:rPr>
        <w:t>(a)</w:t>
      </w:r>
      <w:r w:rsidRPr="00641A37">
        <w:rPr>
          <w:rFonts w:ascii="Times New Roman" w:hAnsi="Times New Roman" w:cs="Times New Roman"/>
          <w:sz w:val="24"/>
          <w:szCs w:val="24"/>
        </w:rPr>
        <w:tab/>
      </w:r>
      <w:r w:rsidR="003E4337" w:rsidRPr="003E4337">
        <w:rPr>
          <w:rFonts w:ascii="Times New Roman" w:hAnsi="Times New Roman" w:cs="Times New Roman"/>
          <w:sz w:val="24"/>
          <w:szCs w:val="24"/>
          <w:u w:val="single"/>
        </w:rPr>
        <w:t>passivos brutos de arrendamento</w:t>
      </w:r>
      <w:r w:rsidRPr="00641A37">
        <w:rPr>
          <w:rFonts w:ascii="Times New Roman" w:hAnsi="Times New Roman" w:cs="Times New Roman"/>
          <w:sz w:val="24"/>
          <w:szCs w:val="24"/>
        </w:rPr>
        <w:t xml:space="preserve"> (antes de deduzir os encargos financeiros);</w:t>
      </w:r>
    </w:p>
    <w:p w:rsidR="007B7AFB" w:rsidRPr="0058334A" w:rsidRDefault="007B7AFB" w:rsidP="007B7AFB">
      <w:pPr>
        <w:spacing w:after="0" w:line="240" w:lineRule="auto"/>
        <w:jc w:val="both"/>
        <w:rPr>
          <w:rFonts w:ascii="Times New Roman" w:hAnsi="Times New Roman" w:cs="Times New Roman"/>
          <w:sz w:val="24"/>
          <w:szCs w:val="24"/>
        </w:rPr>
      </w:pPr>
      <w:r w:rsidRPr="0058334A">
        <w:rPr>
          <w:rFonts w:ascii="Times New Roman" w:hAnsi="Times New Roman" w:cs="Times New Roman"/>
          <w:sz w:val="24"/>
          <w:szCs w:val="24"/>
        </w:rPr>
        <w:t>(b) (...)</w:t>
      </w:r>
    </w:p>
    <w:p w:rsidR="00A2457C" w:rsidRDefault="00A2457C" w:rsidP="004A4156">
      <w:pPr>
        <w:spacing w:after="0" w:line="240" w:lineRule="auto"/>
        <w:jc w:val="both"/>
        <w:rPr>
          <w:rFonts w:ascii="Times New Roman" w:hAnsi="Times New Roman" w:cs="Times New Roman"/>
          <w:sz w:val="24"/>
          <w:szCs w:val="24"/>
        </w:rPr>
      </w:pPr>
    </w:p>
    <w:p w:rsidR="004A0ED3" w:rsidRPr="004A0ED3" w:rsidRDefault="004A0ED3" w:rsidP="004A0ED3">
      <w:pPr>
        <w:spacing w:after="0" w:line="240" w:lineRule="auto"/>
        <w:jc w:val="both"/>
        <w:rPr>
          <w:rFonts w:ascii="Times New Roman" w:hAnsi="Times New Roman" w:cs="Times New Roman"/>
          <w:b/>
          <w:sz w:val="24"/>
          <w:szCs w:val="24"/>
        </w:rPr>
      </w:pPr>
    </w:p>
    <w:p w:rsidR="004A0ED3" w:rsidRPr="004A0ED3" w:rsidRDefault="0098198E" w:rsidP="004A0E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4A0ED3" w:rsidRPr="004A0ED3">
        <w:rPr>
          <w:rFonts w:ascii="Times New Roman" w:hAnsi="Times New Roman" w:cs="Times New Roman"/>
          <w:b/>
          <w:sz w:val="24"/>
          <w:szCs w:val="24"/>
        </w:rPr>
        <w:t xml:space="preserve">. </w:t>
      </w:r>
      <w:r w:rsidR="004A0ED3" w:rsidRPr="004A0ED3">
        <w:rPr>
          <w:rFonts w:ascii="Times New Roman" w:hAnsi="Times New Roman" w:cs="Times New Roman"/>
          <w:b/>
          <w:sz w:val="24"/>
          <w:szCs w:val="24"/>
        </w:rPr>
        <w:tab/>
        <w:t xml:space="preserve">Altera os itens 97, B66 e B70 </w:t>
      </w:r>
      <w:r w:rsidR="00CE3152">
        <w:rPr>
          <w:rFonts w:ascii="Times New Roman" w:hAnsi="Times New Roman" w:cs="Times New Roman"/>
          <w:b/>
          <w:sz w:val="24"/>
          <w:szCs w:val="24"/>
        </w:rPr>
        <w:t>e s</w:t>
      </w:r>
      <w:r w:rsidR="00CE3152" w:rsidRPr="007F0317">
        <w:rPr>
          <w:rFonts w:ascii="Times New Roman" w:hAnsi="Times New Roman" w:cs="Times New Roman"/>
          <w:b/>
          <w:sz w:val="24"/>
          <w:szCs w:val="24"/>
        </w:rPr>
        <w:t>ubstitui a expressão “</w:t>
      </w:r>
      <w:proofErr w:type="gramStart"/>
      <w:r w:rsidR="00CE3152" w:rsidRPr="007F0317">
        <w:rPr>
          <w:rFonts w:ascii="Times New Roman" w:hAnsi="Times New Roman" w:cs="Times New Roman"/>
          <w:b/>
          <w:sz w:val="24"/>
          <w:szCs w:val="24"/>
        </w:rPr>
        <w:t>obrigação(</w:t>
      </w:r>
      <w:proofErr w:type="spellStart"/>
      <w:proofErr w:type="gramEnd"/>
      <w:r w:rsidR="00CE3152" w:rsidRPr="007F0317">
        <w:rPr>
          <w:rFonts w:ascii="Times New Roman" w:hAnsi="Times New Roman" w:cs="Times New Roman"/>
          <w:b/>
          <w:sz w:val="24"/>
          <w:szCs w:val="24"/>
        </w:rPr>
        <w:t>ões</w:t>
      </w:r>
      <w:proofErr w:type="spellEnd"/>
      <w:r w:rsidR="00CE3152" w:rsidRPr="007F0317">
        <w:rPr>
          <w:rFonts w:ascii="Times New Roman" w:hAnsi="Times New Roman" w:cs="Times New Roman"/>
          <w:b/>
          <w:sz w:val="24"/>
          <w:szCs w:val="24"/>
        </w:rPr>
        <w:t>) de desempenho” por “obrigação(</w:t>
      </w:r>
      <w:proofErr w:type="spellStart"/>
      <w:r w:rsidR="00CE3152" w:rsidRPr="007F0317">
        <w:rPr>
          <w:rFonts w:ascii="Times New Roman" w:hAnsi="Times New Roman" w:cs="Times New Roman"/>
          <w:b/>
          <w:sz w:val="24"/>
          <w:szCs w:val="24"/>
        </w:rPr>
        <w:t>ões</w:t>
      </w:r>
      <w:proofErr w:type="spellEnd"/>
      <w:r w:rsidR="00CE3152" w:rsidRPr="007F0317">
        <w:rPr>
          <w:rFonts w:ascii="Times New Roman" w:hAnsi="Times New Roman" w:cs="Times New Roman"/>
          <w:b/>
          <w:sz w:val="24"/>
          <w:szCs w:val="24"/>
        </w:rPr>
        <w:t xml:space="preserve">) de </w:t>
      </w:r>
      <w:r w:rsidR="00922CDD" w:rsidRPr="00922CDD">
        <w:rPr>
          <w:rFonts w:ascii="Times New Roman" w:hAnsi="Times New Roman" w:cs="Times New Roman"/>
          <w:b/>
          <w:i/>
          <w:sz w:val="24"/>
          <w:szCs w:val="24"/>
        </w:rPr>
        <w:t>performance</w:t>
      </w:r>
      <w:r w:rsidR="00CE3152" w:rsidRPr="007F0317">
        <w:rPr>
          <w:rFonts w:ascii="Times New Roman" w:hAnsi="Times New Roman" w:cs="Times New Roman"/>
          <w:b/>
          <w:sz w:val="24"/>
          <w:szCs w:val="24"/>
        </w:rPr>
        <w:t>” no CPC 47 – Receita de Contrato com Cliente</w:t>
      </w:r>
      <w:r w:rsidR="004A0ED3" w:rsidRPr="004A0ED3">
        <w:rPr>
          <w:rFonts w:ascii="Times New Roman" w:hAnsi="Times New Roman" w:cs="Times New Roman"/>
          <w:b/>
          <w:sz w:val="24"/>
          <w:szCs w:val="24"/>
        </w:rPr>
        <w:t>, que passam a vigorar com as seguintes redações:</w:t>
      </w:r>
    </w:p>
    <w:p w:rsidR="004A0ED3" w:rsidRPr="004A0ED3" w:rsidRDefault="004A0ED3" w:rsidP="004A0ED3">
      <w:pPr>
        <w:spacing w:after="0" w:line="240" w:lineRule="auto"/>
        <w:jc w:val="both"/>
        <w:rPr>
          <w:rFonts w:ascii="Times New Roman" w:hAnsi="Times New Roman" w:cs="Times New Roman"/>
          <w:sz w:val="24"/>
          <w:szCs w:val="24"/>
        </w:rPr>
      </w:pPr>
    </w:p>
    <w:p w:rsidR="004A0ED3" w:rsidRPr="004A0ED3" w:rsidRDefault="004A0ED3" w:rsidP="004A0ED3">
      <w:pPr>
        <w:spacing w:after="0" w:line="240" w:lineRule="auto"/>
        <w:jc w:val="both"/>
        <w:rPr>
          <w:rFonts w:ascii="Times New Roman" w:hAnsi="Times New Roman" w:cs="Times New Roman"/>
          <w:sz w:val="24"/>
          <w:szCs w:val="24"/>
        </w:rPr>
      </w:pPr>
      <w:r w:rsidRPr="004A0ED3">
        <w:rPr>
          <w:rFonts w:ascii="Times New Roman" w:hAnsi="Times New Roman" w:cs="Times New Roman"/>
          <w:sz w:val="24"/>
          <w:szCs w:val="24"/>
        </w:rPr>
        <w:t>97.</w:t>
      </w:r>
      <w:r w:rsidRPr="004A0ED3">
        <w:rPr>
          <w:rFonts w:ascii="Times New Roman" w:hAnsi="Times New Roman" w:cs="Times New Roman"/>
          <w:sz w:val="24"/>
          <w:szCs w:val="24"/>
        </w:rPr>
        <w:tab/>
        <w:t>Os custos que se referem diretamente ao contrato (ou ao contrato previsto específico) incluem quaisquer dos seguintes:</w:t>
      </w:r>
    </w:p>
    <w:p w:rsidR="004A0ED3" w:rsidRPr="004A0ED3" w:rsidRDefault="004A0ED3" w:rsidP="004A0ED3">
      <w:pPr>
        <w:spacing w:after="0" w:line="240" w:lineRule="auto"/>
        <w:jc w:val="both"/>
        <w:rPr>
          <w:rFonts w:ascii="Times New Roman" w:hAnsi="Times New Roman" w:cs="Times New Roman"/>
          <w:sz w:val="24"/>
          <w:szCs w:val="24"/>
        </w:rPr>
      </w:pPr>
      <w:r w:rsidRPr="004A0ED3">
        <w:rPr>
          <w:rFonts w:ascii="Times New Roman" w:hAnsi="Times New Roman" w:cs="Times New Roman"/>
          <w:sz w:val="24"/>
          <w:szCs w:val="24"/>
        </w:rPr>
        <w:t>(a) (...)</w:t>
      </w:r>
    </w:p>
    <w:p w:rsidR="004A0ED3" w:rsidRPr="004A0ED3" w:rsidRDefault="004A0ED3" w:rsidP="004A0ED3">
      <w:pPr>
        <w:spacing w:after="0" w:line="240" w:lineRule="auto"/>
        <w:jc w:val="both"/>
        <w:rPr>
          <w:rFonts w:ascii="Times New Roman" w:hAnsi="Times New Roman" w:cs="Times New Roman"/>
          <w:sz w:val="24"/>
          <w:szCs w:val="24"/>
        </w:rPr>
      </w:pPr>
      <w:r w:rsidRPr="004A0ED3">
        <w:rPr>
          <w:rFonts w:ascii="Times New Roman" w:hAnsi="Times New Roman" w:cs="Times New Roman"/>
          <w:sz w:val="24"/>
          <w:szCs w:val="24"/>
        </w:rPr>
        <w:t>(c)</w:t>
      </w:r>
      <w:r w:rsidRPr="004A0ED3">
        <w:rPr>
          <w:rFonts w:ascii="Times New Roman" w:hAnsi="Times New Roman" w:cs="Times New Roman"/>
          <w:sz w:val="24"/>
          <w:szCs w:val="24"/>
        </w:rPr>
        <w:tab/>
        <w:t xml:space="preserve">alocações de custos que se referem diretamente ao contrato ou a atividades do contrato (por exemplo, custos de gestão e supervisão do contrato, seguro e depreciação de ferramentas, equipamentos </w:t>
      </w:r>
      <w:r w:rsidR="003E4337" w:rsidRPr="003E4337">
        <w:rPr>
          <w:rFonts w:ascii="Times New Roman" w:hAnsi="Times New Roman" w:cs="Times New Roman"/>
          <w:sz w:val="24"/>
          <w:szCs w:val="24"/>
          <w:u w:val="single"/>
        </w:rPr>
        <w:t>e ativo de direito de uso</w:t>
      </w:r>
      <w:r w:rsidRPr="004A0ED3">
        <w:rPr>
          <w:rFonts w:ascii="Times New Roman" w:hAnsi="Times New Roman" w:cs="Times New Roman"/>
          <w:sz w:val="24"/>
          <w:szCs w:val="24"/>
        </w:rPr>
        <w:t xml:space="preserve"> utilizados no desempenho do contrato);</w:t>
      </w:r>
    </w:p>
    <w:p w:rsidR="004A0ED3" w:rsidRPr="004A0ED3" w:rsidRDefault="004A0ED3" w:rsidP="004A0ED3">
      <w:pPr>
        <w:spacing w:after="0" w:line="240" w:lineRule="auto"/>
        <w:jc w:val="both"/>
        <w:rPr>
          <w:rFonts w:ascii="Times New Roman" w:hAnsi="Times New Roman" w:cs="Times New Roman"/>
          <w:sz w:val="24"/>
          <w:szCs w:val="24"/>
        </w:rPr>
      </w:pPr>
      <w:r w:rsidRPr="004A0ED3">
        <w:rPr>
          <w:rFonts w:ascii="Times New Roman" w:hAnsi="Times New Roman" w:cs="Times New Roman"/>
          <w:sz w:val="24"/>
          <w:szCs w:val="24"/>
        </w:rPr>
        <w:t>(d) (...)</w:t>
      </w:r>
    </w:p>
    <w:p w:rsidR="004A0ED3" w:rsidRPr="004A0ED3" w:rsidRDefault="004A0ED3" w:rsidP="004A0ED3">
      <w:pPr>
        <w:spacing w:after="0" w:line="240" w:lineRule="auto"/>
        <w:jc w:val="both"/>
        <w:rPr>
          <w:rFonts w:ascii="Times New Roman" w:hAnsi="Times New Roman" w:cs="Times New Roman"/>
          <w:sz w:val="24"/>
          <w:szCs w:val="24"/>
        </w:rPr>
      </w:pPr>
    </w:p>
    <w:p w:rsidR="004A0ED3" w:rsidRPr="004A0ED3" w:rsidRDefault="004A0ED3" w:rsidP="004A0ED3">
      <w:pPr>
        <w:spacing w:after="0" w:line="240" w:lineRule="auto"/>
        <w:jc w:val="both"/>
        <w:rPr>
          <w:rFonts w:ascii="Times New Roman" w:hAnsi="Times New Roman" w:cs="Times New Roman"/>
          <w:sz w:val="24"/>
          <w:szCs w:val="24"/>
        </w:rPr>
      </w:pPr>
      <w:r w:rsidRPr="004A0ED3">
        <w:rPr>
          <w:rFonts w:ascii="Times New Roman" w:hAnsi="Times New Roman" w:cs="Times New Roman"/>
          <w:sz w:val="24"/>
          <w:szCs w:val="24"/>
        </w:rPr>
        <w:t>B66.</w:t>
      </w:r>
      <w:r w:rsidRPr="004A0ED3">
        <w:rPr>
          <w:rFonts w:ascii="Times New Roman" w:hAnsi="Times New Roman" w:cs="Times New Roman"/>
          <w:sz w:val="24"/>
          <w:szCs w:val="24"/>
        </w:rPr>
        <w:tab/>
        <w:t>Se a entidade tiver obrigação ou direito de recomprar o ativo (opção de compra ou a termo), o cliente não obtém o controle do ativo porque está limitado em sua capacidade de direcionar o uso do ativo e de obter praticamente a totalidade dos benefícios remanescentes desse ativo, ainda que o cliente venha a ter a posse física do ativo. Consequentemente, a entidade deve contabilizar o contrato de uma das seguintes formas:</w:t>
      </w:r>
    </w:p>
    <w:p w:rsidR="004A0ED3" w:rsidRPr="004A0ED3" w:rsidRDefault="004A0ED3" w:rsidP="004A0ED3">
      <w:pPr>
        <w:spacing w:after="0" w:line="240" w:lineRule="auto"/>
        <w:jc w:val="both"/>
        <w:rPr>
          <w:rFonts w:ascii="Times New Roman" w:hAnsi="Times New Roman" w:cs="Times New Roman"/>
          <w:sz w:val="24"/>
          <w:szCs w:val="24"/>
        </w:rPr>
      </w:pPr>
      <w:r w:rsidRPr="004A0ED3">
        <w:rPr>
          <w:rFonts w:ascii="Times New Roman" w:hAnsi="Times New Roman" w:cs="Times New Roman"/>
          <w:sz w:val="24"/>
          <w:szCs w:val="24"/>
        </w:rPr>
        <w:t>(a)</w:t>
      </w:r>
      <w:r w:rsidRPr="004A0ED3">
        <w:rPr>
          <w:rFonts w:ascii="Times New Roman" w:hAnsi="Times New Roman" w:cs="Times New Roman"/>
          <w:sz w:val="24"/>
          <w:szCs w:val="24"/>
        </w:rPr>
        <w:tab/>
        <w:t xml:space="preserve">arrendamento mercantil de acordo com o CPC 06, caso a entidade possa ou deva recomprar o ativo por valor inferior ao preço de venda original do ativo, </w:t>
      </w:r>
      <w:r w:rsidR="003E4337" w:rsidRPr="003E4337">
        <w:rPr>
          <w:rFonts w:ascii="Times New Roman" w:hAnsi="Times New Roman" w:cs="Times New Roman"/>
          <w:sz w:val="24"/>
          <w:szCs w:val="24"/>
          <w:u w:val="single"/>
        </w:rPr>
        <w:t>a menos que o contrato faça parte de transação de venda e retroarrendamento</w:t>
      </w:r>
      <w:r w:rsidR="00427A0D">
        <w:rPr>
          <w:rFonts w:ascii="Times New Roman" w:hAnsi="Times New Roman" w:cs="Times New Roman"/>
          <w:sz w:val="24"/>
          <w:szCs w:val="24"/>
          <w:u w:val="single"/>
        </w:rPr>
        <w:t xml:space="preserve"> (</w:t>
      </w:r>
      <w:proofErr w:type="spellStart"/>
      <w:r w:rsidR="00427A0D" w:rsidRPr="008257D6">
        <w:rPr>
          <w:rFonts w:ascii="Times New Roman" w:hAnsi="Times New Roman" w:cs="Times New Roman"/>
          <w:i/>
          <w:sz w:val="24"/>
          <w:szCs w:val="24"/>
          <w:u w:val="single"/>
        </w:rPr>
        <w:t>leaseback</w:t>
      </w:r>
      <w:proofErr w:type="spellEnd"/>
      <w:r w:rsidR="00427A0D">
        <w:rPr>
          <w:rFonts w:ascii="Times New Roman" w:hAnsi="Times New Roman" w:cs="Times New Roman"/>
          <w:sz w:val="24"/>
          <w:szCs w:val="24"/>
          <w:u w:val="single"/>
        </w:rPr>
        <w:t>)</w:t>
      </w:r>
      <w:r w:rsidR="003E4337" w:rsidRPr="003E4337">
        <w:rPr>
          <w:rFonts w:ascii="Times New Roman" w:hAnsi="Times New Roman" w:cs="Times New Roman"/>
          <w:sz w:val="24"/>
          <w:szCs w:val="24"/>
          <w:u w:val="single"/>
        </w:rPr>
        <w:t>. Se o contrato for parte de transação de venda e retroarrendamento</w:t>
      </w:r>
      <w:r w:rsidR="00427A0D">
        <w:rPr>
          <w:rFonts w:ascii="Times New Roman" w:hAnsi="Times New Roman" w:cs="Times New Roman"/>
          <w:sz w:val="24"/>
          <w:szCs w:val="24"/>
          <w:u w:val="single"/>
        </w:rPr>
        <w:t xml:space="preserve"> (</w:t>
      </w:r>
      <w:proofErr w:type="spellStart"/>
      <w:r w:rsidR="00427A0D" w:rsidRPr="008257D6">
        <w:rPr>
          <w:rFonts w:ascii="Times New Roman" w:hAnsi="Times New Roman" w:cs="Times New Roman"/>
          <w:i/>
          <w:sz w:val="24"/>
          <w:szCs w:val="24"/>
          <w:u w:val="single"/>
        </w:rPr>
        <w:t>leaseback</w:t>
      </w:r>
      <w:proofErr w:type="spellEnd"/>
      <w:r w:rsidR="00427A0D">
        <w:rPr>
          <w:rFonts w:ascii="Times New Roman" w:hAnsi="Times New Roman" w:cs="Times New Roman"/>
          <w:sz w:val="24"/>
          <w:szCs w:val="24"/>
          <w:u w:val="single"/>
        </w:rPr>
        <w:t>)</w:t>
      </w:r>
      <w:r w:rsidR="003E4337" w:rsidRPr="003E4337">
        <w:rPr>
          <w:rFonts w:ascii="Times New Roman" w:hAnsi="Times New Roman" w:cs="Times New Roman"/>
          <w:sz w:val="24"/>
          <w:szCs w:val="24"/>
          <w:u w:val="single"/>
        </w:rPr>
        <w:t>, a entidade deve continuar a reconhecer o ativo e deve reconhecer o passivo financeiro para qualquer contraprestação recebida do cliente. A entidade deve contabilizar o passivo financeiro de acordo com o CPC 48;</w:t>
      </w:r>
      <w:r w:rsidRPr="004A0ED3">
        <w:rPr>
          <w:rFonts w:ascii="Times New Roman" w:hAnsi="Times New Roman" w:cs="Times New Roman"/>
          <w:sz w:val="24"/>
          <w:szCs w:val="24"/>
        </w:rPr>
        <w:t xml:space="preserve"> ou</w:t>
      </w:r>
    </w:p>
    <w:p w:rsidR="004A0ED3" w:rsidRPr="004A0ED3" w:rsidRDefault="004A0ED3" w:rsidP="004A0ED3">
      <w:pPr>
        <w:spacing w:after="0" w:line="240" w:lineRule="auto"/>
        <w:jc w:val="both"/>
        <w:rPr>
          <w:rFonts w:ascii="Times New Roman" w:hAnsi="Times New Roman" w:cs="Times New Roman"/>
          <w:sz w:val="24"/>
          <w:szCs w:val="24"/>
        </w:rPr>
      </w:pPr>
      <w:r w:rsidRPr="004A0ED3">
        <w:rPr>
          <w:rFonts w:ascii="Times New Roman" w:hAnsi="Times New Roman" w:cs="Times New Roman"/>
          <w:sz w:val="24"/>
          <w:szCs w:val="24"/>
        </w:rPr>
        <w:t>(b) (...)</w:t>
      </w:r>
    </w:p>
    <w:p w:rsidR="004A0ED3" w:rsidRPr="004A0ED3" w:rsidRDefault="004A0ED3" w:rsidP="004A0ED3">
      <w:pPr>
        <w:spacing w:after="0" w:line="240" w:lineRule="auto"/>
        <w:jc w:val="both"/>
        <w:rPr>
          <w:rFonts w:ascii="Times New Roman" w:hAnsi="Times New Roman" w:cs="Times New Roman"/>
          <w:sz w:val="24"/>
          <w:szCs w:val="24"/>
        </w:rPr>
      </w:pPr>
    </w:p>
    <w:p w:rsidR="004A0ED3" w:rsidRPr="004A0ED3" w:rsidRDefault="004A0ED3" w:rsidP="004A0ED3">
      <w:pPr>
        <w:spacing w:after="0" w:line="240" w:lineRule="auto"/>
        <w:jc w:val="both"/>
        <w:rPr>
          <w:rFonts w:ascii="Times New Roman" w:hAnsi="Times New Roman" w:cs="Times New Roman"/>
          <w:sz w:val="24"/>
          <w:szCs w:val="24"/>
        </w:rPr>
      </w:pPr>
      <w:r w:rsidRPr="004A0ED3">
        <w:rPr>
          <w:rFonts w:ascii="Times New Roman" w:hAnsi="Times New Roman" w:cs="Times New Roman"/>
          <w:sz w:val="24"/>
          <w:szCs w:val="24"/>
        </w:rPr>
        <w:lastRenderedPageBreak/>
        <w:t>B70.</w:t>
      </w:r>
      <w:r w:rsidRPr="004A0ED3">
        <w:rPr>
          <w:rFonts w:ascii="Times New Roman" w:hAnsi="Times New Roman" w:cs="Times New Roman"/>
          <w:sz w:val="24"/>
          <w:szCs w:val="24"/>
        </w:rPr>
        <w:tab/>
        <w:t xml:space="preserve">Se a entidade tiver a obrigação de recomprar o ativo a pedido do cliente (opção de venda) ao preço que seja inferior ao preço de venda original do ativo, a entidade deve considerar, no início do contrato, se o cliente tem incentivo econômico significativo para exercer esse direito. O exercício desse direito pelo cliente resultará no fato de o cliente efetivamente pagar a contraprestação à entidade pelo direito de utilizar o ativo específico por um período de tempo. Portanto, se o cliente tiver incentivo econômico significativo para exercer esse direito, a entidade deve contabilizar o acordo como arrendamento mercantil de acordo com o CPC 06, </w:t>
      </w:r>
      <w:r w:rsidR="003E4337" w:rsidRPr="003E4337">
        <w:rPr>
          <w:rFonts w:ascii="Times New Roman" w:hAnsi="Times New Roman" w:cs="Times New Roman"/>
          <w:sz w:val="24"/>
          <w:szCs w:val="24"/>
          <w:u w:val="single"/>
        </w:rPr>
        <w:t>a menos que o contrato faça parte de transação de venda e retroarrendamento</w:t>
      </w:r>
      <w:r w:rsidR="00427A0D">
        <w:rPr>
          <w:rFonts w:ascii="Times New Roman" w:hAnsi="Times New Roman" w:cs="Times New Roman"/>
          <w:sz w:val="24"/>
          <w:szCs w:val="24"/>
          <w:u w:val="single"/>
        </w:rPr>
        <w:t xml:space="preserve"> (</w:t>
      </w:r>
      <w:proofErr w:type="spellStart"/>
      <w:r w:rsidR="00427A0D" w:rsidRPr="008257D6">
        <w:rPr>
          <w:rFonts w:ascii="Times New Roman" w:hAnsi="Times New Roman" w:cs="Times New Roman"/>
          <w:i/>
          <w:sz w:val="24"/>
          <w:szCs w:val="24"/>
          <w:u w:val="single"/>
        </w:rPr>
        <w:t>leaseback</w:t>
      </w:r>
      <w:proofErr w:type="spellEnd"/>
      <w:r w:rsidR="00427A0D">
        <w:rPr>
          <w:rFonts w:ascii="Times New Roman" w:hAnsi="Times New Roman" w:cs="Times New Roman"/>
          <w:sz w:val="24"/>
          <w:szCs w:val="24"/>
          <w:u w:val="single"/>
        </w:rPr>
        <w:t>)</w:t>
      </w:r>
      <w:r w:rsidR="003E4337" w:rsidRPr="003E4337">
        <w:rPr>
          <w:rFonts w:ascii="Times New Roman" w:hAnsi="Times New Roman" w:cs="Times New Roman"/>
          <w:sz w:val="24"/>
          <w:szCs w:val="24"/>
          <w:u w:val="single"/>
        </w:rPr>
        <w:t>. Se o contrato for parte de transação de venda e retroarrendamento</w:t>
      </w:r>
      <w:r w:rsidR="00427A0D">
        <w:rPr>
          <w:rFonts w:ascii="Times New Roman" w:hAnsi="Times New Roman" w:cs="Times New Roman"/>
          <w:sz w:val="24"/>
          <w:szCs w:val="24"/>
          <w:u w:val="single"/>
        </w:rPr>
        <w:t xml:space="preserve"> (</w:t>
      </w:r>
      <w:proofErr w:type="spellStart"/>
      <w:r w:rsidR="00427A0D" w:rsidRPr="008257D6">
        <w:rPr>
          <w:rFonts w:ascii="Times New Roman" w:hAnsi="Times New Roman" w:cs="Times New Roman"/>
          <w:i/>
          <w:sz w:val="24"/>
          <w:szCs w:val="24"/>
          <w:u w:val="single"/>
        </w:rPr>
        <w:t>leaseback</w:t>
      </w:r>
      <w:proofErr w:type="spellEnd"/>
      <w:r w:rsidR="00427A0D">
        <w:rPr>
          <w:rFonts w:ascii="Times New Roman" w:hAnsi="Times New Roman" w:cs="Times New Roman"/>
          <w:sz w:val="24"/>
          <w:szCs w:val="24"/>
          <w:u w:val="single"/>
        </w:rPr>
        <w:t>)</w:t>
      </w:r>
      <w:r w:rsidR="003E4337" w:rsidRPr="003E4337">
        <w:rPr>
          <w:rFonts w:ascii="Times New Roman" w:hAnsi="Times New Roman" w:cs="Times New Roman"/>
          <w:sz w:val="24"/>
          <w:szCs w:val="24"/>
          <w:u w:val="single"/>
        </w:rPr>
        <w:t>, a entidade deve continuar a reconhecer o ativo e deve reconhecer o passivo financeiro para qualquer contraprestação recebida do cliente. A entidade deve contabilizar o passivo financeiro de acordo com o CPC 48</w:t>
      </w:r>
      <w:r w:rsidRPr="004A0ED3">
        <w:rPr>
          <w:rFonts w:ascii="Times New Roman" w:hAnsi="Times New Roman" w:cs="Times New Roman"/>
          <w:sz w:val="24"/>
          <w:szCs w:val="24"/>
        </w:rPr>
        <w:t>.</w:t>
      </w:r>
    </w:p>
    <w:p w:rsidR="004A0ED3" w:rsidRDefault="004A0ED3" w:rsidP="004A4156">
      <w:pPr>
        <w:spacing w:after="0" w:line="240" w:lineRule="auto"/>
        <w:jc w:val="both"/>
        <w:rPr>
          <w:rFonts w:ascii="Times New Roman" w:hAnsi="Times New Roman" w:cs="Times New Roman"/>
          <w:sz w:val="24"/>
          <w:szCs w:val="24"/>
        </w:rPr>
      </w:pPr>
    </w:p>
    <w:p w:rsidR="004A0ED3" w:rsidRDefault="004A0ED3" w:rsidP="004A4156">
      <w:pPr>
        <w:spacing w:after="0" w:line="240" w:lineRule="auto"/>
        <w:jc w:val="both"/>
        <w:rPr>
          <w:rFonts w:ascii="Times New Roman" w:hAnsi="Times New Roman" w:cs="Times New Roman"/>
          <w:sz w:val="24"/>
          <w:szCs w:val="24"/>
        </w:rPr>
      </w:pPr>
    </w:p>
    <w:p w:rsidR="0065091F" w:rsidRPr="0058334A" w:rsidRDefault="0065091F" w:rsidP="004A4156">
      <w:pPr>
        <w:spacing w:after="0" w:line="240" w:lineRule="auto"/>
        <w:jc w:val="both"/>
        <w:rPr>
          <w:rFonts w:ascii="Times New Roman" w:hAnsi="Times New Roman" w:cs="Times New Roman"/>
          <w:sz w:val="24"/>
          <w:szCs w:val="24"/>
        </w:rPr>
      </w:pPr>
    </w:p>
    <w:p w:rsidR="006D0AD9" w:rsidRDefault="006D0AD9" w:rsidP="004A4156">
      <w:pPr>
        <w:spacing w:after="0" w:line="240" w:lineRule="auto"/>
        <w:jc w:val="both"/>
        <w:rPr>
          <w:rFonts w:ascii="Times New Roman" w:hAnsi="Times New Roman" w:cs="Times New Roman"/>
          <w:sz w:val="24"/>
          <w:szCs w:val="24"/>
        </w:rPr>
      </w:pPr>
    </w:p>
    <w:p w:rsidR="0065091F" w:rsidRPr="0058334A" w:rsidRDefault="0065091F" w:rsidP="0065091F">
      <w:pPr>
        <w:spacing w:after="0" w:line="240" w:lineRule="auto"/>
        <w:rPr>
          <w:rFonts w:ascii="Times New Roman" w:eastAsia="Times New Roman" w:hAnsi="Times New Roman" w:cs="Times New Roman"/>
          <w:b/>
          <w:sz w:val="24"/>
          <w:lang w:eastAsia="pt-BR"/>
        </w:rPr>
      </w:pPr>
      <w:r w:rsidRPr="0058334A">
        <w:rPr>
          <w:rFonts w:ascii="Times New Roman" w:eastAsia="Times New Roman" w:hAnsi="Times New Roman" w:cs="Times New Roman"/>
          <w:b/>
          <w:sz w:val="24"/>
          <w:lang w:eastAsia="pt-BR"/>
        </w:rPr>
        <w:t>CPC 48 – Instrumentos Financeiros</w:t>
      </w:r>
    </w:p>
    <w:p w:rsidR="0065091F" w:rsidRPr="0058334A" w:rsidRDefault="0065091F" w:rsidP="0065091F">
      <w:pPr>
        <w:spacing w:after="0" w:line="240" w:lineRule="auto"/>
        <w:jc w:val="both"/>
        <w:rPr>
          <w:rFonts w:ascii="Times New Roman" w:eastAsia="Times New Roman" w:hAnsi="Times New Roman" w:cs="Times New Roman"/>
          <w:sz w:val="24"/>
          <w:lang w:eastAsia="pt-BR"/>
        </w:rPr>
      </w:pPr>
    </w:p>
    <w:p w:rsidR="0065091F" w:rsidRPr="00FE64DF" w:rsidRDefault="004A0ED3" w:rsidP="0065091F">
      <w:pPr>
        <w:autoSpaceDE w:val="0"/>
        <w:autoSpaceDN w:val="0"/>
        <w:adjustRightInd w:val="0"/>
        <w:spacing w:after="0" w:line="240" w:lineRule="auto"/>
        <w:ind w:left="567" w:hanging="567"/>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2</w:t>
      </w:r>
      <w:r w:rsidR="00CE3152">
        <w:rPr>
          <w:rFonts w:ascii="Times New Roman" w:eastAsia="Times New Roman" w:hAnsi="Times New Roman" w:cs="Times New Roman"/>
          <w:b/>
          <w:bCs/>
          <w:sz w:val="24"/>
          <w:szCs w:val="24"/>
          <w:lang w:eastAsia="pt-BR"/>
        </w:rPr>
        <w:t>1</w:t>
      </w:r>
      <w:r w:rsidR="0065091F">
        <w:rPr>
          <w:rFonts w:ascii="Times New Roman" w:eastAsia="Times New Roman" w:hAnsi="Times New Roman" w:cs="Times New Roman"/>
          <w:b/>
          <w:bCs/>
          <w:sz w:val="24"/>
          <w:szCs w:val="24"/>
          <w:lang w:eastAsia="pt-BR"/>
        </w:rPr>
        <w:t xml:space="preserve">. </w:t>
      </w:r>
      <w:r w:rsidR="0065091F">
        <w:rPr>
          <w:rFonts w:ascii="Times New Roman" w:eastAsia="Times New Roman" w:hAnsi="Times New Roman" w:cs="Times New Roman"/>
          <w:b/>
          <w:bCs/>
          <w:sz w:val="24"/>
          <w:szCs w:val="24"/>
          <w:lang w:eastAsia="pt-BR"/>
        </w:rPr>
        <w:tab/>
        <w:t xml:space="preserve">Altera os itens 2.1, 4.3.8, B4.1.11 </w:t>
      </w:r>
      <w:r w:rsidR="0033459C">
        <w:rPr>
          <w:rFonts w:ascii="Times New Roman" w:eastAsia="Times New Roman" w:hAnsi="Times New Roman" w:cs="Times New Roman"/>
          <w:b/>
          <w:bCs/>
          <w:sz w:val="24"/>
          <w:szCs w:val="24"/>
          <w:lang w:eastAsia="pt-BR"/>
        </w:rPr>
        <w:t xml:space="preserve">e </w:t>
      </w:r>
      <w:r w:rsidR="0065091F">
        <w:rPr>
          <w:rFonts w:ascii="Times New Roman" w:eastAsia="Times New Roman" w:hAnsi="Times New Roman" w:cs="Times New Roman"/>
          <w:b/>
          <w:bCs/>
          <w:sz w:val="24"/>
          <w:szCs w:val="24"/>
          <w:lang w:eastAsia="pt-BR"/>
        </w:rPr>
        <w:t>B4.1.12 e inclui os itens 7.2.29 a 7.2.34</w:t>
      </w:r>
      <w:r w:rsidR="0033459C">
        <w:rPr>
          <w:rFonts w:ascii="Times New Roman" w:eastAsia="Times New Roman" w:hAnsi="Times New Roman" w:cs="Times New Roman"/>
          <w:b/>
          <w:bCs/>
          <w:sz w:val="24"/>
          <w:szCs w:val="24"/>
          <w:lang w:eastAsia="pt-BR"/>
        </w:rPr>
        <w:t xml:space="preserve"> e seu título</w:t>
      </w:r>
      <w:r w:rsidR="0065091F">
        <w:rPr>
          <w:rFonts w:ascii="Times New Roman" w:eastAsia="Times New Roman" w:hAnsi="Times New Roman" w:cs="Times New Roman"/>
          <w:b/>
          <w:bCs/>
          <w:sz w:val="24"/>
          <w:szCs w:val="24"/>
          <w:lang w:eastAsia="pt-BR"/>
        </w:rPr>
        <w:t xml:space="preserve">, </w:t>
      </w:r>
      <w:r w:rsidR="0033459C">
        <w:rPr>
          <w:rFonts w:ascii="Times New Roman" w:eastAsia="Times New Roman" w:hAnsi="Times New Roman" w:cs="Times New Roman"/>
          <w:b/>
          <w:bCs/>
          <w:sz w:val="24"/>
          <w:szCs w:val="24"/>
          <w:lang w:eastAsia="pt-BR"/>
        </w:rPr>
        <w:t xml:space="preserve">e </w:t>
      </w:r>
      <w:r w:rsidR="0065091F">
        <w:rPr>
          <w:rFonts w:ascii="Times New Roman" w:eastAsia="Times New Roman" w:hAnsi="Times New Roman" w:cs="Times New Roman"/>
          <w:b/>
          <w:bCs/>
          <w:sz w:val="24"/>
          <w:szCs w:val="24"/>
          <w:lang w:eastAsia="pt-BR"/>
        </w:rPr>
        <w:t xml:space="preserve">B4.1.12A </w:t>
      </w:r>
      <w:r w:rsidR="0065091F" w:rsidRPr="00FE64DF">
        <w:rPr>
          <w:rFonts w:ascii="Times New Roman" w:eastAsia="Times New Roman" w:hAnsi="Times New Roman" w:cs="Times New Roman"/>
          <w:b/>
          <w:sz w:val="24"/>
          <w:szCs w:val="24"/>
          <w:lang w:eastAsia="pt-BR"/>
        </w:rPr>
        <w:t>no</w:t>
      </w:r>
      <w:r w:rsidR="0065091F" w:rsidRPr="00FE64DF">
        <w:rPr>
          <w:rFonts w:ascii="Times New Roman" w:eastAsia="Times New Roman" w:hAnsi="Times New Roman" w:cs="Times New Roman"/>
          <w:b/>
          <w:bCs/>
          <w:sz w:val="24"/>
          <w:szCs w:val="24"/>
          <w:lang w:eastAsia="pt-BR"/>
        </w:rPr>
        <w:t xml:space="preserve"> CPC </w:t>
      </w:r>
      <w:r w:rsidR="0065091F">
        <w:rPr>
          <w:rFonts w:ascii="Times New Roman" w:eastAsia="Times New Roman" w:hAnsi="Times New Roman" w:cs="Times New Roman"/>
          <w:b/>
          <w:bCs/>
          <w:sz w:val="24"/>
          <w:szCs w:val="24"/>
          <w:lang w:eastAsia="pt-BR"/>
        </w:rPr>
        <w:t>48</w:t>
      </w:r>
      <w:r w:rsidR="0065091F" w:rsidRPr="00FE64DF">
        <w:rPr>
          <w:rFonts w:ascii="Times New Roman" w:eastAsia="Times New Roman" w:hAnsi="Times New Roman" w:cs="Times New Roman"/>
          <w:b/>
          <w:bCs/>
          <w:sz w:val="24"/>
          <w:szCs w:val="24"/>
          <w:lang w:eastAsia="pt-BR"/>
        </w:rPr>
        <w:t xml:space="preserve"> – </w:t>
      </w:r>
      <w:r w:rsidR="0065091F">
        <w:rPr>
          <w:rFonts w:ascii="Times New Roman" w:eastAsia="Times New Roman" w:hAnsi="Times New Roman" w:cs="Times New Roman"/>
          <w:b/>
          <w:bCs/>
          <w:sz w:val="24"/>
          <w:szCs w:val="24"/>
          <w:lang w:eastAsia="pt-BR"/>
        </w:rPr>
        <w:t>Instrumentos Financeiros</w:t>
      </w:r>
      <w:r w:rsidR="0065091F" w:rsidRPr="00FE64DF">
        <w:rPr>
          <w:rFonts w:ascii="Times New Roman" w:eastAsia="Times New Roman" w:hAnsi="Times New Roman" w:cs="Times New Roman"/>
          <w:b/>
          <w:bCs/>
          <w:sz w:val="24"/>
          <w:szCs w:val="24"/>
          <w:lang w:eastAsia="pt-BR"/>
        </w:rPr>
        <w:t>, que passa</w:t>
      </w:r>
      <w:r w:rsidR="0065091F">
        <w:rPr>
          <w:rFonts w:ascii="Times New Roman" w:eastAsia="Times New Roman" w:hAnsi="Times New Roman" w:cs="Times New Roman"/>
          <w:b/>
          <w:bCs/>
          <w:sz w:val="24"/>
          <w:szCs w:val="24"/>
          <w:lang w:eastAsia="pt-BR"/>
        </w:rPr>
        <w:t>m</w:t>
      </w:r>
      <w:r w:rsidR="0065091F" w:rsidRPr="00FE64DF">
        <w:rPr>
          <w:rFonts w:ascii="Times New Roman" w:eastAsia="Times New Roman" w:hAnsi="Times New Roman" w:cs="Times New Roman"/>
          <w:b/>
          <w:bCs/>
          <w:sz w:val="24"/>
          <w:szCs w:val="24"/>
          <w:lang w:eastAsia="pt-BR"/>
        </w:rPr>
        <w:t xml:space="preserve"> a vigorar com </w:t>
      </w:r>
      <w:r w:rsidR="0065091F">
        <w:rPr>
          <w:rFonts w:ascii="Times New Roman" w:eastAsia="Times New Roman" w:hAnsi="Times New Roman" w:cs="Times New Roman"/>
          <w:b/>
          <w:bCs/>
          <w:sz w:val="24"/>
          <w:szCs w:val="24"/>
          <w:lang w:eastAsia="pt-BR"/>
        </w:rPr>
        <w:t xml:space="preserve">as </w:t>
      </w:r>
      <w:r w:rsidR="0065091F" w:rsidRPr="00FE64DF">
        <w:rPr>
          <w:rFonts w:ascii="Times New Roman" w:eastAsia="Times New Roman" w:hAnsi="Times New Roman" w:cs="Times New Roman"/>
          <w:b/>
          <w:bCs/>
          <w:sz w:val="24"/>
          <w:szCs w:val="24"/>
          <w:lang w:eastAsia="pt-BR"/>
        </w:rPr>
        <w:t>seguinte</w:t>
      </w:r>
      <w:r w:rsidR="0065091F">
        <w:rPr>
          <w:rFonts w:ascii="Times New Roman" w:eastAsia="Times New Roman" w:hAnsi="Times New Roman" w:cs="Times New Roman"/>
          <w:b/>
          <w:bCs/>
          <w:sz w:val="24"/>
          <w:szCs w:val="24"/>
          <w:lang w:eastAsia="pt-BR"/>
        </w:rPr>
        <w:t>s</w:t>
      </w:r>
      <w:r w:rsidR="0065091F" w:rsidRPr="00FE64DF">
        <w:rPr>
          <w:rFonts w:ascii="Times New Roman" w:eastAsia="Times New Roman" w:hAnsi="Times New Roman" w:cs="Times New Roman"/>
          <w:b/>
          <w:bCs/>
          <w:sz w:val="24"/>
          <w:szCs w:val="24"/>
          <w:lang w:eastAsia="pt-BR"/>
        </w:rPr>
        <w:t xml:space="preserve"> redaç</w:t>
      </w:r>
      <w:r w:rsidR="0065091F">
        <w:rPr>
          <w:rFonts w:ascii="Times New Roman" w:eastAsia="Times New Roman" w:hAnsi="Times New Roman" w:cs="Times New Roman"/>
          <w:b/>
          <w:bCs/>
          <w:sz w:val="24"/>
          <w:szCs w:val="24"/>
          <w:lang w:eastAsia="pt-BR"/>
        </w:rPr>
        <w:t>ões</w:t>
      </w:r>
      <w:r w:rsidR="0065091F" w:rsidRPr="00FE64DF">
        <w:rPr>
          <w:rFonts w:ascii="Times New Roman" w:eastAsia="Times New Roman" w:hAnsi="Times New Roman" w:cs="Times New Roman"/>
          <w:b/>
          <w:bCs/>
          <w:sz w:val="24"/>
          <w:szCs w:val="24"/>
          <w:lang w:eastAsia="pt-BR"/>
        </w:rPr>
        <w:t>:</w:t>
      </w:r>
    </w:p>
    <w:p w:rsidR="0065091F" w:rsidRPr="0058334A" w:rsidRDefault="0065091F" w:rsidP="0065091F">
      <w:pPr>
        <w:spacing w:after="0" w:line="240" w:lineRule="auto"/>
        <w:jc w:val="both"/>
        <w:rPr>
          <w:rFonts w:ascii="Times New Roman" w:eastAsia="Times New Roman" w:hAnsi="Times New Roman" w:cs="Times New Roman"/>
          <w:sz w:val="24"/>
          <w:lang w:eastAsia="pt-BR"/>
        </w:rPr>
      </w:pPr>
    </w:p>
    <w:p w:rsidR="0065091F" w:rsidRPr="0065091F" w:rsidRDefault="0065091F" w:rsidP="0065091F">
      <w:pPr>
        <w:spacing w:after="0" w:line="240" w:lineRule="auto"/>
        <w:jc w:val="both"/>
        <w:rPr>
          <w:rFonts w:ascii="Times New Roman" w:eastAsia="Times New Roman" w:hAnsi="Times New Roman" w:cs="Times New Roman"/>
          <w:sz w:val="24"/>
          <w:lang w:eastAsia="pt-BR"/>
        </w:rPr>
      </w:pPr>
      <w:r w:rsidRPr="0065091F">
        <w:rPr>
          <w:rFonts w:ascii="Times New Roman" w:eastAsia="Times New Roman" w:hAnsi="Times New Roman" w:cs="Times New Roman"/>
          <w:sz w:val="24"/>
          <w:lang w:eastAsia="pt-BR"/>
        </w:rPr>
        <w:t>2.1</w:t>
      </w:r>
      <w:r w:rsidRPr="0065091F">
        <w:rPr>
          <w:rFonts w:ascii="Times New Roman" w:eastAsia="Times New Roman" w:hAnsi="Times New Roman" w:cs="Times New Roman"/>
          <w:sz w:val="24"/>
          <w:lang w:eastAsia="pt-BR"/>
        </w:rPr>
        <w:tab/>
        <w:t>Este pronunciamento deve ser aplicado por todas as entidades a todos os tipos de instrumentos financeiros, exceto:</w:t>
      </w:r>
    </w:p>
    <w:p w:rsidR="0065091F" w:rsidRPr="0065091F" w:rsidRDefault="0065091F" w:rsidP="0065091F">
      <w:pPr>
        <w:spacing w:after="0" w:line="240" w:lineRule="auto"/>
        <w:jc w:val="both"/>
        <w:rPr>
          <w:rFonts w:ascii="Times New Roman" w:eastAsia="Times New Roman" w:hAnsi="Times New Roman" w:cs="Times New Roman"/>
          <w:sz w:val="24"/>
          <w:lang w:eastAsia="pt-BR"/>
        </w:rPr>
      </w:pPr>
      <w:r w:rsidRPr="0065091F">
        <w:rPr>
          <w:rFonts w:ascii="Times New Roman" w:eastAsia="Times New Roman" w:hAnsi="Times New Roman" w:cs="Times New Roman"/>
          <w:sz w:val="24"/>
          <w:lang w:eastAsia="pt-BR"/>
        </w:rPr>
        <w:t>(a) (...)</w:t>
      </w:r>
    </w:p>
    <w:p w:rsidR="0065091F" w:rsidRPr="0065091F" w:rsidRDefault="0065091F" w:rsidP="0065091F">
      <w:pPr>
        <w:spacing w:after="0" w:line="240" w:lineRule="auto"/>
        <w:jc w:val="both"/>
        <w:rPr>
          <w:rFonts w:ascii="Times New Roman" w:eastAsia="Times New Roman" w:hAnsi="Times New Roman" w:cs="Times New Roman"/>
          <w:sz w:val="24"/>
          <w:lang w:eastAsia="pt-BR"/>
        </w:rPr>
      </w:pPr>
      <w:r w:rsidRPr="0065091F">
        <w:rPr>
          <w:rFonts w:ascii="Times New Roman" w:eastAsia="Times New Roman" w:hAnsi="Times New Roman" w:cs="Times New Roman"/>
          <w:sz w:val="24"/>
          <w:lang w:eastAsia="pt-BR"/>
        </w:rPr>
        <w:t>(b)</w:t>
      </w:r>
      <w:r w:rsidRPr="0065091F">
        <w:rPr>
          <w:rFonts w:ascii="Times New Roman" w:eastAsia="Times New Roman" w:hAnsi="Times New Roman" w:cs="Times New Roman"/>
          <w:sz w:val="24"/>
          <w:lang w:eastAsia="pt-BR"/>
        </w:rPr>
        <w:tab/>
        <w:t>direitos e obrigações previstos em arrendamentos aos quais deve ser aplicado o CPC 06 – Operações de Arrendamento Mercantil. Entretanto:</w:t>
      </w:r>
    </w:p>
    <w:p w:rsidR="0065091F" w:rsidRPr="0065091F" w:rsidRDefault="0065091F" w:rsidP="0065091F">
      <w:pPr>
        <w:spacing w:after="0" w:line="240" w:lineRule="auto"/>
        <w:jc w:val="both"/>
        <w:rPr>
          <w:rFonts w:ascii="Times New Roman" w:eastAsia="Times New Roman" w:hAnsi="Times New Roman" w:cs="Times New Roman"/>
          <w:sz w:val="24"/>
          <w:lang w:eastAsia="pt-BR"/>
        </w:rPr>
      </w:pPr>
      <w:r w:rsidRPr="0065091F">
        <w:rPr>
          <w:rFonts w:ascii="Times New Roman" w:eastAsia="Times New Roman" w:hAnsi="Times New Roman" w:cs="Times New Roman"/>
          <w:sz w:val="24"/>
          <w:lang w:eastAsia="pt-BR"/>
        </w:rPr>
        <w:t>(i)</w:t>
      </w:r>
      <w:r w:rsidRPr="0065091F">
        <w:rPr>
          <w:rFonts w:ascii="Times New Roman" w:eastAsia="Times New Roman" w:hAnsi="Times New Roman" w:cs="Times New Roman"/>
          <w:sz w:val="24"/>
          <w:lang w:eastAsia="pt-BR"/>
        </w:rPr>
        <w:tab/>
        <w:t xml:space="preserve">os recebíveis de arrendamento </w:t>
      </w:r>
      <w:r w:rsidR="003E4337" w:rsidRPr="003E4337">
        <w:rPr>
          <w:rFonts w:ascii="Times New Roman" w:eastAsia="Times New Roman" w:hAnsi="Times New Roman" w:cs="Times New Roman"/>
          <w:sz w:val="24"/>
          <w:u w:val="single"/>
          <w:lang w:eastAsia="pt-BR"/>
        </w:rPr>
        <w:t xml:space="preserve">financeiro (ou seja, investimentos líquidos em arrendamento financeiro) e recebíveis de arrendamento operacional </w:t>
      </w:r>
      <w:r w:rsidRPr="0065091F">
        <w:rPr>
          <w:rFonts w:ascii="Times New Roman" w:eastAsia="Times New Roman" w:hAnsi="Times New Roman" w:cs="Times New Roman"/>
          <w:sz w:val="24"/>
          <w:lang w:eastAsia="pt-BR"/>
        </w:rPr>
        <w:t xml:space="preserve">reconhecidos por arrendador estão sujeitos aos requisitos de </w:t>
      </w:r>
      <w:proofErr w:type="spellStart"/>
      <w:r w:rsidRPr="0065091F">
        <w:rPr>
          <w:rFonts w:ascii="Times New Roman" w:eastAsia="Times New Roman" w:hAnsi="Times New Roman" w:cs="Times New Roman"/>
          <w:sz w:val="24"/>
          <w:lang w:eastAsia="pt-BR"/>
        </w:rPr>
        <w:t>desreconhecimento</w:t>
      </w:r>
      <w:proofErr w:type="spellEnd"/>
      <w:r w:rsidRPr="0065091F">
        <w:rPr>
          <w:rFonts w:ascii="Times New Roman" w:eastAsia="Times New Roman" w:hAnsi="Times New Roman" w:cs="Times New Roman"/>
          <w:sz w:val="24"/>
          <w:lang w:eastAsia="pt-BR"/>
        </w:rPr>
        <w:t xml:space="preserve"> e de redução ao valor recuperável deste pronunciamento;</w:t>
      </w:r>
    </w:p>
    <w:p w:rsidR="0065091F" w:rsidRPr="0065091F" w:rsidRDefault="0065091F" w:rsidP="0065091F">
      <w:pPr>
        <w:spacing w:after="0" w:line="240" w:lineRule="auto"/>
        <w:jc w:val="both"/>
        <w:rPr>
          <w:rFonts w:ascii="Times New Roman" w:eastAsia="Times New Roman" w:hAnsi="Times New Roman" w:cs="Times New Roman"/>
          <w:sz w:val="24"/>
          <w:lang w:eastAsia="pt-BR"/>
        </w:rPr>
      </w:pPr>
      <w:r w:rsidRPr="0065091F">
        <w:rPr>
          <w:rFonts w:ascii="Times New Roman" w:eastAsia="Times New Roman" w:hAnsi="Times New Roman" w:cs="Times New Roman"/>
          <w:sz w:val="24"/>
          <w:lang w:eastAsia="pt-BR"/>
        </w:rPr>
        <w:t>(ii</w:t>
      </w:r>
      <w:proofErr w:type="gramStart"/>
      <w:r w:rsidRPr="0065091F">
        <w:rPr>
          <w:rFonts w:ascii="Times New Roman" w:eastAsia="Times New Roman" w:hAnsi="Times New Roman" w:cs="Times New Roman"/>
          <w:sz w:val="24"/>
          <w:lang w:eastAsia="pt-BR"/>
        </w:rPr>
        <w:t>)</w:t>
      </w:r>
      <w:proofErr w:type="gramEnd"/>
      <w:r w:rsidRPr="0065091F">
        <w:rPr>
          <w:rFonts w:ascii="Times New Roman" w:eastAsia="Times New Roman" w:hAnsi="Times New Roman" w:cs="Times New Roman"/>
          <w:sz w:val="24"/>
          <w:lang w:eastAsia="pt-BR"/>
        </w:rPr>
        <w:tab/>
      </w:r>
      <w:r w:rsidR="003E4337" w:rsidRPr="003E4337">
        <w:rPr>
          <w:rFonts w:ascii="Times New Roman" w:eastAsia="Times New Roman" w:hAnsi="Times New Roman" w:cs="Times New Roman"/>
          <w:sz w:val="24"/>
          <w:u w:val="single"/>
          <w:lang w:eastAsia="pt-BR"/>
        </w:rPr>
        <w:t xml:space="preserve">passivos de arrendamento reconhecidos por arrendatário estão sujeitas aos requisitos de </w:t>
      </w:r>
      <w:proofErr w:type="spellStart"/>
      <w:r w:rsidR="003E4337" w:rsidRPr="003E4337">
        <w:rPr>
          <w:rFonts w:ascii="Times New Roman" w:eastAsia="Times New Roman" w:hAnsi="Times New Roman" w:cs="Times New Roman"/>
          <w:sz w:val="24"/>
          <w:u w:val="single"/>
          <w:lang w:eastAsia="pt-BR"/>
        </w:rPr>
        <w:t>desreconhecimento</w:t>
      </w:r>
      <w:proofErr w:type="spellEnd"/>
      <w:r w:rsidR="003E4337" w:rsidRPr="003E4337">
        <w:rPr>
          <w:rFonts w:ascii="Times New Roman" w:eastAsia="Times New Roman" w:hAnsi="Times New Roman" w:cs="Times New Roman"/>
          <w:sz w:val="24"/>
          <w:u w:val="single"/>
          <w:lang w:eastAsia="pt-BR"/>
        </w:rPr>
        <w:t xml:space="preserve"> do item 3.3.1 deste pronunciamento;</w:t>
      </w:r>
      <w:r w:rsidRPr="0065091F">
        <w:rPr>
          <w:rFonts w:ascii="Times New Roman" w:eastAsia="Times New Roman" w:hAnsi="Times New Roman" w:cs="Times New Roman"/>
          <w:sz w:val="24"/>
          <w:lang w:eastAsia="pt-BR"/>
        </w:rPr>
        <w:t xml:space="preserve"> e</w:t>
      </w:r>
    </w:p>
    <w:p w:rsidR="0065091F" w:rsidRPr="0065091F" w:rsidRDefault="0065091F" w:rsidP="0065091F">
      <w:pPr>
        <w:spacing w:after="0" w:line="240" w:lineRule="auto"/>
        <w:jc w:val="both"/>
        <w:rPr>
          <w:rFonts w:ascii="Times New Roman" w:eastAsia="Times New Roman" w:hAnsi="Times New Roman" w:cs="Times New Roman"/>
          <w:sz w:val="24"/>
          <w:lang w:eastAsia="pt-BR"/>
        </w:rPr>
      </w:pPr>
      <w:r w:rsidRPr="0065091F">
        <w:rPr>
          <w:rFonts w:ascii="Times New Roman" w:eastAsia="Times New Roman" w:hAnsi="Times New Roman" w:cs="Times New Roman"/>
          <w:sz w:val="24"/>
          <w:lang w:eastAsia="pt-BR"/>
        </w:rPr>
        <w:t>(iii)</w:t>
      </w:r>
      <w:r w:rsidRPr="0065091F">
        <w:rPr>
          <w:rFonts w:ascii="Times New Roman" w:eastAsia="Times New Roman" w:hAnsi="Times New Roman" w:cs="Times New Roman"/>
          <w:sz w:val="24"/>
          <w:lang w:eastAsia="pt-BR"/>
        </w:rPr>
        <w:tab/>
        <w:t>derivativos que estão embutidos em arrendamentos estão sujeitos aos requisitos de derivativos embutidos deste pronunciamento;</w:t>
      </w:r>
    </w:p>
    <w:p w:rsidR="0065091F" w:rsidRPr="0065091F" w:rsidRDefault="0065091F" w:rsidP="0065091F">
      <w:pPr>
        <w:spacing w:after="0" w:line="240" w:lineRule="auto"/>
        <w:jc w:val="both"/>
        <w:rPr>
          <w:rFonts w:ascii="Times New Roman" w:eastAsia="Times New Roman" w:hAnsi="Times New Roman" w:cs="Times New Roman"/>
          <w:sz w:val="24"/>
          <w:lang w:eastAsia="pt-BR"/>
        </w:rPr>
      </w:pPr>
      <w:r w:rsidRPr="0065091F">
        <w:rPr>
          <w:rFonts w:ascii="Times New Roman" w:eastAsia="Times New Roman" w:hAnsi="Times New Roman" w:cs="Times New Roman"/>
          <w:sz w:val="24"/>
          <w:lang w:eastAsia="pt-BR"/>
        </w:rPr>
        <w:t>(c) (...)</w:t>
      </w:r>
    </w:p>
    <w:p w:rsidR="0065091F" w:rsidRPr="0065091F" w:rsidRDefault="0065091F" w:rsidP="0065091F">
      <w:pPr>
        <w:spacing w:after="0" w:line="240" w:lineRule="auto"/>
        <w:jc w:val="both"/>
        <w:rPr>
          <w:rFonts w:ascii="Times New Roman" w:eastAsia="Times New Roman" w:hAnsi="Times New Roman" w:cs="Times New Roman"/>
          <w:sz w:val="24"/>
          <w:lang w:eastAsia="pt-BR"/>
        </w:rPr>
      </w:pPr>
    </w:p>
    <w:p w:rsidR="0065091F" w:rsidRPr="0058334A" w:rsidRDefault="0065091F" w:rsidP="0065091F">
      <w:pPr>
        <w:spacing w:after="0" w:line="240" w:lineRule="auto"/>
        <w:jc w:val="both"/>
        <w:rPr>
          <w:rFonts w:ascii="Times New Roman" w:eastAsia="Times New Roman" w:hAnsi="Times New Roman" w:cs="Times New Roman"/>
          <w:sz w:val="24"/>
          <w:lang w:eastAsia="pt-BR"/>
        </w:rPr>
      </w:pP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 xml:space="preserve">Transição para recursos de </w:t>
      </w:r>
      <w:r w:rsidR="00AC1163">
        <w:rPr>
          <w:rFonts w:ascii="Times New Roman" w:eastAsia="Times New Roman" w:hAnsi="Times New Roman" w:cs="Times New Roman"/>
          <w:sz w:val="24"/>
          <w:u w:val="single"/>
          <w:lang w:eastAsia="pt-BR"/>
        </w:rPr>
        <w:t>pagamento antecipado</w:t>
      </w:r>
      <w:r w:rsidRPr="003E4337">
        <w:rPr>
          <w:rFonts w:ascii="Times New Roman" w:eastAsia="Times New Roman" w:hAnsi="Times New Roman" w:cs="Times New Roman"/>
          <w:sz w:val="24"/>
          <w:u w:val="single"/>
          <w:lang w:eastAsia="pt-BR"/>
        </w:rPr>
        <w:t xml:space="preserve"> com compensação negativa</w:t>
      </w:r>
    </w:p>
    <w:p w:rsidR="0065091F" w:rsidRPr="00E76BD4" w:rsidRDefault="0065091F" w:rsidP="0065091F">
      <w:pPr>
        <w:spacing w:after="0" w:line="240" w:lineRule="auto"/>
        <w:jc w:val="both"/>
        <w:rPr>
          <w:rFonts w:ascii="Times New Roman" w:eastAsia="Times New Roman" w:hAnsi="Times New Roman" w:cs="Times New Roman"/>
          <w:sz w:val="24"/>
          <w:u w:val="single"/>
          <w:lang w:eastAsia="pt-BR"/>
        </w:rPr>
      </w:pP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 xml:space="preserve">7.2.29 A entidade deve aplicar a inclusão e as alterações dos itens </w:t>
      </w:r>
      <w:proofErr w:type="gramStart"/>
      <w:r w:rsidRPr="003E4337">
        <w:rPr>
          <w:rFonts w:ascii="Times New Roman" w:eastAsia="Times New Roman" w:hAnsi="Times New Roman" w:cs="Times New Roman"/>
          <w:sz w:val="24"/>
          <w:u w:val="single"/>
          <w:lang w:eastAsia="pt-BR"/>
        </w:rPr>
        <w:t>B4.</w:t>
      </w:r>
      <w:proofErr w:type="gramEnd"/>
      <w:r w:rsidRPr="003E4337">
        <w:rPr>
          <w:rFonts w:ascii="Times New Roman" w:eastAsia="Times New Roman" w:hAnsi="Times New Roman" w:cs="Times New Roman"/>
          <w:sz w:val="24"/>
          <w:u w:val="single"/>
          <w:lang w:eastAsia="pt-BR"/>
        </w:rPr>
        <w:t>1.11(b), B4.1.12(b) e B4.1.12A</w:t>
      </w:r>
      <w:r w:rsidR="00BD3040">
        <w:rPr>
          <w:rFonts w:ascii="Times New Roman" w:eastAsia="Times New Roman" w:hAnsi="Times New Roman" w:cs="Times New Roman"/>
          <w:sz w:val="24"/>
          <w:u w:val="single"/>
          <w:lang w:eastAsia="pt-BR"/>
        </w:rPr>
        <w:t xml:space="preserve"> </w:t>
      </w:r>
      <w:r w:rsidRPr="003E4337">
        <w:rPr>
          <w:rFonts w:ascii="Times New Roman" w:eastAsia="Times New Roman" w:hAnsi="Times New Roman" w:cs="Times New Roman"/>
          <w:sz w:val="24"/>
          <w:u w:val="single"/>
          <w:lang w:eastAsia="pt-BR"/>
        </w:rPr>
        <w:t>de forma retrospectiva de acordo com o CPC 23, exceto conforme especificado nos itens 7.2.30 a 7.2.34.</w:t>
      </w:r>
    </w:p>
    <w:p w:rsidR="0065091F" w:rsidRPr="00E76BD4" w:rsidRDefault="0065091F" w:rsidP="0065091F">
      <w:pPr>
        <w:spacing w:after="0" w:line="240" w:lineRule="auto"/>
        <w:jc w:val="both"/>
        <w:rPr>
          <w:rFonts w:ascii="Times New Roman" w:eastAsia="Times New Roman" w:hAnsi="Times New Roman" w:cs="Times New Roman"/>
          <w:sz w:val="24"/>
          <w:u w:val="single"/>
          <w:lang w:eastAsia="pt-BR"/>
        </w:rPr>
      </w:pP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7.2.30 A entidade que aplica pela primeira vez essas alterações ao mesmo tempo em que aplica pela primeira vez esta norma deve aplicar os itens 7.2.1 a 7.2.28 em vez dos itens 7.2.31 a 7.2.34.</w:t>
      </w:r>
    </w:p>
    <w:p w:rsidR="0065091F" w:rsidRPr="00E76BD4" w:rsidRDefault="0065091F" w:rsidP="0065091F">
      <w:pPr>
        <w:spacing w:after="0" w:line="240" w:lineRule="auto"/>
        <w:jc w:val="both"/>
        <w:rPr>
          <w:rFonts w:ascii="Times New Roman" w:eastAsia="Times New Roman" w:hAnsi="Times New Roman" w:cs="Times New Roman"/>
          <w:sz w:val="24"/>
          <w:u w:val="single"/>
          <w:lang w:eastAsia="pt-BR"/>
        </w:rPr>
      </w:pP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7.2.31 A entidade que aplica pela primeira vez essas alterações após a primeira aplicação desta norma deve aplicar os itens 7.2.32 a 7.2.34. A entidade também deve aplicar os outros requisitos de transição desta norma necessários para a aplicação dessas alterações. Para es</w:t>
      </w:r>
      <w:r w:rsidR="00E76BD4">
        <w:rPr>
          <w:rFonts w:ascii="Times New Roman" w:eastAsia="Times New Roman" w:hAnsi="Times New Roman" w:cs="Times New Roman"/>
          <w:sz w:val="24"/>
          <w:u w:val="single"/>
          <w:lang w:eastAsia="pt-BR"/>
        </w:rPr>
        <w:t>s</w:t>
      </w:r>
      <w:r w:rsidRPr="003E4337">
        <w:rPr>
          <w:rFonts w:ascii="Times New Roman" w:eastAsia="Times New Roman" w:hAnsi="Times New Roman" w:cs="Times New Roman"/>
          <w:sz w:val="24"/>
          <w:u w:val="single"/>
          <w:lang w:eastAsia="pt-BR"/>
        </w:rPr>
        <w:t>e propósito, as referências à data da aplicação inicial devem ser lidas como referentes ao início do período de relatório em que a entidade aplica pela primeira vez essas alterações (data de aplicação inicial dessas alterações).</w:t>
      </w:r>
    </w:p>
    <w:p w:rsidR="0065091F" w:rsidRPr="00E76BD4" w:rsidRDefault="0065091F" w:rsidP="0065091F">
      <w:pPr>
        <w:spacing w:after="0" w:line="240" w:lineRule="auto"/>
        <w:jc w:val="both"/>
        <w:rPr>
          <w:rFonts w:ascii="Times New Roman" w:eastAsia="Times New Roman" w:hAnsi="Times New Roman" w:cs="Times New Roman"/>
          <w:sz w:val="24"/>
          <w:u w:val="single"/>
          <w:lang w:eastAsia="pt-BR"/>
        </w:rPr>
      </w:pP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lastRenderedPageBreak/>
        <w:t>7.2.32 No que diz respeito à designação de ativo financeiro ou passivo financeiro mensurado ao valor justo por meio do resultado, a entidade:</w:t>
      </w: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(a) deve revogar a designação anterior de ativo financeiro mensurado pelo valor justo por meio do resultado se essa designação tiver sido feita anteriormente</w:t>
      </w:r>
      <w:r w:rsidR="00E76BD4">
        <w:rPr>
          <w:rFonts w:ascii="Times New Roman" w:eastAsia="Times New Roman" w:hAnsi="Times New Roman" w:cs="Times New Roman"/>
          <w:sz w:val="24"/>
          <w:u w:val="single"/>
          <w:lang w:eastAsia="pt-BR"/>
        </w:rPr>
        <w:t>,</w:t>
      </w:r>
      <w:r w:rsidRPr="003E4337">
        <w:rPr>
          <w:rFonts w:ascii="Times New Roman" w:eastAsia="Times New Roman" w:hAnsi="Times New Roman" w:cs="Times New Roman"/>
          <w:sz w:val="24"/>
          <w:u w:val="single"/>
          <w:lang w:eastAsia="pt-BR"/>
        </w:rPr>
        <w:t xml:space="preserve"> de acordo com a condição do item 4.1.5, mas essa condição não é mais satisfeita como resultado da aplicação dessas alterações;</w:t>
      </w: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 xml:space="preserve">(b) pode designar o ativo financeiro conforme mensurado pelo valor justo por meio do resultado, se essa designação não tiver cumprido previamente a condição do item 4.1.5, mas essa condição está agora </w:t>
      </w:r>
      <w:r w:rsidR="00B4255A">
        <w:rPr>
          <w:rFonts w:ascii="Times New Roman" w:eastAsia="Times New Roman" w:hAnsi="Times New Roman" w:cs="Times New Roman"/>
          <w:sz w:val="24"/>
          <w:u w:val="single"/>
          <w:lang w:eastAsia="pt-BR"/>
        </w:rPr>
        <w:t>satisfeita</w:t>
      </w:r>
      <w:r w:rsidR="00B4255A" w:rsidRPr="003E4337">
        <w:rPr>
          <w:rFonts w:ascii="Times New Roman" w:eastAsia="Times New Roman" w:hAnsi="Times New Roman" w:cs="Times New Roman"/>
          <w:sz w:val="24"/>
          <w:u w:val="single"/>
          <w:lang w:eastAsia="pt-BR"/>
        </w:rPr>
        <w:t xml:space="preserve"> </w:t>
      </w:r>
      <w:r w:rsidRPr="003E4337">
        <w:rPr>
          <w:rFonts w:ascii="Times New Roman" w:eastAsia="Times New Roman" w:hAnsi="Times New Roman" w:cs="Times New Roman"/>
          <w:sz w:val="24"/>
          <w:u w:val="single"/>
          <w:lang w:eastAsia="pt-BR"/>
        </w:rPr>
        <w:t>como resultado da aplicação dessas alterações;</w:t>
      </w: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(c) deve revogar a designação anterior de passivo financeiro mensurado ao valor justo por meio do resultado, se essa designação tiver sido feita anteriormente de acordo com o disposto no item 4.2.2(a), mas essa condição não é mais satisfeita como resultado da aplicação dessas alterações; e</w:t>
      </w: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 xml:space="preserve">(d) pode designar o passivo financeiro mensurado ao valor justo por meio do resultado se essa designação não preencher previamente a condição no item 4.2.2(a), mas essa condição está agora </w:t>
      </w:r>
      <w:r w:rsidR="00B4255A">
        <w:rPr>
          <w:rFonts w:ascii="Times New Roman" w:eastAsia="Times New Roman" w:hAnsi="Times New Roman" w:cs="Times New Roman"/>
          <w:sz w:val="24"/>
          <w:u w:val="single"/>
          <w:lang w:eastAsia="pt-BR"/>
        </w:rPr>
        <w:t>satisfeita</w:t>
      </w:r>
      <w:r w:rsidR="00B4255A" w:rsidRPr="003E4337">
        <w:rPr>
          <w:rFonts w:ascii="Times New Roman" w:eastAsia="Times New Roman" w:hAnsi="Times New Roman" w:cs="Times New Roman"/>
          <w:sz w:val="24"/>
          <w:u w:val="single"/>
          <w:lang w:eastAsia="pt-BR"/>
        </w:rPr>
        <w:t xml:space="preserve"> </w:t>
      </w:r>
      <w:r w:rsidRPr="003E4337">
        <w:rPr>
          <w:rFonts w:ascii="Times New Roman" w:eastAsia="Times New Roman" w:hAnsi="Times New Roman" w:cs="Times New Roman"/>
          <w:sz w:val="24"/>
          <w:u w:val="single"/>
          <w:lang w:eastAsia="pt-BR"/>
        </w:rPr>
        <w:t>como resultado da aplicação dessas alterações.</w:t>
      </w:r>
    </w:p>
    <w:p w:rsidR="0065091F" w:rsidRPr="00E76BD4" w:rsidRDefault="0065091F" w:rsidP="0065091F">
      <w:pPr>
        <w:spacing w:after="0" w:line="240" w:lineRule="auto"/>
        <w:jc w:val="both"/>
        <w:rPr>
          <w:rFonts w:ascii="Times New Roman" w:eastAsia="Times New Roman" w:hAnsi="Times New Roman" w:cs="Times New Roman"/>
          <w:sz w:val="24"/>
          <w:u w:val="single"/>
          <w:lang w:eastAsia="pt-BR"/>
        </w:rPr>
      </w:pP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Essa designação e revogação deve ser feita com base nos fatos e circunstâncias que existem na data da aplicação pela primeira vez dessas alterações. Essa classificação deve ser aplicada retrospectivamente.</w:t>
      </w:r>
    </w:p>
    <w:p w:rsidR="0065091F" w:rsidRPr="00E76BD4" w:rsidRDefault="0065091F" w:rsidP="0065091F">
      <w:pPr>
        <w:spacing w:after="0" w:line="240" w:lineRule="auto"/>
        <w:jc w:val="both"/>
        <w:rPr>
          <w:rFonts w:ascii="Times New Roman" w:eastAsia="Times New Roman" w:hAnsi="Times New Roman" w:cs="Times New Roman"/>
          <w:sz w:val="24"/>
          <w:u w:val="single"/>
          <w:lang w:eastAsia="pt-BR"/>
        </w:rPr>
      </w:pP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 xml:space="preserve">7.2.33 A entidade não é obrigada a reapresentar períodos anteriores para refletir a aplicação dessas alterações. A entidade pode reapresentar períodos anteriores se, e somente se, </w:t>
      </w:r>
      <w:r w:rsidR="00B4255A">
        <w:rPr>
          <w:rFonts w:ascii="Times New Roman" w:eastAsia="Times New Roman" w:hAnsi="Times New Roman" w:cs="Times New Roman"/>
          <w:sz w:val="24"/>
          <w:u w:val="single"/>
          <w:lang w:eastAsia="pt-BR"/>
        </w:rPr>
        <w:t>for</w:t>
      </w:r>
      <w:r w:rsidR="00B4255A" w:rsidRPr="003E4337">
        <w:rPr>
          <w:rFonts w:ascii="Times New Roman" w:eastAsia="Times New Roman" w:hAnsi="Times New Roman" w:cs="Times New Roman"/>
          <w:sz w:val="24"/>
          <w:u w:val="single"/>
          <w:lang w:eastAsia="pt-BR"/>
        </w:rPr>
        <w:t xml:space="preserve"> </w:t>
      </w:r>
      <w:r w:rsidRPr="003E4337">
        <w:rPr>
          <w:rFonts w:ascii="Times New Roman" w:eastAsia="Times New Roman" w:hAnsi="Times New Roman" w:cs="Times New Roman"/>
          <w:sz w:val="24"/>
          <w:u w:val="single"/>
          <w:lang w:eastAsia="pt-BR"/>
        </w:rPr>
        <w:t xml:space="preserve">possível sem o uso de </w:t>
      </w:r>
      <w:r w:rsidR="00CD283C">
        <w:rPr>
          <w:rFonts w:ascii="Times New Roman" w:eastAsia="Times New Roman" w:hAnsi="Times New Roman" w:cs="Times New Roman"/>
          <w:sz w:val="24"/>
          <w:u w:val="single"/>
          <w:lang w:eastAsia="pt-BR"/>
        </w:rPr>
        <w:t>percepção posterior</w:t>
      </w:r>
      <w:r w:rsidR="00CD283C" w:rsidRPr="003E4337">
        <w:rPr>
          <w:rFonts w:ascii="Times New Roman" w:eastAsia="Times New Roman" w:hAnsi="Times New Roman" w:cs="Times New Roman"/>
          <w:sz w:val="24"/>
          <w:u w:val="single"/>
          <w:lang w:eastAsia="pt-BR"/>
        </w:rPr>
        <w:t xml:space="preserve"> </w:t>
      </w:r>
      <w:r w:rsidRPr="003E4337">
        <w:rPr>
          <w:rFonts w:ascii="Times New Roman" w:eastAsia="Times New Roman" w:hAnsi="Times New Roman" w:cs="Times New Roman"/>
          <w:sz w:val="24"/>
          <w:u w:val="single"/>
          <w:lang w:eastAsia="pt-BR"/>
        </w:rPr>
        <w:t xml:space="preserve">e as demonstrações contábeis reapresentadas </w:t>
      </w:r>
      <w:r w:rsidR="00B4255A">
        <w:rPr>
          <w:rFonts w:ascii="Times New Roman" w:eastAsia="Times New Roman" w:hAnsi="Times New Roman" w:cs="Times New Roman"/>
          <w:sz w:val="24"/>
          <w:u w:val="single"/>
          <w:lang w:eastAsia="pt-BR"/>
        </w:rPr>
        <w:t>refletirem</w:t>
      </w:r>
      <w:r w:rsidR="00B4255A" w:rsidRPr="003E4337">
        <w:rPr>
          <w:rFonts w:ascii="Times New Roman" w:eastAsia="Times New Roman" w:hAnsi="Times New Roman" w:cs="Times New Roman"/>
          <w:sz w:val="24"/>
          <w:u w:val="single"/>
          <w:lang w:eastAsia="pt-BR"/>
        </w:rPr>
        <w:t xml:space="preserve"> </w:t>
      </w:r>
      <w:r w:rsidRPr="003E4337">
        <w:rPr>
          <w:rFonts w:ascii="Times New Roman" w:eastAsia="Times New Roman" w:hAnsi="Times New Roman" w:cs="Times New Roman"/>
          <w:sz w:val="24"/>
          <w:u w:val="single"/>
          <w:lang w:eastAsia="pt-BR"/>
        </w:rPr>
        <w:t xml:space="preserve">todos os requisitos </w:t>
      </w:r>
      <w:r w:rsidR="00B4255A">
        <w:rPr>
          <w:rFonts w:ascii="Times New Roman" w:eastAsia="Times New Roman" w:hAnsi="Times New Roman" w:cs="Times New Roman"/>
          <w:sz w:val="24"/>
          <w:u w:val="single"/>
          <w:lang w:eastAsia="pt-BR"/>
        </w:rPr>
        <w:t>deste</w:t>
      </w:r>
      <w:r w:rsidR="00B4255A" w:rsidRPr="003E4337">
        <w:rPr>
          <w:rFonts w:ascii="Times New Roman" w:eastAsia="Times New Roman" w:hAnsi="Times New Roman" w:cs="Times New Roman"/>
          <w:sz w:val="24"/>
          <w:u w:val="single"/>
          <w:lang w:eastAsia="pt-BR"/>
        </w:rPr>
        <w:t xml:space="preserve"> </w:t>
      </w:r>
      <w:r w:rsidRPr="003E4337">
        <w:rPr>
          <w:rFonts w:ascii="Times New Roman" w:eastAsia="Times New Roman" w:hAnsi="Times New Roman" w:cs="Times New Roman"/>
          <w:sz w:val="24"/>
          <w:u w:val="single"/>
          <w:lang w:eastAsia="pt-BR"/>
        </w:rPr>
        <w:t>pronunciamento. Se a entidade não reapresentar períodos anteriores, a entidade deve reconhecer qualquer diferença entre o valor contábil anterior e o valor contábil no início do período de relatório anual</w:t>
      </w:r>
      <w:r w:rsidR="003A7720">
        <w:rPr>
          <w:rFonts w:ascii="Times New Roman" w:eastAsia="Times New Roman" w:hAnsi="Times New Roman" w:cs="Times New Roman"/>
          <w:sz w:val="24"/>
          <w:u w:val="single"/>
          <w:lang w:eastAsia="pt-BR"/>
        </w:rPr>
        <w:t xml:space="preserve"> – </w:t>
      </w:r>
      <w:r w:rsidRPr="003E4337">
        <w:rPr>
          <w:rFonts w:ascii="Times New Roman" w:eastAsia="Times New Roman" w:hAnsi="Times New Roman" w:cs="Times New Roman"/>
          <w:sz w:val="24"/>
          <w:u w:val="single"/>
          <w:lang w:eastAsia="pt-BR"/>
        </w:rPr>
        <w:t>que inclui a data de aplicação inicial dessas alterações</w:t>
      </w:r>
      <w:r w:rsidR="003A7720">
        <w:rPr>
          <w:rFonts w:ascii="Times New Roman" w:eastAsia="Times New Roman" w:hAnsi="Times New Roman" w:cs="Times New Roman"/>
          <w:sz w:val="24"/>
          <w:u w:val="single"/>
          <w:lang w:eastAsia="pt-BR"/>
        </w:rPr>
        <w:t xml:space="preserve"> –</w:t>
      </w:r>
      <w:r w:rsidR="003A7720" w:rsidRPr="003E4337">
        <w:rPr>
          <w:rFonts w:ascii="Times New Roman" w:eastAsia="Times New Roman" w:hAnsi="Times New Roman" w:cs="Times New Roman"/>
          <w:sz w:val="24"/>
          <w:u w:val="single"/>
          <w:lang w:eastAsia="pt-BR"/>
        </w:rPr>
        <w:t xml:space="preserve"> </w:t>
      </w:r>
      <w:r w:rsidRPr="003E4337">
        <w:rPr>
          <w:rFonts w:ascii="Times New Roman" w:eastAsia="Times New Roman" w:hAnsi="Times New Roman" w:cs="Times New Roman"/>
          <w:sz w:val="24"/>
          <w:u w:val="single"/>
          <w:lang w:eastAsia="pt-BR"/>
        </w:rPr>
        <w:t>em lucros acumulados retidos (ou outro componente do patrimônio líquido, conforme apropriado) do período de relatório anual que inclui a data da aplicação inicial dessas alterações.</w:t>
      </w:r>
    </w:p>
    <w:p w:rsidR="0065091F" w:rsidRPr="00E76BD4" w:rsidRDefault="0065091F" w:rsidP="0065091F">
      <w:pPr>
        <w:spacing w:after="0" w:line="240" w:lineRule="auto"/>
        <w:jc w:val="both"/>
        <w:rPr>
          <w:rFonts w:ascii="Times New Roman" w:eastAsia="Times New Roman" w:hAnsi="Times New Roman" w:cs="Times New Roman"/>
          <w:sz w:val="24"/>
          <w:u w:val="single"/>
          <w:lang w:eastAsia="pt-BR"/>
        </w:rPr>
      </w:pP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 xml:space="preserve">7.2.34 No período de relatório que inclui a data da aplicação inicial dessas alterações, a entidade deve divulgar as seguintes informações </w:t>
      </w:r>
      <w:r w:rsidR="00B4255A">
        <w:rPr>
          <w:rFonts w:ascii="Times New Roman" w:eastAsia="Times New Roman" w:hAnsi="Times New Roman" w:cs="Times New Roman"/>
          <w:sz w:val="24"/>
          <w:u w:val="single"/>
          <w:lang w:eastAsia="pt-BR"/>
        </w:rPr>
        <w:t>na data da aplicação</w:t>
      </w:r>
      <w:r w:rsidRPr="003E4337">
        <w:rPr>
          <w:rFonts w:ascii="Times New Roman" w:eastAsia="Times New Roman" w:hAnsi="Times New Roman" w:cs="Times New Roman"/>
          <w:sz w:val="24"/>
          <w:u w:val="single"/>
          <w:lang w:eastAsia="pt-BR"/>
        </w:rPr>
        <w:t xml:space="preserve"> inicial para cada classe de ativos financeiros e passivos financeiros que foram afetados por essas alterações:</w:t>
      </w: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(a) a categoria de mensuração anterior e o valor contábil determinado imediatamente antes de aplicar essas alterações;</w:t>
      </w: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(b) a nova categoria de mensuração e o valor contábil determinado após a aplicação dessas alterações;</w:t>
      </w: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(c) o valor contábil de quaisquer ativos financeiros e passivos financeiros no balanço patrimonial que anteriormente foram designados como mensurados ao valor justo por meio do resultado, mas não são mais designados; e</w:t>
      </w:r>
    </w:p>
    <w:p w:rsidR="0065091F" w:rsidRPr="00E76BD4"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(d) os motivos de qualquer designação ou redesignação de ativos financeiros ou passivos financeiros mensurados ao valor justo por meio do resultado.</w:t>
      </w:r>
    </w:p>
    <w:p w:rsidR="0065091F" w:rsidRPr="00A73355" w:rsidRDefault="0065091F" w:rsidP="0065091F">
      <w:pPr>
        <w:spacing w:after="0" w:line="240" w:lineRule="auto"/>
        <w:jc w:val="both"/>
        <w:rPr>
          <w:rFonts w:ascii="Times New Roman" w:eastAsia="Times New Roman" w:hAnsi="Times New Roman" w:cs="Times New Roman"/>
          <w:sz w:val="24"/>
          <w:lang w:eastAsia="pt-BR"/>
        </w:rPr>
      </w:pPr>
    </w:p>
    <w:p w:rsidR="0065091F" w:rsidRPr="00A73355" w:rsidRDefault="0065091F" w:rsidP="0065091F">
      <w:pPr>
        <w:spacing w:after="0" w:line="240" w:lineRule="auto"/>
        <w:jc w:val="both"/>
        <w:rPr>
          <w:rFonts w:ascii="Times New Roman" w:eastAsia="Times New Roman" w:hAnsi="Times New Roman" w:cs="Times New Roman"/>
          <w:sz w:val="24"/>
          <w:lang w:eastAsia="pt-BR"/>
        </w:rPr>
      </w:pPr>
      <w:proofErr w:type="gramStart"/>
      <w:r w:rsidRPr="00A73355">
        <w:rPr>
          <w:rFonts w:ascii="Times New Roman" w:eastAsia="Times New Roman" w:hAnsi="Times New Roman" w:cs="Times New Roman"/>
          <w:sz w:val="24"/>
          <w:lang w:eastAsia="pt-BR"/>
        </w:rPr>
        <w:t>B4.</w:t>
      </w:r>
      <w:proofErr w:type="gramEnd"/>
      <w:r w:rsidRPr="00A73355">
        <w:rPr>
          <w:rFonts w:ascii="Times New Roman" w:eastAsia="Times New Roman" w:hAnsi="Times New Roman" w:cs="Times New Roman"/>
          <w:sz w:val="24"/>
          <w:lang w:eastAsia="pt-BR"/>
        </w:rPr>
        <w:t>1.11</w:t>
      </w:r>
      <w:r w:rsidRPr="00A73355">
        <w:rPr>
          <w:rFonts w:ascii="Times New Roman" w:eastAsia="Times New Roman" w:hAnsi="Times New Roman" w:cs="Times New Roman"/>
          <w:sz w:val="24"/>
          <w:lang w:eastAsia="pt-BR"/>
        </w:rPr>
        <w:tab/>
        <w:t>Os exemplos a seguir são exemplos de termos contratuais que resultam em fluxos de caixa contratuais, que constituem exclusivamente pagamentos de principal e de juros sobre o valor do principal em aberto:</w:t>
      </w:r>
    </w:p>
    <w:p w:rsidR="0065091F" w:rsidRPr="00A73355" w:rsidRDefault="0065091F" w:rsidP="0065091F">
      <w:pPr>
        <w:spacing w:after="0" w:line="240" w:lineRule="auto"/>
        <w:jc w:val="both"/>
        <w:rPr>
          <w:rFonts w:ascii="Times New Roman" w:eastAsia="Times New Roman" w:hAnsi="Times New Roman" w:cs="Times New Roman"/>
          <w:sz w:val="24"/>
          <w:lang w:eastAsia="pt-BR"/>
        </w:rPr>
      </w:pPr>
      <w:r w:rsidRPr="00A73355">
        <w:rPr>
          <w:rFonts w:ascii="Times New Roman" w:eastAsia="Times New Roman" w:hAnsi="Times New Roman" w:cs="Times New Roman"/>
          <w:sz w:val="24"/>
          <w:lang w:eastAsia="pt-BR"/>
        </w:rPr>
        <w:t>(a</w:t>
      </w:r>
      <w:proofErr w:type="gramStart"/>
      <w:r w:rsidRPr="00A73355">
        <w:rPr>
          <w:rFonts w:ascii="Times New Roman" w:eastAsia="Times New Roman" w:hAnsi="Times New Roman" w:cs="Times New Roman"/>
          <w:sz w:val="24"/>
          <w:lang w:eastAsia="pt-BR"/>
        </w:rPr>
        <w:t>)</w:t>
      </w:r>
      <w:proofErr w:type="gramEnd"/>
      <w:r w:rsidRPr="00A73355">
        <w:rPr>
          <w:rFonts w:ascii="Times New Roman" w:eastAsia="Times New Roman" w:hAnsi="Times New Roman" w:cs="Times New Roman"/>
          <w:sz w:val="24"/>
          <w:lang w:eastAsia="pt-BR"/>
        </w:rPr>
        <w:tab/>
        <w:t>taxa de juros variável que consiste de contraprestação pelo valor do dinheiro no tempo, pelo risco de crédito associado ao valor do principal em aberto durante período de tempo específico (a contraprestação pelo risco de crédito pode ser determinada somente no reconhecimento inicial, e então pode ser fixada) e por outros custos e riscos básicos de empréstimo, bem como pela margem de lucro;</w:t>
      </w:r>
    </w:p>
    <w:p w:rsidR="0065091F" w:rsidRPr="00A73355" w:rsidRDefault="0065091F" w:rsidP="0065091F">
      <w:pPr>
        <w:spacing w:after="0" w:line="240" w:lineRule="auto"/>
        <w:jc w:val="both"/>
        <w:rPr>
          <w:rFonts w:ascii="Times New Roman" w:eastAsia="Times New Roman" w:hAnsi="Times New Roman" w:cs="Times New Roman"/>
          <w:sz w:val="24"/>
          <w:lang w:eastAsia="pt-BR"/>
        </w:rPr>
      </w:pPr>
      <w:r w:rsidRPr="00A73355">
        <w:rPr>
          <w:rFonts w:ascii="Times New Roman" w:eastAsia="Times New Roman" w:hAnsi="Times New Roman" w:cs="Times New Roman"/>
          <w:sz w:val="24"/>
          <w:lang w:eastAsia="pt-BR"/>
        </w:rPr>
        <w:t>(b)</w:t>
      </w:r>
      <w:r w:rsidRPr="00A73355">
        <w:rPr>
          <w:rFonts w:ascii="Times New Roman" w:eastAsia="Times New Roman" w:hAnsi="Times New Roman" w:cs="Times New Roman"/>
          <w:sz w:val="24"/>
          <w:lang w:eastAsia="pt-BR"/>
        </w:rPr>
        <w:tab/>
        <w:t xml:space="preserve">termo contratual que permite ao emitente (ou seja, devedor) pagar antecipadamente o instrumento de dívida ou que permite ao titular (ou seja, credor) revender o instrumento de dívida ao emissor antes do seu vencimento e o valor do pagamento antecipado representar </w:t>
      </w:r>
      <w:r w:rsidRPr="00A73355">
        <w:rPr>
          <w:rFonts w:ascii="Times New Roman" w:eastAsia="Times New Roman" w:hAnsi="Times New Roman" w:cs="Times New Roman"/>
          <w:sz w:val="24"/>
          <w:lang w:eastAsia="pt-BR"/>
        </w:rPr>
        <w:lastRenderedPageBreak/>
        <w:t>substancialmente valores não pagos do principal ou de juros sobre o valor do principal em aberto, que podem incluir contraprestação razoável pela rescisão antecipada do contrato; e</w:t>
      </w:r>
    </w:p>
    <w:p w:rsidR="0065091F" w:rsidRPr="00A73355" w:rsidRDefault="0065091F" w:rsidP="0065091F">
      <w:pPr>
        <w:spacing w:after="0" w:line="240" w:lineRule="auto"/>
        <w:jc w:val="both"/>
        <w:rPr>
          <w:rFonts w:ascii="Times New Roman" w:eastAsia="Times New Roman" w:hAnsi="Times New Roman" w:cs="Times New Roman"/>
          <w:sz w:val="24"/>
          <w:lang w:eastAsia="pt-BR"/>
        </w:rPr>
      </w:pPr>
      <w:r w:rsidRPr="00A73355">
        <w:rPr>
          <w:rFonts w:ascii="Times New Roman" w:eastAsia="Times New Roman" w:hAnsi="Times New Roman" w:cs="Times New Roman"/>
          <w:sz w:val="24"/>
          <w:lang w:eastAsia="pt-BR"/>
        </w:rPr>
        <w:t>(c)</w:t>
      </w:r>
      <w:r w:rsidRPr="00A73355">
        <w:rPr>
          <w:rFonts w:ascii="Times New Roman" w:eastAsia="Times New Roman" w:hAnsi="Times New Roman" w:cs="Times New Roman"/>
          <w:sz w:val="24"/>
          <w:lang w:eastAsia="pt-BR"/>
        </w:rPr>
        <w:tab/>
        <w:t xml:space="preserve">termo contratual que permite ao emitente ou ao titular prorrogar o </w:t>
      </w:r>
      <w:r w:rsidR="00D41F64">
        <w:rPr>
          <w:rFonts w:ascii="Times New Roman" w:eastAsia="Times New Roman" w:hAnsi="Times New Roman" w:cs="Times New Roman"/>
          <w:sz w:val="24"/>
          <w:lang w:eastAsia="pt-BR"/>
        </w:rPr>
        <w:t>prazo</w:t>
      </w:r>
      <w:r w:rsidR="00D41F64" w:rsidRPr="00A73355">
        <w:rPr>
          <w:rFonts w:ascii="Times New Roman" w:eastAsia="Times New Roman" w:hAnsi="Times New Roman" w:cs="Times New Roman"/>
          <w:sz w:val="24"/>
          <w:lang w:eastAsia="pt-BR"/>
        </w:rPr>
        <w:t xml:space="preserve"> </w:t>
      </w:r>
      <w:r w:rsidRPr="00A73355">
        <w:rPr>
          <w:rFonts w:ascii="Times New Roman" w:eastAsia="Times New Roman" w:hAnsi="Times New Roman" w:cs="Times New Roman"/>
          <w:sz w:val="24"/>
          <w:lang w:eastAsia="pt-BR"/>
        </w:rPr>
        <w:t>contratual do instrumento de dívida (ou seja, opção de prorrogação) e os termos da opção de prorrogação resultarem em fluxos de caixa contratuais durante o período de prorrogação, que constituam exclusivamente pagamentos de principal e de juros sobre o valor do principal em aberto, que podem incluir contraprestação adicional razoável pela prorrogação do contrato.</w:t>
      </w:r>
    </w:p>
    <w:p w:rsidR="0065091F" w:rsidRPr="0058334A" w:rsidRDefault="0065091F" w:rsidP="0065091F">
      <w:pPr>
        <w:spacing w:after="0" w:line="240" w:lineRule="auto"/>
        <w:jc w:val="both"/>
        <w:rPr>
          <w:rFonts w:ascii="Times New Roman" w:eastAsia="Times New Roman" w:hAnsi="Times New Roman" w:cs="Times New Roman"/>
          <w:sz w:val="24"/>
          <w:lang w:eastAsia="pt-BR"/>
        </w:rPr>
      </w:pPr>
    </w:p>
    <w:p w:rsidR="0065091F" w:rsidRPr="00A73355" w:rsidRDefault="0065091F" w:rsidP="0065091F">
      <w:pPr>
        <w:spacing w:after="0" w:line="240" w:lineRule="auto"/>
        <w:jc w:val="both"/>
        <w:rPr>
          <w:rFonts w:ascii="Times New Roman" w:eastAsia="Times New Roman" w:hAnsi="Times New Roman" w:cs="Times New Roman"/>
          <w:sz w:val="24"/>
          <w:lang w:eastAsia="pt-BR"/>
        </w:rPr>
      </w:pPr>
      <w:proofErr w:type="gramStart"/>
      <w:r w:rsidRPr="00A73355">
        <w:rPr>
          <w:rFonts w:ascii="Times New Roman" w:eastAsia="Times New Roman" w:hAnsi="Times New Roman" w:cs="Times New Roman"/>
          <w:sz w:val="24"/>
          <w:lang w:eastAsia="pt-BR"/>
        </w:rPr>
        <w:t>B4.</w:t>
      </w:r>
      <w:proofErr w:type="gramEnd"/>
      <w:r w:rsidRPr="00A73355">
        <w:rPr>
          <w:rFonts w:ascii="Times New Roman" w:eastAsia="Times New Roman" w:hAnsi="Times New Roman" w:cs="Times New Roman"/>
          <w:sz w:val="24"/>
          <w:lang w:eastAsia="pt-BR"/>
        </w:rPr>
        <w:t>1.12</w:t>
      </w:r>
      <w:r w:rsidRPr="00A73355">
        <w:rPr>
          <w:rFonts w:ascii="Times New Roman" w:eastAsia="Times New Roman" w:hAnsi="Times New Roman" w:cs="Times New Roman"/>
          <w:sz w:val="24"/>
          <w:lang w:eastAsia="pt-BR"/>
        </w:rPr>
        <w:tab/>
        <w:t>Apesar do item B4.1.10, o ativo financeiro, que, também, atenda à condição descrita nos itens 4.1.2(b) e 4.1.2A(b), mas não faz isso somente como resultado do termo contratual que permite (ou exige) que o emitente pague antecipadamente o instrumento de dívida ou permite (ou exige) que o titular revenda o instrumento de dívida ao emitente antes do vencimento, é elegível para ser mensurado ao custo amortizado ou ao valor justo por meio de outros resultados abrangentes (sujeito ao cumprimento da condição descrita no item 4.1.2(a) ou da condição descrita no item 4.1.2A(a)) se:</w:t>
      </w:r>
    </w:p>
    <w:p w:rsidR="0065091F" w:rsidRPr="00A73355" w:rsidRDefault="0065091F" w:rsidP="0065091F">
      <w:pPr>
        <w:spacing w:after="0" w:line="240" w:lineRule="auto"/>
        <w:jc w:val="both"/>
        <w:rPr>
          <w:rFonts w:ascii="Times New Roman" w:eastAsia="Times New Roman" w:hAnsi="Times New Roman" w:cs="Times New Roman"/>
          <w:sz w:val="24"/>
          <w:lang w:eastAsia="pt-BR"/>
        </w:rPr>
      </w:pPr>
      <w:r w:rsidRPr="00A73355">
        <w:rPr>
          <w:rFonts w:ascii="Times New Roman" w:eastAsia="Times New Roman" w:hAnsi="Times New Roman" w:cs="Times New Roman"/>
          <w:sz w:val="24"/>
          <w:lang w:eastAsia="pt-BR"/>
        </w:rPr>
        <w:t>(a)</w:t>
      </w:r>
      <w:r w:rsidRPr="00A73355">
        <w:rPr>
          <w:rFonts w:ascii="Times New Roman" w:eastAsia="Times New Roman" w:hAnsi="Times New Roman" w:cs="Times New Roman"/>
          <w:sz w:val="24"/>
          <w:lang w:eastAsia="pt-BR"/>
        </w:rPr>
        <w:tab/>
        <w:t>a entidade adquirir ou conceder o ativo financeiro com ágio ou deságio em relação ao valor nominal contratual;</w:t>
      </w:r>
    </w:p>
    <w:p w:rsidR="0065091F" w:rsidRPr="00A73355" w:rsidRDefault="0065091F" w:rsidP="0065091F">
      <w:pPr>
        <w:spacing w:after="0" w:line="240" w:lineRule="auto"/>
        <w:jc w:val="both"/>
        <w:rPr>
          <w:rFonts w:ascii="Times New Roman" w:eastAsia="Times New Roman" w:hAnsi="Times New Roman" w:cs="Times New Roman"/>
          <w:sz w:val="24"/>
          <w:lang w:eastAsia="pt-BR"/>
        </w:rPr>
      </w:pPr>
      <w:r w:rsidRPr="00A73355">
        <w:rPr>
          <w:rFonts w:ascii="Times New Roman" w:eastAsia="Times New Roman" w:hAnsi="Times New Roman" w:cs="Times New Roman"/>
          <w:sz w:val="24"/>
          <w:lang w:eastAsia="pt-BR"/>
        </w:rPr>
        <w:t>(b)</w:t>
      </w:r>
      <w:r w:rsidRPr="00A73355">
        <w:rPr>
          <w:rFonts w:ascii="Times New Roman" w:eastAsia="Times New Roman" w:hAnsi="Times New Roman" w:cs="Times New Roman"/>
          <w:sz w:val="24"/>
          <w:lang w:eastAsia="pt-BR"/>
        </w:rPr>
        <w:tab/>
        <w:t>o valor do pagamento antecipado representa substancialmente o valor nominal contratual e juros contratuais acumulados (em aberto), que podem incluir contraprestação razoável pela rescisão antecipada do contrato; e</w:t>
      </w:r>
    </w:p>
    <w:p w:rsidR="0065091F" w:rsidRPr="00A73355" w:rsidRDefault="0065091F" w:rsidP="0065091F">
      <w:pPr>
        <w:spacing w:after="0" w:line="240" w:lineRule="auto"/>
        <w:jc w:val="both"/>
        <w:rPr>
          <w:rFonts w:ascii="Times New Roman" w:eastAsia="Times New Roman" w:hAnsi="Times New Roman" w:cs="Times New Roman"/>
          <w:sz w:val="24"/>
          <w:lang w:eastAsia="pt-BR"/>
        </w:rPr>
      </w:pPr>
      <w:r w:rsidRPr="00A73355">
        <w:rPr>
          <w:rFonts w:ascii="Times New Roman" w:eastAsia="Times New Roman" w:hAnsi="Times New Roman" w:cs="Times New Roman"/>
          <w:sz w:val="24"/>
          <w:lang w:eastAsia="pt-BR"/>
        </w:rPr>
        <w:t>(c)</w:t>
      </w:r>
      <w:r w:rsidRPr="00A73355">
        <w:rPr>
          <w:rFonts w:ascii="Times New Roman" w:eastAsia="Times New Roman" w:hAnsi="Times New Roman" w:cs="Times New Roman"/>
          <w:sz w:val="24"/>
          <w:lang w:eastAsia="pt-BR"/>
        </w:rPr>
        <w:tab/>
        <w:t>quando a entidade inicialmente reconhecer o ativo financeiro, o valor justo do elemento de pagamento antecipado for insignificante.</w:t>
      </w:r>
    </w:p>
    <w:p w:rsidR="0065091F" w:rsidRPr="00A73355" w:rsidRDefault="0065091F" w:rsidP="0065091F">
      <w:pPr>
        <w:spacing w:after="0" w:line="240" w:lineRule="auto"/>
        <w:jc w:val="both"/>
        <w:rPr>
          <w:rFonts w:ascii="Times New Roman" w:eastAsia="Times New Roman" w:hAnsi="Times New Roman" w:cs="Times New Roman"/>
          <w:sz w:val="24"/>
          <w:lang w:eastAsia="pt-BR"/>
        </w:rPr>
      </w:pPr>
    </w:p>
    <w:p w:rsidR="0065091F" w:rsidRPr="00F330C7" w:rsidRDefault="003E4337" w:rsidP="0065091F">
      <w:pPr>
        <w:spacing w:after="0" w:line="240" w:lineRule="auto"/>
        <w:jc w:val="both"/>
        <w:rPr>
          <w:rFonts w:ascii="Times New Roman" w:eastAsia="Times New Roman" w:hAnsi="Times New Roman" w:cs="Times New Roman"/>
          <w:sz w:val="24"/>
          <w:u w:val="single"/>
          <w:lang w:eastAsia="pt-BR"/>
        </w:rPr>
      </w:pPr>
      <w:r w:rsidRPr="003E4337">
        <w:rPr>
          <w:rFonts w:ascii="Times New Roman" w:eastAsia="Times New Roman" w:hAnsi="Times New Roman" w:cs="Times New Roman"/>
          <w:sz w:val="24"/>
          <w:u w:val="single"/>
          <w:lang w:eastAsia="pt-BR"/>
        </w:rPr>
        <w:t xml:space="preserve">B4.1.12A Para efeitos de aplicação dos itens B4.1.11(b) e B4.1.12(b), independentemente do evento ou circunstância que cause a rescisão antecipada do contrato, uma parte pode pagar ou receber </w:t>
      </w:r>
      <w:r w:rsidR="00B4255A">
        <w:rPr>
          <w:rFonts w:ascii="Times New Roman" w:eastAsia="Times New Roman" w:hAnsi="Times New Roman" w:cs="Times New Roman"/>
          <w:sz w:val="24"/>
          <w:u w:val="single"/>
          <w:lang w:eastAsia="pt-BR"/>
        </w:rPr>
        <w:t>compensação</w:t>
      </w:r>
      <w:r w:rsidR="00B4255A" w:rsidRPr="003E4337">
        <w:rPr>
          <w:rFonts w:ascii="Times New Roman" w:eastAsia="Times New Roman" w:hAnsi="Times New Roman" w:cs="Times New Roman"/>
          <w:sz w:val="24"/>
          <w:u w:val="single"/>
          <w:lang w:eastAsia="pt-BR"/>
        </w:rPr>
        <w:t xml:space="preserve"> </w:t>
      </w:r>
      <w:r w:rsidRPr="003E4337">
        <w:rPr>
          <w:rFonts w:ascii="Times New Roman" w:eastAsia="Times New Roman" w:hAnsi="Times New Roman" w:cs="Times New Roman"/>
          <w:sz w:val="24"/>
          <w:u w:val="single"/>
          <w:lang w:eastAsia="pt-BR"/>
        </w:rPr>
        <w:t xml:space="preserve">razoável pela rescisão antecipada. Por exemplo, uma parte pode pagar ou receber compensação razoável quando optar por rescindir o contrato antecipadamente (ou, de </w:t>
      </w:r>
      <w:r w:rsidR="00B4255A">
        <w:rPr>
          <w:rFonts w:ascii="Times New Roman" w:eastAsia="Times New Roman" w:hAnsi="Times New Roman" w:cs="Times New Roman"/>
          <w:sz w:val="24"/>
          <w:u w:val="single"/>
          <w:lang w:eastAsia="pt-BR"/>
        </w:rPr>
        <w:t>maneira diferente</w:t>
      </w:r>
      <w:r w:rsidRPr="003E4337">
        <w:rPr>
          <w:rFonts w:ascii="Times New Roman" w:eastAsia="Times New Roman" w:hAnsi="Times New Roman" w:cs="Times New Roman"/>
          <w:sz w:val="24"/>
          <w:u w:val="single"/>
          <w:lang w:eastAsia="pt-BR"/>
        </w:rPr>
        <w:t>, por provocar a rescisão antecipada).</w:t>
      </w:r>
    </w:p>
    <w:p w:rsidR="0065091F" w:rsidRPr="00A73355" w:rsidRDefault="0065091F" w:rsidP="0065091F">
      <w:pPr>
        <w:spacing w:after="0" w:line="240" w:lineRule="auto"/>
        <w:jc w:val="both"/>
        <w:rPr>
          <w:rFonts w:ascii="Times New Roman" w:eastAsia="Times New Roman" w:hAnsi="Times New Roman" w:cs="Times New Roman"/>
          <w:sz w:val="24"/>
          <w:lang w:eastAsia="pt-BR"/>
        </w:rPr>
      </w:pPr>
    </w:p>
    <w:p w:rsidR="00C1486B" w:rsidRPr="009D7030" w:rsidRDefault="00C1486B" w:rsidP="00C1486B">
      <w:pPr>
        <w:spacing w:after="0" w:line="240" w:lineRule="auto"/>
        <w:jc w:val="both"/>
        <w:rPr>
          <w:rFonts w:ascii="Times New Roman" w:hAnsi="Times New Roman" w:cs="Times New Roman"/>
          <w:sz w:val="24"/>
          <w:szCs w:val="24"/>
        </w:rPr>
      </w:pPr>
      <w:proofErr w:type="gramStart"/>
      <w:r w:rsidRPr="009D7030">
        <w:rPr>
          <w:rFonts w:ascii="Times New Roman" w:hAnsi="Times New Roman" w:cs="Times New Roman"/>
          <w:sz w:val="24"/>
          <w:szCs w:val="24"/>
        </w:rPr>
        <w:t>B4.</w:t>
      </w:r>
      <w:proofErr w:type="gramEnd"/>
      <w:r w:rsidRPr="009D7030">
        <w:rPr>
          <w:rFonts w:ascii="Times New Roman" w:hAnsi="Times New Roman" w:cs="Times New Roman"/>
          <w:sz w:val="24"/>
          <w:szCs w:val="24"/>
        </w:rPr>
        <w:t>3.8</w:t>
      </w:r>
      <w:r w:rsidRPr="009D7030">
        <w:rPr>
          <w:rFonts w:ascii="Times New Roman" w:hAnsi="Times New Roman" w:cs="Times New Roman"/>
          <w:sz w:val="24"/>
          <w:szCs w:val="24"/>
        </w:rPr>
        <w:tab/>
        <w:t>As características e os riscos econômicos do derivativo embutido são estreitamente relacionados às características e riscos econômicos do contrato principal, nos exemplos a seguir. Nesses exemplos, a entidade não deve contabilizar o derivativo embutido separadamente do contrato principal.</w:t>
      </w:r>
    </w:p>
    <w:p w:rsidR="00C1486B" w:rsidRDefault="00C1486B" w:rsidP="00C1486B">
      <w:pPr>
        <w:pStyle w:val="PargrafodaLista"/>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p>
    <w:p w:rsidR="00C1486B" w:rsidRPr="00EB45B3" w:rsidRDefault="00C1486B" w:rsidP="00C1486B">
      <w:pPr>
        <w:pStyle w:val="PargrafodaLista"/>
        <w:spacing w:after="0" w:line="240" w:lineRule="auto"/>
        <w:ind w:left="426" w:hanging="426"/>
        <w:jc w:val="both"/>
        <w:rPr>
          <w:rFonts w:ascii="Times New Roman" w:hAnsi="Times New Roman" w:cs="Times New Roman"/>
          <w:sz w:val="24"/>
          <w:szCs w:val="24"/>
        </w:rPr>
      </w:pPr>
      <w:r w:rsidRPr="00EB45B3">
        <w:rPr>
          <w:rFonts w:ascii="Times New Roman" w:hAnsi="Times New Roman" w:cs="Times New Roman"/>
          <w:sz w:val="24"/>
          <w:szCs w:val="24"/>
        </w:rPr>
        <w:t>(f)</w:t>
      </w:r>
      <w:r w:rsidRPr="00EB45B3">
        <w:rPr>
          <w:rFonts w:ascii="Times New Roman" w:hAnsi="Times New Roman" w:cs="Times New Roman"/>
          <w:sz w:val="24"/>
          <w:szCs w:val="24"/>
        </w:rPr>
        <w:tab/>
        <w:t>O derivativo embutido em contrato de arrendamento principal está estreitamente relacionado ao contrato principal, se o derivativo embutido for (i) índice relacionado à inflação, como, por exemplo, índice de pagamentos de arrendamento a</w:t>
      </w:r>
      <w:r w:rsidR="00F330C7">
        <w:rPr>
          <w:rFonts w:ascii="Times New Roman" w:hAnsi="Times New Roman" w:cs="Times New Roman"/>
          <w:sz w:val="24"/>
          <w:szCs w:val="24"/>
        </w:rPr>
        <w:t>o</w:t>
      </w:r>
      <w:r w:rsidRPr="00EB45B3">
        <w:rPr>
          <w:rFonts w:ascii="Times New Roman" w:hAnsi="Times New Roman" w:cs="Times New Roman"/>
          <w:sz w:val="24"/>
          <w:szCs w:val="24"/>
        </w:rPr>
        <w:t xml:space="preserve"> índice de preços ao consumidor (desde que o arrendamento não seja alavancado e o índice esteja relacionado à inflação no próprio ambiente econômico da entidade), (ii) </w:t>
      </w:r>
      <w:r w:rsidRPr="00C1486B">
        <w:rPr>
          <w:rFonts w:ascii="Times New Roman" w:hAnsi="Times New Roman" w:cs="Times New Roman"/>
          <w:sz w:val="24"/>
          <w:szCs w:val="24"/>
          <w:u w:val="single"/>
        </w:rPr>
        <w:t>pagamentos variáveis de arrendamento</w:t>
      </w:r>
      <w:r w:rsidRPr="00EB45B3">
        <w:rPr>
          <w:rFonts w:ascii="Times New Roman" w:hAnsi="Times New Roman" w:cs="Times New Roman"/>
          <w:sz w:val="24"/>
          <w:szCs w:val="24"/>
        </w:rPr>
        <w:t xml:space="preserve"> baseados nas respectivas vendas ou (iii) </w:t>
      </w:r>
      <w:r w:rsidRPr="00C1486B">
        <w:rPr>
          <w:rFonts w:ascii="Times New Roman" w:hAnsi="Times New Roman" w:cs="Times New Roman"/>
          <w:sz w:val="24"/>
          <w:szCs w:val="24"/>
          <w:u w:val="single"/>
        </w:rPr>
        <w:t>pagamentos variáveis de arrendamento</w:t>
      </w:r>
      <w:r w:rsidRPr="00EB45B3">
        <w:rPr>
          <w:rFonts w:ascii="Times New Roman" w:hAnsi="Times New Roman" w:cs="Times New Roman"/>
          <w:sz w:val="24"/>
          <w:szCs w:val="24"/>
        </w:rPr>
        <w:t xml:space="preserve"> baseados em taxas de juros variáveis.</w:t>
      </w:r>
    </w:p>
    <w:p w:rsidR="00C1486B" w:rsidRPr="00A2302E" w:rsidRDefault="00C1486B" w:rsidP="00C1486B">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(g) (...)</w:t>
      </w:r>
    </w:p>
    <w:p w:rsidR="00C1486B" w:rsidRPr="00A2302E" w:rsidRDefault="00C1486B" w:rsidP="00C1486B">
      <w:pPr>
        <w:spacing w:after="0" w:line="240" w:lineRule="auto"/>
        <w:jc w:val="both"/>
        <w:rPr>
          <w:rFonts w:ascii="Times New Roman" w:hAnsi="Times New Roman" w:cs="Times New Roman"/>
          <w:sz w:val="24"/>
          <w:szCs w:val="24"/>
        </w:rPr>
      </w:pPr>
    </w:p>
    <w:p w:rsidR="006D0AD9" w:rsidRPr="0058334A" w:rsidRDefault="006D0AD9" w:rsidP="004A4156">
      <w:pPr>
        <w:spacing w:after="0" w:line="240" w:lineRule="auto"/>
        <w:jc w:val="both"/>
        <w:rPr>
          <w:rFonts w:ascii="Times New Roman" w:hAnsi="Times New Roman" w:cs="Times New Roman"/>
          <w:sz w:val="24"/>
          <w:szCs w:val="24"/>
        </w:rPr>
      </w:pPr>
    </w:p>
    <w:p w:rsidR="00FE3547" w:rsidRPr="00A2302E" w:rsidRDefault="00FE3547" w:rsidP="004A4156">
      <w:pPr>
        <w:spacing w:after="0" w:line="240" w:lineRule="auto"/>
        <w:jc w:val="both"/>
        <w:rPr>
          <w:rFonts w:ascii="Times New Roman" w:hAnsi="Times New Roman" w:cs="Times New Roman"/>
          <w:sz w:val="24"/>
          <w:szCs w:val="24"/>
        </w:rPr>
      </w:pPr>
    </w:p>
    <w:p w:rsidR="000542C3" w:rsidRPr="00A2302E" w:rsidRDefault="000542C3" w:rsidP="004A4156">
      <w:pPr>
        <w:spacing w:after="0" w:line="240" w:lineRule="auto"/>
        <w:jc w:val="both"/>
        <w:rPr>
          <w:rFonts w:ascii="Times New Roman" w:hAnsi="Times New Roman" w:cs="Times New Roman"/>
          <w:sz w:val="24"/>
          <w:szCs w:val="24"/>
        </w:rPr>
      </w:pPr>
      <w:r w:rsidRPr="00A2302E">
        <w:rPr>
          <w:rFonts w:ascii="Times New Roman" w:hAnsi="Times New Roman" w:cs="Times New Roman"/>
          <w:b/>
          <w:sz w:val="24"/>
          <w:szCs w:val="24"/>
        </w:rPr>
        <w:t>2</w:t>
      </w:r>
      <w:r w:rsidR="00F65273">
        <w:rPr>
          <w:rFonts w:ascii="Times New Roman" w:hAnsi="Times New Roman" w:cs="Times New Roman"/>
          <w:b/>
          <w:sz w:val="24"/>
          <w:szCs w:val="24"/>
        </w:rPr>
        <w:t>2</w:t>
      </w:r>
      <w:r w:rsidRPr="00A2302E">
        <w:rPr>
          <w:rFonts w:ascii="Times New Roman" w:hAnsi="Times New Roman" w:cs="Times New Roman"/>
          <w:b/>
          <w:sz w:val="24"/>
          <w:szCs w:val="24"/>
        </w:rPr>
        <w:t xml:space="preserve">. </w:t>
      </w:r>
      <w:r w:rsidRPr="00A2302E">
        <w:rPr>
          <w:rFonts w:ascii="Times New Roman" w:hAnsi="Times New Roman" w:cs="Times New Roman"/>
          <w:b/>
          <w:sz w:val="24"/>
          <w:szCs w:val="24"/>
        </w:rPr>
        <w:tab/>
        <w:t xml:space="preserve">Altera o título Referências na ICPC </w:t>
      </w:r>
      <w:r w:rsidR="00892558" w:rsidRPr="00A2302E">
        <w:rPr>
          <w:rFonts w:ascii="Times New Roman" w:hAnsi="Times New Roman" w:cs="Times New Roman"/>
          <w:b/>
          <w:sz w:val="24"/>
          <w:szCs w:val="24"/>
        </w:rPr>
        <w:t>01 (R1)</w:t>
      </w:r>
      <w:r w:rsidRPr="00A2302E">
        <w:rPr>
          <w:rFonts w:ascii="Times New Roman" w:hAnsi="Times New Roman" w:cs="Times New Roman"/>
          <w:b/>
          <w:sz w:val="24"/>
          <w:szCs w:val="24"/>
        </w:rPr>
        <w:t xml:space="preserve"> – </w:t>
      </w:r>
      <w:r w:rsidR="00892558" w:rsidRPr="00A2302E">
        <w:rPr>
          <w:rFonts w:ascii="Times New Roman" w:hAnsi="Times New Roman" w:cs="Times New Roman"/>
          <w:b/>
          <w:sz w:val="24"/>
          <w:szCs w:val="24"/>
        </w:rPr>
        <w:t>Contratos de Concessão</w:t>
      </w:r>
      <w:r w:rsidRPr="00A2302E">
        <w:rPr>
          <w:rFonts w:ascii="Times New Roman" w:hAnsi="Times New Roman" w:cs="Times New Roman"/>
          <w:b/>
          <w:sz w:val="24"/>
          <w:szCs w:val="24"/>
        </w:rPr>
        <w:t>, que passa a vigorar com a seguinte redação:</w:t>
      </w:r>
    </w:p>
    <w:p w:rsidR="000542C3" w:rsidRPr="00A2302E" w:rsidRDefault="000542C3" w:rsidP="004A4156">
      <w:pPr>
        <w:spacing w:after="0" w:line="240" w:lineRule="auto"/>
        <w:jc w:val="both"/>
        <w:rPr>
          <w:rFonts w:ascii="Times New Roman" w:hAnsi="Times New Roman" w:cs="Times New Roman"/>
          <w:sz w:val="24"/>
          <w:szCs w:val="24"/>
        </w:rPr>
      </w:pPr>
    </w:p>
    <w:p w:rsidR="00605569" w:rsidRPr="000876D4" w:rsidRDefault="000876D4" w:rsidP="00605569">
      <w:pPr>
        <w:spacing w:after="0" w:line="240" w:lineRule="auto"/>
        <w:jc w:val="both"/>
        <w:rPr>
          <w:rFonts w:ascii="Times New Roman" w:hAnsi="Times New Roman" w:cs="Times New Roman"/>
          <w:b/>
          <w:sz w:val="24"/>
          <w:szCs w:val="24"/>
        </w:rPr>
      </w:pPr>
      <w:r w:rsidRPr="000876D4">
        <w:rPr>
          <w:rFonts w:ascii="Times New Roman" w:hAnsi="Times New Roman" w:cs="Times New Roman"/>
          <w:b/>
          <w:sz w:val="24"/>
          <w:szCs w:val="24"/>
        </w:rPr>
        <w:t>ALTERADO</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t>CPC 00 – Estrutura Conceitual para Elaboração e Divulgação de Relatório Contábil-Financeiro</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t>CPC 37 – Adoção Inicial das Normas Internacionais de Contabilidade</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lastRenderedPageBreak/>
        <w:t>•</w:t>
      </w:r>
      <w:r w:rsidRPr="00605569">
        <w:rPr>
          <w:rFonts w:ascii="Times New Roman" w:hAnsi="Times New Roman" w:cs="Times New Roman"/>
          <w:sz w:val="24"/>
          <w:szCs w:val="24"/>
        </w:rPr>
        <w:tab/>
        <w:t>CPC 40 – Instrumentos Financeiros: Evidenciação</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t xml:space="preserve">CPC 23 – Políticas Contábeis, Mudança de Estimativa e Retificação de Erro </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r>
      <w:r w:rsidR="00E225A3" w:rsidRPr="00E225A3">
        <w:rPr>
          <w:rFonts w:ascii="Times New Roman" w:hAnsi="Times New Roman" w:cs="Times New Roman"/>
          <w:strike/>
          <w:sz w:val="24"/>
          <w:szCs w:val="24"/>
        </w:rPr>
        <w:t>CPC 17 – Contratos de Construção</w:t>
      </w:r>
      <w:r w:rsidRPr="00605569">
        <w:rPr>
          <w:rFonts w:ascii="Times New Roman" w:hAnsi="Times New Roman" w:cs="Times New Roman"/>
          <w:sz w:val="24"/>
          <w:szCs w:val="24"/>
        </w:rPr>
        <w:t xml:space="preserve"> (Eliminado pela Revisão CPC 12)</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t>CPC 27 – Ativo Imobilizado</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t>CPC 06 – Operações de Arrendamento Mercantil</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r>
      <w:r w:rsidR="00E225A3" w:rsidRPr="00E225A3">
        <w:rPr>
          <w:rFonts w:ascii="Times New Roman" w:hAnsi="Times New Roman" w:cs="Times New Roman"/>
          <w:strike/>
          <w:sz w:val="24"/>
          <w:szCs w:val="24"/>
        </w:rPr>
        <w:t>CPC 30 – Receitas</w:t>
      </w:r>
      <w:r w:rsidRPr="00605569">
        <w:rPr>
          <w:rFonts w:ascii="Times New Roman" w:hAnsi="Times New Roman" w:cs="Times New Roman"/>
          <w:sz w:val="24"/>
          <w:szCs w:val="24"/>
        </w:rPr>
        <w:t xml:space="preserve"> (Eliminado pela Revisão CPC 12)</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t>CPC 07 – Subvenção e Assistência Governamentais</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t>CPC 20 – Custos de Empréstimos</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t>CPC 39 – Instrumentos Financeiros: Apresentação</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t>CPC 01 – Redução ao Valor Recuperável de Ativos</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t>CPC 25 – Provisões, Passivos Contingentes e Ativos Contingentes</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t>CPC 04 – Ativo Intangível</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r>
      <w:r w:rsidR="00E225A3" w:rsidRPr="00E225A3">
        <w:rPr>
          <w:rFonts w:ascii="Times New Roman" w:hAnsi="Times New Roman" w:cs="Times New Roman"/>
          <w:strike/>
          <w:sz w:val="24"/>
          <w:szCs w:val="24"/>
        </w:rPr>
        <w:t>CPC 38 – Instrumentos Financeiros: Reconhecimento e Mensuração</w:t>
      </w:r>
      <w:r w:rsidRPr="00605569">
        <w:rPr>
          <w:rFonts w:ascii="Times New Roman" w:hAnsi="Times New Roman" w:cs="Times New Roman"/>
          <w:sz w:val="24"/>
          <w:szCs w:val="24"/>
        </w:rPr>
        <w:t xml:space="preserve"> (Eliminado pela Revisão CPC 12)</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t>CPC 47 – Receita de Contrato com Cliente (Incluído pela Revisão CPC 12)</w:t>
      </w:r>
    </w:p>
    <w:p w:rsidR="00605569" w:rsidRP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t>CPC 48 – Instrumentos Financeiros (Incluído pela Revisão CPC 12)</w:t>
      </w:r>
    </w:p>
    <w:p w:rsidR="00605569" w:rsidRDefault="00605569" w:rsidP="00E426CB">
      <w:pPr>
        <w:spacing w:after="0" w:line="240" w:lineRule="auto"/>
        <w:ind w:left="567" w:hanging="567"/>
        <w:jc w:val="both"/>
        <w:rPr>
          <w:rFonts w:ascii="Times New Roman" w:hAnsi="Times New Roman" w:cs="Times New Roman"/>
          <w:sz w:val="24"/>
          <w:szCs w:val="24"/>
        </w:rPr>
      </w:pPr>
      <w:r w:rsidRPr="00605569">
        <w:rPr>
          <w:rFonts w:ascii="Times New Roman" w:hAnsi="Times New Roman" w:cs="Times New Roman"/>
          <w:sz w:val="24"/>
          <w:szCs w:val="24"/>
        </w:rPr>
        <w:t>•</w:t>
      </w:r>
      <w:r w:rsidRPr="00605569">
        <w:rPr>
          <w:rFonts w:ascii="Times New Roman" w:hAnsi="Times New Roman" w:cs="Times New Roman"/>
          <w:sz w:val="24"/>
          <w:szCs w:val="24"/>
        </w:rPr>
        <w:tab/>
      </w:r>
      <w:r w:rsidRPr="000876D4">
        <w:rPr>
          <w:rFonts w:ascii="Times New Roman" w:hAnsi="Times New Roman" w:cs="Times New Roman"/>
          <w:strike/>
          <w:sz w:val="24"/>
          <w:szCs w:val="24"/>
        </w:rPr>
        <w:t>ICPC 03 – Aspectos Complementares das Operações de Arrendamento Mercantil, parte A: Determinação se um Contrato contém Arrendamento</w:t>
      </w:r>
      <w:r w:rsidR="000876D4" w:rsidRPr="000876D4">
        <w:rPr>
          <w:rFonts w:ascii="Times New Roman" w:hAnsi="Times New Roman" w:cs="Times New Roman"/>
          <w:sz w:val="24"/>
          <w:szCs w:val="24"/>
        </w:rPr>
        <w:t xml:space="preserve"> Eliminado</w:t>
      </w:r>
    </w:p>
    <w:p w:rsidR="00605569" w:rsidRDefault="00605569" w:rsidP="004A4156">
      <w:pPr>
        <w:spacing w:after="0" w:line="240" w:lineRule="auto"/>
        <w:jc w:val="both"/>
        <w:rPr>
          <w:rFonts w:ascii="Times New Roman" w:hAnsi="Times New Roman" w:cs="Times New Roman"/>
          <w:sz w:val="24"/>
          <w:szCs w:val="24"/>
        </w:rPr>
      </w:pPr>
    </w:p>
    <w:p w:rsidR="00FE3547" w:rsidRDefault="00FE3547" w:rsidP="004A4156">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b/>
          <w:sz w:val="24"/>
          <w:szCs w:val="24"/>
        </w:rPr>
      </w:pPr>
      <w:r w:rsidRPr="00A2302E">
        <w:rPr>
          <w:rFonts w:ascii="Times New Roman" w:hAnsi="Times New Roman" w:cs="Times New Roman"/>
          <w:b/>
          <w:sz w:val="24"/>
          <w:szCs w:val="24"/>
        </w:rPr>
        <w:t>2</w:t>
      </w:r>
      <w:r w:rsidR="00F65273">
        <w:rPr>
          <w:rFonts w:ascii="Times New Roman" w:hAnsi="Times New Roman" w:cs="Times New Roman"/>
          <w:b/>
          <w:sz w:val="24"/>
          <w:szCs w:val="24"/>
        </w:rPr>
        <w:t>3</w:t>
      </w:r>
      <w:r w:rsidRPr="00A2302E">
        <w:rPr>
          <w:rFonts w:ascii="Times New Roman" w:hAnsi="Times New Roman" w:cs="Times New Roman"/>
          <w:b/>
          <w:sz w:val="24"/>
          <w:szCs w:val="24"/>
        </w:rPr>
        <w:t xml:space="preserve">. </w:t>
      </w:r>
      <w:r w:rsidRPr="00A2302E">
        <w:rPr>
          <w:rFonts w:ascii="Times New Roman" w:hAnsi="Times New Roman" w:cs="Times New Roman"/>
          <w:b/>
          <w:sz w:val="24"/>
          <w:szCs w:val="24"/>
        </w:rPr>
        <w:tab/>
        <w:t>Altera o item 2 na ICPC 12 – Mudanças em Passivos Financeiros, Restauração e Outros Passivos Similares, que passa a vigorar com a seguinte redação:</w:t>
      </w:r>
    </w:p>
    <w:p w:rsidR="004A0ED3" w:rsidRPr="00A2302E" w:rsidRDefault="004A0ED3" w:rsidP="004A0ED3">
      <w:pPr>
        <w:spacing w:after="0" w:line="240" w:lineRule="auto"/>
        <w:jc w:val="both"/>
        <w:rPr>
          <w:rFonts w:ascii="Times New Roman" w:hAnsi="Times New Roman" w:cs="Times New Roman"/>
          <w:sz w:val="24"/>
          <w:szCs w:val="24"/>
        </w:rPr>
      </w:pP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 xml:space="preserve">2. </w:t>
      </w:r>
      <w:r w:rsidRPr="00A2302E">
        <w:rPr>
          <w:rFonts w:ascii="Times New Roman" w:hAnsi="Times New Roman" w:cs="Times New Roman"/>
          <w:sz w:val="24"/>
          <w:szCs w:val="24"/>
        </w:rPr>
        <w:tab/>
        <w:t xml:space="preserve">Esta </w:t>
      </w:r>
      <w:r w:rsidR="00F330C7" w:rsidRPr="00A2302E">
        <w:rPr>
          <w:rFonts w:ascii="Times New Roman" w:hAnsi="Times New Roman" w:cs="Times New Roman"/>
          <w:sz w:val="24"/>
          <w:szCs w:val="24"/>
        </w:rPr>
        <w:t>i</w:t>
      </w:r>
      <w:r w:rsidRPr="00A2302E">
        <w:rPr>
          <w:rFonts w:ascii="Times New Roman" w:hAnsi="Times New Roman" w:cs="Times New Roman"/>
          <w:sz w:val="24"/>
          <w:szCs w:val="24"/>
        </w:rPr>
        <w:t>nterpretação é aplicável às mudanças na mensuração de qualquer passivo por desativação, restauração ou outro passivo similar que:</w:t>
      </w:r>
    </w:p>
    <w:p w:rsidR="004A0ED3" w:rsidRPr="00A2302E" w:rsidRDefault="004A0ED3" w:rsidP="004A0ED3">
      <w:pPr>
        <w:spacing w:after="0" w:line="240" w:lineRule="auto"/>
        <w:jc w:val="both"/>
        <w:rPr>
          <w:rFonts w:ascii="Times New Roman" w:hAnsi="Times New Roman" w:cs="Times New Roman"/>
          <w:sz w:val="24"/>
          <w:szCs w:val="24"/>
        </w:rPr>
      </w:pPr>
      <w:r w:rsidRPr="00A2302E">
        <w:rPr>
          <w:rFonts w:ascii="Times New Roman" w:hAnsi="Times New Roman" w:cs="Times New Roman"/>
          <w:sz w:val="24"/>
          <w:szCs w:val="24"/>
        </w:rPr>
        <w:t>(a)</w:t>
      </w:r>
      <w:r w:rsidRPr="00A2302E">
        <w:rPr>
          <w:rFonts w:ascii="Times New Roman" w:hAnsi="Times New Roman" w:cs="Times New Roman"/>
          <w:sz w:val="24"/>
          <w:szCs w:val="24"/>
        </w:rPr>
        <w:tab/>
        <w:t>seja reconhecido como parte do custo de item do imobilizado</w:t>
      </w:r>
      <w:r w:rsidR="00F330C7" w:rsidRPr="00A2302E">
        <w:rPr>
          <w:rFonts w:ascii="Times New Roman" w:hAnsi="Times New Roman" w:cs="Times New Roman"/>
          <w:sz w:val="24"/>
          <w:szCs w:val="24"/>
        </w:rPr>
        <w:t>,</w:t>
      </w:r>
      <w:r w:rsidRPr="00A2302E">
        <w:rPr>
          <w:rFonts w:ascii="Times New Roman" w:hAnsi="Times New Roman" w:cs="Times New Roman"/>
          <w:sz w:val="24"/>
          <w:szCs w:val="24"/>
        </w:rPr>
        <w:t xml:space="preserve"> de acordo com o CPC 27 – Ativo Imobilizado</w:t>
      </w:r>
      <w:r w:rsidR="00F330C7" w:rsidRPr="00A2302E">
        <w:rPr>
          <w:rFonts w:ascii="Times New Roman" w:hAnsi="Times New Roman" w:cs="Times New Roman"/>
          <w:sz w:val="24"/>
          <w:szCs w:val="24"/>
        </w:rPr>
        <w:t>,</w:t>
      </w:r>
      <w:r w:rsidRPr="00A2302E">
        <w:rPr>
          <w:rFonts w:ascii="Times New Roman" w:hAnsi="Times New Roman" w:cs="Times New Roman"/>
          <w:sz w:val="24"/>
          <w:szCs w:val="24"/>
        </w:rPr>
        <w:t xml:space="preserve"> </w:t>
      </w:r>
      <w:r w:rsidR="003E4337" w:rsidRPr="00A2302E">
        <w:rPr>
          <w:rFonts w:ascii="Times New Roman" w:hAnsi="Times New Roman" w:cs="Times New Roman"/>
          <w:sz w:val="24"/>
          <w:szCs w:val="24"/>
          <w:u w:val="single"/>
        </w:rPr>
        <w:t>ou como parte do custo de ativo de direito de uso de acordo com o CPC 06</w:t>
      </w:r>
      <w:r w:rsidRPr="00A2302E">
        <w:rPr>
          <w:rFonts w:ascii="Times New Roman" w:hAnsi="Times New Roman" w:cs="Times New Roman"/>
          <w:sz w:val="24"/>
          <w:szCs w:val="24"/>
        </w:rPr>
        <w:t>; e</w:t>
      </w:r>
    </w:p>
    <w:p w:rsidR="004A0ED3" w:rsidRPr="004A0ED3" w:rsidRDefault="004A0ED3" w:rsidP="004A0ED3">
      <w:pPr>
        <w:spacing w:after="0" w:line="240" w:lineRule="auto"/>
        <w:jc w:val="both"/>
        <w:rPr>
          <w:rFonts w:ascii="Times New Roman" w:hAnsi="Times New Roman" w:cs="Times New Roman"/>
          <w:sz w:val="24"/>
          <w:szCs w:val="24"/>
          <w:lang w:val="en-US"/>
        </w:rPr>
      </w:pPr>
      <w:r w:rsidRPr="004A0ED3">
        <w:rPr>
          <w:rFonts w:ascii="Times New Roman" w:hAnsi="Times New Roman" w:cs="Times New Roman"/>
          <w:sz w:val="24"/>
          <w:szCs w:val="24"/>
          <w:lang w:val="en-US"/>
        </w:rPr>
        <w:t>(b) (...)</w:t>
      </w:r>
    </w:p>
    <w:p w:rsidR="000542C3" w:rsidRDefault="000542C3" w:rsidP="004A4156">
      <w:pPr>
        <w:spacing w:after="0" w:line="240" w:lineRule="auto"/>
        <w:jc w:val="both"/>
        <w:rPr>
          <w:rFonts w:ascii="Times New Roman" w:hAnsi="Times New Roman" w:cs="Times New Roman"/>
          <w:sz w:val="24"/>
          <w:szCs w:val="24"/>
          <w:lang w:val="en-US"/>
        </w:rPr>
      </w:pPr>
    </w:p>
    <w:p w:rsidR="00600140" w:rsidRDefault="00600140" w:rsidP="004A4156">
      <w:pPr>
        <w:spacing w:after="0" w:line="240" w:lineRule="auto"/>
        <w:jc w:val="both"/>
        <w:rPr>
          <w:rFonts w:ascii="Times New Roman" w:hAnsi="Times New Roman" w:cs="Times New Roman"/>
          <w:sz w:val="24"/>
          <w:szCs w:val="24"/>
        </w:rPr>
      </w:pPr>
    </w:p>
    <w:p w:rsidR="00345517" w:rsidRPr="0058334A" w:rsidRDefault="00345517" w:rsidP="004A4156">
      <w:pPr>
        <w:spacing w:after="0" w:line="240" w:lineRule="auto"/>
        <w:jc w:val="both"/>
        <w:rPr>
          <w:rFonts w:ascii="Times New Roman" w:hAnsi="Times New Roman" w:cs="Times New Roman"/>
          <w:sz w:val="24"/>
          <w:szCs w:val="24"/>
        </w:rPr>
      </w:pPr>
    </w:p>
    <w:sectPr w:rsidR="00345517" w:rsidRPr="0058334A" w:rsidSect="002E6906">
      <w:headerReference w:type="default" r:id="rId8"/>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5DCAF8" w15:done="0"/>
  <w15:commentEx w15:paraId="2A143499" w15:done="0"/>
  <w15:commentEx w15:paraId="7E5DCA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DCAF8" w16cid:durableId="1ECCC7FE"/>
  <w16cid:commentId w16cid:paraId="2A143499" w16cid:durableId="1ECCC876"/>
  <w16cid:commentId w16cid:paraId="7E5DCAFB" w16cid:durableId="1ECCC8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152" w:rsidRDefault="00CE3152" w:rsidP="00914AC2">
      <w:pPr>
        <w:spacing w:after="0" w:line="240" w:lineRule="auto"/>
      </w:pPr>
      <w:r>
        <w:separator/>
      </w:r>
    </w:p>
  </w:endnote>
  <w:endnote w:type="continuationSeparator" w:id="0">
    <w:p w:rsidR="00CE3152" w:rsidRDefault="00CE3152" w:rsidP="00914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152" w:rsidRDefault="00CE3152" w:rsidP="00914AC2">
      <w:pPr>
        <w:spacing w:after="0" w:line="240" w:lineRule="auto"/>
      </w:pPr>
      <w:r>
        <w:separator/>
      </w:r>
    </w:p>
  </w:footnote>
  <w:footnote w:type="continuationSeparator" w:id="0">
    <w:p w:rsidR="00CE3152" w:rsidRDefault="00CE3152" w:rsidP="00914A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936392"/>
      <w:docPartObj>
        <w:docPartGallery w:val="Page Numbers (Top of Page)"/>
        <w:docPartUnique/>
      </w:docPartObj>
    </w:sdtPr>
    <w:sdtEndPr>
      <w:rPr>
        <w:noProof/>
      </w:rPr>
    </w:sdtEndPr>
    <w:sdtContent>
      <w:p w:rsidR="00CE3152" w:rsidRDefault="00922CDD">
        <w:pPr>
          <w:pStyle w:val="Cabealho"/>
          <w:jc w:val="right"/>
        </w:pPr>
        <w:r>
          <w:rPr>
            <w:noProof/>
          </w:rPr>
          <w:fldChar w:fldCharType="begin"/>
        </w:r>
        <w:r w:rsidR="00CE3152">
          <w:rPr>
            <w:noProof/>
          </w:rPr>
          <w:instrText xml:space="preserve"> PAGE   \* MERGEFORMAT </w:instrText>
        </w:r>
        <w:r>
          <w:rPr>
            <w:noProof/>
          </w:rPr>
          <w:fldChar w:fldCharType="separate"/>
        </w:r>
        <w:r w:rsidR="00260BC2">
          <w:rPr>
            <w:noProof/>
          </w:rPr>
          <w:t>13</w:t>
        </w:r>
        <w:r>
          <w:rPr>
            <w:noProof/>
          </w:rPr>
          <w:fldChar w:fldCharType="end"/>
        </w:r>
      </w:p>
    </w:sdtContent>
  </w:sdt>
  <w:p w:rsidR="00CE3152" w:rsidRDefault="00CE315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0D8"/>
    <w:multiLevelType w:val="hybridMultilevel"/>
    <w:tmpl w:val="07665432"/>
    <w:lvl w:ilvl="0" w:tplc="84A06C7A">
      <w:start w:val="1"/>
      <w:numFmt w:val="lowerLetter"/>
      <w:lvlText w:val="(%1)"/>
      <w:lvlJc w:val="left"/>
      <w:pPr>
        <w:tabs>
          <w:tab w:val="num" w:pos="1070"/>
        </w:tabs>
        <w:ind w:left="107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986416"/>
    <w:multiLevelType w:val="hybridMultilevel"/>
    <w:tmpl w:val="EF92725A"/>
    <w:lvl w:ilvl="0" w:tplc="52C24BF0">
      <w:start w:val="1"/>
      <w:numFmt w:val="decimal"/>
      <w:lvlText w:val="%1."/>
      <w:lvlJc w:val="left"/>
      <w:pPr>
        <w:tabs>
          <w:tab w:val="num" w:pos="786"/>
        </w:tabs>
        <w:ind w:left="786" w:hanging="360"/>
      </w:pPr>
      <w:rPr>
        <w:rFonts w:ascii="Arial Narrow" w:hAnsi="Arial Narrow" w:cs="Times New Roman" w:hint="default"/>
        <w:b/>
        <w:i w:val="0"/>
        <w:color w:val="auto"/>
        <w:sz w:val="24"/>
        <w:szCs w:val="24"/>
      </w:rPr>
    </w:lvl>
    <w:lvl w:ilvl="1" w:tplc="0416000D">
      <w:start w:val="1"/>
      <w:numFmt w:val="bullet"/>
      <w:lvlText w:val=""/>
      <w:lvlJc w:val="left"/>
      <w:pPr>
        <w:tabs>
          <w:tab w:val="num" w:pos="1440"/>
        </w:tabs>
        <w:ind w:left="1440" w:hanging="360"/>
      </w:pPr>
      <w:rPr>
        <w:rFonts w:ascii="Wingdings" w:hAnsi="Wingdings" w:hint="default"/>
        <w:b w:val="0"/>
        <w:i w:val="0"/>
        <w:color w:val="auto"/>
        <w:sz w:val="28"/>
      </w:rPr>
    </w:lvl>
    <w:lvl w:ilvl="2" w:tplc="4DB2FFEE">
      <w:start w:val="15"/>
      <w:numFmt w:val="bullet"/>
      <w:lvlText w:val=""/>
      <w:lvlJc w:val="left"/>
      <w:pPr>
        <w:tabs>
          <w:tab w:val="num" w:pos="2340"/>
        </w:tabs>
        <w:ind w:left="2340" w:hanging="360"/>
      </w:pPr>
      <w:rPr>
        <w:rFonts w:ascii="Symbol" w:eastAsia="Times New Roman" w:hAnsi="Symbol" w:hint="default"/>
        <w:b w:val="0"/>
        <w:i w:val="0"/>
        <w:color w:val="auto"/>
        <w:sz w:val="28"/>
      </w:rPr>
    </w:lvl>
    <w:lvl w:ilvl="3" w:tplc="C9D23264">
      <w:numFmt w:val="bullet"/>
      <w:lvlText w:val=""/>
      <w:lvlJc w:val="left"/>
      <w:pPr>
        <w:tabs>
          <w:tab w:val="num" w:pos="2880"/>
        </w:tabs>
        <w:ind w:left="2880" w:hanging="360"/>
      </w:pPr>
      <w:rPr>
        <w:rFonts w:ascii="Wingdings" w:eastAsia="Times New Roman" w:hAnsi="Wingdings" w:hint="default"/>
      </w:rPr>
    </w:lvl>
    <w:lvl w:ilvl="4" w:tplc="071E4482">
      <w:start w:val="1"/>
      <w:numFmt w:val="lowerLetter"/>
      <w:lvlText w:val="(%5)"/>
      <w:lvlJc w:val="left"/>
      <w:pPr>
        <w:tabs>
          <w:tab w:val="num" w:pos="3600"/>
        </w:tabs>
        <w:ind w:left="3600" w:hanging="360"/>
      </w:pPr>
      <w:rPr>
        <w:rFonts w:cs="Times New Roman" w:hint="default"/>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1C133B52"/>
    <w:multiLevelType w:val="hybridMultilevel"/>
    <w:tmpl w:val="07665432"/>
    <w:lvl w:ilvl="0" w:tplc="84A06C7A">
      <w:start w:val="1"/>
      <w:numFmt w:val="lowerLetter"/>
      <w:lvlText w:val="(%1)"/>
      <w:lvlJc w:val="left"/>
      <w:pPr>
        <w:tabs>
          <w:tab w:val="num" w:pos="1070"/>
        </w:tabs>
        <w:ind w:left="107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8E3C6F"/>
    <w:multiLevelType w:val="hybridMultilevel"/>
    <w:tmpl w:val="A1BE9D48"/>
    <w:lvl w:ilvl="0" w:tplc="862E2C22">
      <w:start w:val="1"/>
      <w:numFmt w:val="lowerLetter"/>
      <w:lvlText w:val="(%1)"/>
      <w:lvlJc w:val="left"/>
      <w:pPr>
        <w:tabs>
          <w:tab w:val="num" w:pos="1070"/>
        </w:tabs>
        <w:ind w:left="107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361451C"/>
    <w:multiLevelType w:val="hybridMultilevel"/>
    <w:tmpl w:val="A1BE9D48"/>
    <w:lvl w:ilvl="0" w:tplc="862E2C22">
      <w:start w:val="1"/>
      <w:numFmt w:val="lowerLetter"/>
      <w:lvlText w:val="(%1)"/>
      <w:lvlJc w:val="left"/>
      <w:pPr>
        <w:tabs>
          <w:tab w:val="num" w:pos="1070"/>
        </w:tabs>
        <w:ind w:left="107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8415A07"/>
    <w:multiLevelType w:val="hybridMultilevel"/>
    <w:tmpl w:val="3DFC57DE"/>
    <w:lvl w:ilvl="0" w:tplc="5D52B034">
      <w:start w:val="4"/>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nsid w:val="3ED772AE"/>
    <w:multiLevelType w:val="hybridMultilevel"/>
    <w:tmpl w:val="A1BE9D48"/>
    <w:lvl w:ilvl="0" w:tplc="862E2C22">
      <w:start w:val="1"/>
      <w:numFmt w:val="lowerLetter"/>
      <w:lvlText w:val="(%1)"/>
      <w:lvlJc w:val="left"/>
      <w:pPr>
        <w:tabs>
          <w:tab w:val="num" w:pos="1070"/>
        </w:tabs>
        <w:ind w:left="107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B9D009B"/>
    <w:multiLevelType w:val="hybridMultilevel"/>
    <w:tmpl w:val="0B88D50A"/>
    <w:lvl w:ilvl="0" w:tplc="E8FCB0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EA4090E"/>
    <w:multiLevelType w:val="hybridMultilevel"/>
    <w:tmpl w:val="88440E90"/>
    <w:lvl w:ilvl="0" w:tplc="05C83D16">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4D72302"/>
    <w:multiLevelType w:val="hybridMultilevel"/>
    <w:tmpl w:val="7892DFFC"/>
    <w:lvl w:ilvl="0" w:tplc="C9D23264">
      <w:numFmt w:val="bullet"/>
      <w:lvlText w:val=""/>
      <w:lvlJc w:val="left"/>
      <w:pPr>
        <w:ind w:left="720" w:hanging="360"/>
      </w:pPr>
      <w:rPr>
        <w:rFonts w:ascii="Wingdings" w:eastAsia="Times New Roman"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4"/>
  </w:num>
  <w:num w:numId="6">
    <w:abstractNumId w:val="3"/>
  </w:num>
  <w:num w:numId="7">
    <w:abstractNumId w:val="1"/>
  </w:num>
  <w:num w:numId="8">
    <w:abstractNumId w:val="9"/>
  </w:num>
  <w:num w:numId="9">
    <w:abstractNumId w:val="0"/>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llermo Braunbeck">
    <w15:presenceInfo w15:providerId="Windows Live" w15:userId="b99ea447448f28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36289A"/>
    <w:rsid w:val="00002997"/>
    <w:rsid w:val="00013C05"/>
    <w:rsid w:val="000142A0"/>
    <w:rsid w:val="000150B7"/>
    <w:rsid w:val="000304FD"/>
    <w:rsid w:val="00041038"/>
    <w:rsid w:val="00046203"/>
    <w:rsid w:val="00050019"/>
    <w:rsid w:val="000511A8"/>
    <w:rsid w:val="000542C3"/>
    <w:rsid w:val="00054C18"/>
    <w:rsid w:val="000571E5"/>
    <w:rsid w:val="00060F6D"/>
    <w:rsid w:val="00062046"/>
    <w:rsid w:val="000813AA"/>
    <w:rsid w:val="00084CF2"/>
    <w:rsid w:val="000876D4"/>
    <w:rsid w:val="000952E7"/>
    <w:rsid w:val="000B3187"/>
    <w:rsid w:val="000C1218"/>
    <w:rsid w:val="000C6262"/>
    <w:rsid w:val="000D27BC"/>
    <w:rsid w:val="000D4C08"/>
    <w:rsid w:val="000E0D78"/>
    <w:rsid w:val="000E1E77"/>
    <w:rsid w:val="000E6047"/>
    <w:rsid w:val="000E7118"/>
    <w:rsid w:val="000F3D03"/>
    <w:rsid w:val="000F7085"/>
    <w:rsid w:val="001036F5"/>
    <w:rsid w:val="00110868"/>
    <w:rsid w:val="001118B3"/>
    <w:rsid w:val="00115E91"/>
    <w:rsid w:val="00120F47"/>
    <w:rsid w:val="00125EA5"/>
    <w:rsid w:val="00127FF6"/>
    <w:rsid w:val="00132ACF"/>
    <w:rsid w:val="00136180"/>
    <w:rsid w:val="00150BEB"/>
    <w:rsid w:val="00161B01"/>
    <w:rsid w:val="00164A58"/>
    <w:rsid w:val="00167901"/>
    <w:rsid w:val="001805DC"/>
    <w:rsid w:val="001808F7"/>
    <w:rsid w:val="00186314"/>
    <w:rsid w:val="00190665"/>
    <w:rsid w:val="001935F8"/>
    <w:rsid w:val="001A05EB"/>
    <w:rsid w:val="001A0E3D"/>
    <w:rsid w:val="001A240E"/>
    <w:rsid w:val="001B78F9"/>
    <w:rsid w:val="001C1341"/>
    <w:rsid w:val="001C7BB3"/>
    <w:rsid w:val="001D09BA"/>
    <w:rsid w:val="001D0E10"/>
    <w:rsid w:val="001E06A8"/>
    <w:rsid w:val="001E49BC"/>
    <w:rsid w:val="001E562D"/>
    <w:rsid w:val="001E5BEE"/>
    <w:rsid w:val="001E5CA8"/>
    <w:rsid w:val="001F5B06"/>
    <w:rsid w:val="001F7207"/>
    <w:rsid w:val="0020595A"/>
    <w:rsid w:val="00216446"/>
    <w:rsid w:val="002270A8"/>
    <w:rsid w:val="0024267D"/>
    <w:rsid w:val="00260BC2"/>
    <w:rsid w:val="00262809"/>
    <w:rsid w:val="00262CD3"/>
    <w:rsid w:val="002744F8"/>
    <w:rsid w:val="002774D5"/>
    <w:rsid w:val="00280B39"/>
    <w:rsid w:val="00282E27"/>
    <w:rsid w:val="00283593"/>
    <w:rsid w:val="002976F6"/>
    <w:rsid w:val="002B661C"/>
    <w:rsid w:val="002C31AB"/>
    <w:rsid w:val="002D5372"/>
    <w:rsid w:val="002E04F0"/>
    <w:rsid w:val="002E139D"/>
    <w:rsid w:val="002E3296"/>
    <w:rsid w:val="002E6906"/>
    <w:rsid w:val="002F6737"/>
    <w:rsid w:val="00303DED"/>
    <w:rsid w:val="00316DE1"/>
    <w:rsid w:val="003212F4"/>
    <w:rsid w:val="00322513"/>
    <w:rsid w:val="003307F1"/>
    <w:rsid w:val="0033459C"/>
    <w:rsid w:val="00337865"/>
    <w:rsid w:val="00340C86"/>
    <w:rsid w:val="00341A72"/>
    <w:rsid w:val="00342CBF"/>
    <w:rsid w:val="00345517"/>
    <w:rsid w:val="00351C96"/>
    <w:rsid w:val="003564FC"/>
    <w:rsid w:val="0036289A"/>
    <w:rsid w:val="003653A2"/>
    <w:rsid w:val="00372A34"/>
    <w:rsid w:val="00373ADA"/>
    <w:rsid w:val="00377628"/>
    <w:rsid w:val="00384187"/>
    <w:rsid w:val="00393563"/>
    <w:rsid w:val="003944FB"/>
    <w:rsid w:val="00396CC7"/>
    <w:rsid w:val="003A15FF"/>
    <w:rsid w:val="003A2E9C"/>
    <w:rsid w:val="003A600B"/>
    <w:rsid w:val="003A7720"/>
    <w:rsid w:val="003C7AF7"/>
    <w:rsid w:val="003E34D8"/>
    <w:rsid w:val="003E4337"/>
    <w:rsid w:val="003F4C53"/>
    <w:rsid w:val="003F6D5D"/>
    <w:rsid w:val="003F6F08"/>
    <w:rsid w:val="00400821"/>
    <w:rsid w:val="00414661"/>
    <w:rsid w:val="004212FD"/>
    <w:rsid w:val="00424262"/>
    <w:rsid w:val="00424D58"/>
    <w:rsid w:val="00427A0D"/>
    <w:rsid w:val="00434C2D"/>
    <w:rsid w:val="00437939"/>
    <w:rsid w:val="00440149"/>
    <w:rsid w:val="004423DB"/>
    <w:rsid w:val="00451437"/>
    <w:rsid w:val="00453165"/>
    <w:rsid w:val="004624AE"/>
    <w:rsid w:val="00472604"/>
    <w:rsid w:val="00472F0A"/>
    <w:rsid w:val="00475274"/>
    <w:rsid w:val="00481ECC"/>
    <w:rsid w:val="004839A5"/>
    <w:rsid w:val="004A0ED3"/>
    <w:rsid w:val="004A1BCB"/>
    <w:rsid w:val="004A1C25"/>
    <w:rsid w:val="004A4156"/>
    <w:rsid w:val="004A52EF"/>
    <w:rsid w:val="004B2F87"/>
    <w:rsid w:val="004B405A"/>
    <w:rsid w:val="004C4D03"/>
    <w:rsid w:val="004D5B35"/>
    <w:rsid w:val="004E0467"/>
    <w:rsid w:val="004E195B"/>
    <w:rsid w:val="004E3B62"/>
    <w:rsid w:val="004E7F11"/>
    <w:rsid w:val="004F5ECF"/>
    <w:rsid w:val="00507CBA"/>
    <w:rsid w:val="00517EF5"/>
    <w:rsid w:val="005225B2"/>
    <w:rsid w:val="00522E67"/>
    <w:rsid w:val="00525F56"/>
    <w:rsid w:val="00526387"/>
    <w:rsid w:val="00540C1A"/>
    <w:rsid w:val="005531EA"/>
    <w:rsid w:val="00555A54"/>
    <w:rsid w:val="00565424"/>
    <w:rsid w:val="00565988"/>
    <w:rsid w:val="005659DC"/>
    <w:rsid w:val="00566147"/>
    <w:rsid w:val="00573790"/>
    <w:rsid w:val="0058334A"/>
    <w:rsid w:val="00590A1F"/>
    <w:rsid w:val="00593002"/>
    <w:rsid w:val="00595C1A"/>
    <w:rsid w:val="005A720A"/>
    <w:rsid w:val="005A7A35"/>
    <w:rsid w:val="005B3A87"/>
    <w:rsid w:val="005B5B19"/>
    <w:rsid w:val="005C4236"/>
    <w:rsid w:val="005D1487"/>
    <w:rsid w:val="005D31D5"/>
    <w:rsid w:val="005D585E"/>
    <w:rsid w:val="005D7FD5"/>
    <w:rsid w:val="005E1582"/>
    <w:rsid w:val="005E1607"/>
    <w:rsid w:val="005E7471"/>
    <w:rsid w:val="005F0AF1"/>
    <w:rsid w:val="005F5DA5"/>
    <w:rsid w:val="00600140"/>
    <w:rsid w:val="0060171C"/>
    <w:rsid w:val="00605569"/>
    <w:rsid w:val="00622CE7"/>
    <w:rsid w:val="00626F1B"/>
    <w:rsid w:val="00635B3A"/>
    <w:rsid w:val="00641A37"/>
    <w:rsid w:val="00650023"/>
    <w:rsid w:val="0065091F"/>
    <w:rsid w:val="00651011"/>
    <w:rsid w:val="00652567"/>
    <w:rsid w:val="0066629B"/>
    <w:rsid w:val="00673A88"/>
    <w:rsid w:val="006A2B86"/>
    <w:rsid w:val="006B289A"/>
    <w:rsid w:val="006B51B8"/>
    <w:rsid w:val="006B5308"/>
    <w:rsid w:val="006B5883"/>
    <w:rsid w:val="006B5CED"/>
    <w:rsid w:val="006D0AD9"/>
    <w:rsid w:val="006D5FBA"/>
    <w:rsid w:val="006D757A"/>
    <w:rsid w:val="006E63A4"/>
    <w:rsid w:val="006E74ED"/>
    <w:rsid w:val="006F2288"/>
    <w:rsid w:val="006F2355"/>
    <w:rsid w:val="006F6C52"/>
    <w:rsid w:val="00707FFC"/>
    <w:rsid w:val="0071447B"/>
    <w:rsid w:val="0072555B"/>
    <w:rsid w:val="007269F7"/>
    <w:rsid w:val="00730DFF"/>
    <w:rsid w:val="00740850"/>
    <w:rsid w:val="0074096E"/>
    <w:rsid w:val="00743A99"/>
    <w:rsid w:val="007471E6"/>
    <w:rsid w:val="0075053B"/>
    <w:rsid w:val="00752536"/>
    <w:rsid w:val="0075474D"/>
    <w:rsid w:val="00754AFE"/>
    <w:rsid w:val="00764B3D"/>
    <w:rsid w:val="007804BC"/>
    <w:rsid w:val="00790788"/>
    <w:rsid w:val="007A6569"/>
    <w:rsid w:val="007B7AFB"/>
    <w:rsid w:val="007C2F9F"/>
    <w:rsid w:val="007D32C3"/>
    <w:rsid w:val="007D4E0D"/>
    <w:rsid w:val="007E41B5"/>
    <w:rsid w:val="007E7234"/>
    <w:rsid w:val="007F0317"/>
    <w:rsid w:val="008005DE"/>
    <w:rsid w:val="00810A62"/>
    <w:rsid w:val="00822325"/>
    <w:rsid w:val="008257D6"/>
    <w:rsid w:val="00832F45"/>
    <w:rsid w:val="00833BDF"/>
    <w:rsid w:val="008368B5"/>
    <w:rsid w:val="008405E8"/>
    <w:rsid w:val="00840F3C"/>
    <w:rsid w:val="0084122C"/>
    <w:rsid w:val="00841892"/>
    <w:rsid w:val="008431E1"/>
    <w:rsid w:val="008865CE"/>
    <w:rsid w:val="008911EC"/>
    <w:rsid w:val="00892558"/>
    <w:rsid w:val="008A1AE0"/>
    <w:rsid w:val="008A1CAA"/>
    <w:rsid w:val="008B080F"/>
    <w:rsid w:val="008C19B2"/>
    <w:rsid w:val="008D1FFC"/>
    <w:rsid w:val="008D5120"/>
    <w:rsid w:val="008E0AD3"/>
    <w:rsid w:val="008F553C"/>
    <w:rsid w:val="008F590B"/>
    <w:rsid w:val="00902208"/>
    <w:rsid w:val="00910854"/>
    <w:rsid w:val="00912906"/>
    <w:rsid w:val="00914AC2"/>
    <w:rsid w:val="00915D4C"/>
    <w:rsid w:val="00922CDD"/>
    <w:rsid w:val="00930A3E"/>
    <w:rsid w:val="009445C8"/>
    <w:rsid w:val="0095579A"/>
    <w:rsid w:val="00976BEE"/>
    <w:rsid w:val="0098198E"/>
    <w:rsid w:val="00982657"/>
    <w:rsid w:val="009835D6"/>
    <w:rsid w:val="009840AB"/>
    <w:rsid w:val="00987807"/>
    <w:rsid w:val="00993A65"/>
    <w:rsid w:val="00994298"/>
    <w:rsid w:val="009A15E3"/>
    <w:rsid w:val="009B0E45"/>
    <w:rsid w:val="009B703C"/>
    <w:rsid w:val="009B7346"/>
    <w:rsid w:val="009C26AC"/>
    <w:rsid w:val="009C38BB"/>
    <w:rsid w:val="009C650F"/>
    <w:rsid w:val="009D0D03"/>
    <w:rsid w:val="009D7030"/>
    <w:rsid w:val="009E5B92"/>
    <w:rsid w:val="00A03211"/>
    <w:rsid w:val="00A03F37"/>
    <w:rsid w:val="00A04CFA"/>
    <w:rsid w:val="00A0782A"/>
    <w:rsid w:val="00A14DD8"/>
    <w:rsid w:val="00A2302E"/>
    <w:rsid w:val="00A24550"/>
    <w:rsid w:val="00A2457C"/>
    <w:rsid w:val="00A3301E"/>
    <w:rsid w:val="00A41BDC"/>
    <w:rsid w:val="00A46753"/>
    <w:rsid w:val="00A51E10"/>
    <w:rsid w:val="00A6359D"/>
    <w:rsid w:val="00A661F8"/>
    <w:rsid w:val="00A71D20"/>
    <w:rsid w:val="00A73355"/>
    <w:rsid w:val="00A75ACB"/>
    <w:rsid w:val="00A771AA"/>
    <w:rsid w:val="00A77443"/>
    <w:rsid w:val="00A83D9D"/>
    <w:rsid w:val="00A84CC2"/>
    <w:rsid w:val="00A87AA0"/>
    <w:rsid w:val="00A964B9"/>
    <w:rsid w:val="00AA68A8"/>
    <w:rsid w:val="00AC033E"/>
    <w:rsid w:val="00AC1163"/>
    <w:rsid w:val="00AC24CC"/>
    <w:rsid w:val="00AC3504"/>
    <w:rsid w:val="00AD3D04"/>
    <w:rsid w:val="00AE22FF"/>
    <w:rsid w:val="00AF4018"/>
    <w:rsid w:val="00AF4BE5"/>
    <w:rsid w:val="00B018C2"/>
    <w:rsid w:val="00B01C77"/>
    <w:rsid w:val="00B100D1"/>
    <w:rsid w:val="00B25F3D"/>
    <w:rsid w:val="00B32AED"/>
    <w:rsid w:val="00B32BB6"/>
    <w:rsid w:val="00B40AA6"/>
    <w:rsid w:val="00B4255A"/>
    <w:rsid w:val="00B45A58"/>
    <w:rsid w:val="00B51F6A"/>
    <w:rsid w:val="00B576F2"/>
    <w:rsid w:val="00B610EF"/>
    <w:rsid w:val="00B75CF6"/>
    <w:rsid w:val="00B8761B"/>
    <w:rsid w:val="00BA43FF"/>
    <w:rsid w:val="00BA4FB3"/>
    <w:rsid w:val="00BA7447"/>
    <w:rsid w:val="00BC6732"/>
    <w:rsid w:val="00BD0FF1"/>
    <w:rsid w:val="00BD3040"/>
    <w:rsid w:val="00BD49F4"/>
    <w:rsid w:val="00BE5C35"/>
    <w:rsid w:val="00BE662F"/>
    <w:rsid w:val="00BF0A14"/>
    <w:rsid w:val="00BF1BB0"/>
    <w:rsid w:val="00C03CAA"/>
    <w:rsid w:val="00C1486B"/>
    <w:rsid w:val="00C2382C"/>
    <w:rsid w:val="00C2654C"/>
    <w:rsid w:val="00C2786E"/>
    <w:rsid w:val="00C325FE"/>
    <w:rsid w:val="00C32DE2"/>
    <w:rsid w:val="00C362C1"/>
    <w:rsid w:val="00C644F0"/>
    <w:rsid w:val="00C74C85"/>
    <w:rsid w:val="00C814EE"/>
    <w:rsid w:val="00C90749"/>
    <w:rsid w:val="00C928F0"/>
    <w:rsid w:val="00C95C66"/>
    <w:rsid w:val="00CA2D28"/>
    <w:rsid w:val="00CB0967"/>
    <w:rsid w:val="00CB5DC7"/>
    <w:rsid w:val="00CC4485"/>
    <w:rsid w:val="00CC6026"/>
    <w:rsid w:val="00CC635F"/>
    <w:rsid w:val="00CC7BFA"/>
    <w:rsid w:val="00CD283C"/>
    <w:rsid w:val="00CD68C1"/>
    <w:rsid w:val="00CD7C43"/>
    <w:rsid w:val="00CE3152"/>
    <w:rsid w:val="00CF181F"/>
    <w:rsid w:val="00CF55D7"/>
    <w:rsid w:val="00CF62CB"/>
    <w:rsid w:val="00D10754"/>
    <w:rsid w:val="00D239A5"/>
    <w:rsid w:val="00D41F64"/>
    <w:rsid w:val="00D463B9"/>
    <w:rsid w:val="00D47D8A"/>
    <w:rsid w:val="00D51D05"/>
    <w:rsid w:val="00D8273B"/>
    <w:rsid w:val="00D835E7"/>
    <w:rsid w:val="00D85DC6"/>
    <w:rsid w:val="00D94D87"/>
    <w:rsid w:val="00DA2828"/>
    <w:rsid w:val="00DA4844"/>
    <w:rsid w:val="00DB1FA0"/>
    <w:rsid w:val="00DD04B8"/>
    <w:rsid w:val="00DD19E7"/>
    <w:rsid w:val="00DE1E35"/>
    <w:rsid w:val="00DF47D4"/>
    <w:rsid w:val="00DF6358"/>
    <w:rsid w:val="00E0341B"/>
    <w:rsid w:val="00E04EAF"/>
    <w:rsid w:val="00E1136F"/>
    <w:rsid w:val="00E20D44"/>
    <w:rsid w:val="00E225A3"/>
    <w:rsid w:val="00E415F7"/>
    <w:rsid w:val="00E426CB"/>
    <w:rsid w:val="00E615BB"/>
    <w:rsid w:val="00E63745"/>
    <w:rsid w:val="00E64975"/>
    <w:rsid w:val="00E67182"/>
    <w:rsid w:val="00E73989"/>
    <w:rsid w:val="00E76BD4"/>
    <w:rsid w:val="00E86961"/>
    <w:rsid w:val="00E86D28"/>
    <w:rsid w:val="00EA0F64"/>
    <w:rsid w:val="00EB315B"/>
    <w:rsid w:val="00EB45B3"/>
    <w:rsid w:val="00EB7E63"/>
    <w:rsid w:val="00EC49EC"/>
    <w:rsid w:val="00EC719B"/>
    <w:rsid w:val="00ED56B1"/>
    <w:rsid w:val="00EE3347"/>
    <w:rsid w:val="00EE58A8"/>
    <w:rsid w:val="00EE6C6E"/>
    <w:rsid w:val="00F04D03"/>
    <w:rsid w:val="00F0658C"/>
    <w:rsid w:val="00F21E86"/>
    <w:rsid w:val="00F247CC"/>
    <w:rsid w:val="00F2583B"/>
    <w:rsid w:val="00F330C7"/>
    <w:rsid w:val="00F347F0"/>
    <w:rsid w:val="00F45476"/>
    <w:rsid w:val="00F53788"/>
    <w:rsid w:val="00F55627"/>
    <w:rsid w:val="00F625EA"/>
    <w:rsid w:val="00F65273"/>
    <w:rsid w:val="00F67C51"/>
    <w:rsid w:val="00F7399C"/>
    <w:rsid w:val="00F92B92"/>
    <w:rsid w:val="00FA57EE"/>
    <w:rsid w:val="00FC1E5A"/>
    <w:rsid w:val="00FD18FE"/>
    <w:rsid w:val="00FE2E74"/>
    <w:rsid w:val="00FE3547"/>
    <w:rsid w:val="00FE64DF"/>
    <w:rsid w:val="00FE6AD9"/>
    <w:rsid w:val="00FE7035"/>
    <w:rsid w:val="00FF2AE4"/>
    <w:rsid w:val="00FF43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55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4A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4AC2"/>
  </w:style>
  <w:style w:type="paragraph" w:styleId="Rodap">
    <w:name w:val="footer"/>
    <w:basedOn w:val="Normal"/>
    <w:link w:val="RodapChar"/>
    <w:uiPriority w:val="99"/>
    <w:unhideWhenUsed/>
    <w:rsid w:val="00914AC2"/>
    <w:pPr>
      <w:tabs>
        <w:tab w:val="center" w:pos="4252"/>
        <w:tab w:val="right" w:pos="8504"/>
      </w:tabs>
      <w:spacing w:after="0" w:line="240" w:lineRule="auto"/>
    </w:pPr>
  </w:style>
  <w:style w:type="character" w:customStyle="1" w:styleId="RodapChar">
    <w:name w:val="Rodapé Char"/>
    <w:basedOn w:val="Fontepargpadro"/>
    <w:link w:val="Rodap"/>
    <w:uiPriority w:val="99"/>
    <w:rsid w:val="00914AC2"/>
  </w:style>
  <w:style w:type="character" w:customStyle="1" w:styleId="hps">
    <w:name w:val="hps"/>
    <w:basedOn w:val="Fontepargpadro"/>
    <w:rsid w:val="001E06A8"/>
  </w:style>
  <w:style w:type="paragraph" w:styleId="PargrafodaLista">
    <w:name w:val="List Paragraph"/>
    <w:basedOn w:val="Normal"/>
    <w:uiPriority w:val="34"/>
    <w:qFormat/>
    <w:rsid w:val="00A2457C"/>
    <w:pPr>
      <w:ind w:left="720"/>
      <w:contextualSpacing/>
    </w:pPr>
  </w:style>
  <w:style w:type="paragraph" w:customStyle="1" w:styleId="Default">
    <w:name w:val="Default"/>
    <w:rsid w:val="00DD19E7"/>
    <w:pPr>
      <w:autoSpaceDE w:val="0"/>
      <w:autoSpaceDN w:val="0"/>
      <w:adjustRightInd w:val="0"/>
      <w:spacing w:after="0" w:line="240" w:lineRule="auto"/>
    </w:pPr>
    <w:rPr>
      <w:rFonts w:ascii="Times New Roman" w:hAnsi="Times New Roman" w:cs="Times New Roman"/>
      <w:color w:val="000000"/>
      <w:sz w:val="24"/>
      <w:szCs w:val="24"/>
    </w:rPr>
  </w:style>
  <w:style w:type="paragraph" w:styleId="Textoembloco">
    <w:name w:val="Block Text"/>
    <w:basedOn w:val="Normal"/>
    <w:link w:val="TextoemblocoChar"/>
    <w:uiPriority w:val="99"/>
    <w:rsid w:val="000142A0"/>
    <w:pPr>
      <w:widowControl w:val="0"/>
      <w:tabs>
        <w:tab w:val="left" w:pos="6804"/>
      </w:tabs>
      <w:spacing w:before="2" w:after="2" w:line="250" w:lineRule="auto"/>
      <w:ind w:left="336" w:right="57" w:hanging="279"/>
    </w:pPr>
    <w:rPr>
      <w:rFonts w:ascii="Arial" w:eastAsia="Times New Roman" w:hAnsi="Arial" w:cs="Times New Roman"/>
      <w:sz w:val="20"/>
      <w:szCs w:val="24"/>
      <w:lang w:val="pt-PT"/>
    </w:rPr>
  </w:style>
  <w:style w:type="character" w:customStyle="1" w:styleId="TextoemblocoChar">
    <w:name w:val="Texto em bloco Char"/>
    <w:link w:val="Textoembloco"/>
    <w:uiPriority w:val="99"/>
    <w:locked/>
    <w:rsid w:val="000142A0"/>
    <w:rPr>
      <w:rFonts w:ascii="Arial" w:eastAsia="Times New Roman" w:hAnsi="Arial" w:cs="Times New Roman"/>
      <w:sz w:val="20"/>
      <w:szCs w:val="24"/>
      <w:lang w:val="pt-PT"/>
    </w:rPr>
  </w:style>
  <w:style w:type="paragraph" w:styleId="Textodebalo">
    <w:name w:val="Balloon Text"/>
    <w:basedOn w:val="Normal"/>
    <w:link w:val="TextodebaloChar"/>
    <w:uiPriority w:val="99"/>
    <w:semiHidden/>
    <w:unhideWhenUsed/>
    <w:rsid w:val="00A7335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73355"/>
    <w:rPr>
      <w:rFonts w:ascii="Segoe UI" w:hAnsi="Segoe UI" w:cs="Segoe UI"/>
      <w:sz w:val="18"/>
      <w:szCs w:val="18"/>
    </w:rPr>
  </w:style>
  <w:style w:type="character" w:styleId="Refdecomentrio">
    <w:name w:val="annotation reference"/>
    <w:basedOn w:val="Fontepargpadro"/>
    <w:uiPriority w:val="99"/>
    <w:semiHidden/>
    <w:unhideWhenUsed/>
    <w:rsid w:val="00A2302E"/>
    <w:rPr>
      <w:sz w:val="16"/>
      <w:szCs w:val="16"/>
    </w:rPr>
  </w:style>
  <w:style w:type="paragraph" w:styleId="Textodecomentrio">
    <w:name w:val="annotation text"/>
    <w:basedOn w:val="Normal"/>
    <w:link w:val="TextodecomentrioChar"/>
    <w:uiPriority w:val="99"/>
    <w:semiHidden/>
    <w:unhideWhenUsed/>
    <w:rsid w:val="00A2302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2302E"/>
    <w:rPr>
      <w:sz w:val="20"/>
      <w:szCs w:val="20"/>
    </w:rPr>
  </w:style>
  <w:style w:type="paragraph" w:styleId="Assuntodocomentrio">
    <w:name w:val="annotation subject"/>
    <w:basedOn w:val="Textodecomentrio"/>
    <w:next w:val="Textodecomentrio"/>
    <w:link w:val="AssuntodocomentrioChar"/>
    <w:uiPriority w:val="99"/>
    <w:semiHidden/>
    <w:unhideWhenUsed/>
    <w:rsid w:val="00A2302E"/>
    <w:rPr>
      <w:b/>
      <w:bCs/>
    </w:rPr>
  </w:style>
  <w:style w:type="character" w:customStyle="1" w:styleId="AssuntodocomentrioChar">
    <w:name w:val="Assunto do comentário Char"/>
    <w:basedOn w:val="TextodecomentrioChar"/>
    <w:link w:val="Assuntodocomentrio"/>
    <w:uiPriority w:val="99"/>
    <w:semiHidden/>
    <w:rsid w:val="00A2302E"/>
    <w:rPr>
      <w:b/>
      <w:bCs/>
      <w:sz w:val="20"/>
      <w:szCs w:val="20"/>
    </w:rPr>
  </w:style>
  <w:style w:type="paragraph" w:styleId="Reviso">
    <w:name w:val="Revision"/>
    <w:hidden/>
    <w:uiPriority w:val="99"/>
    <w:semiHidden/>
    <w:rsid w:val="00590A1F"/>
    <w:pPr>
      <w:spacing w:after="0" w:line="240" w:lineRule="auto"/>
    </w:pPr>
  </w:style>
</w:styles>
</file>

<file path=word/webSettings.xml><?xml version="1.0" encoding="utf-8"?>
<w:webSettings xmlns:r="http://schemas.openxmlformats.org/officeDocument/2006/relationships" xmlns:w="http://schemas.openxmlformats.org/wordprocessingml/2006/main">
  <w:divs>
    <w:div w:id="1903413">
      <w:bodyDiv w:val="1"/>
      <w:marLeft w:val="0"/>
      <w:marRight w:val="0"/>
      <w:marTop w:val="0"/>
      <w:marBottom w:val="0"/>
      <w:divBdr>
        <w:top w:val="none" w:sz="0" w:space="0" w:color="auto"/>
        <w:left w:val="none" w:sz="0" w:space="0" w:color="auto"/>
        <w:bottom w:val="none" w:sz="0" w:space="0" w:color="auto"/>
        <w:right w:val="none" w:sz="0" w:space="0" w:color="auto"/>
      </w:divBdr>
    </w:div>
    <w:div w:id="10422390">
      <w:bodyDiv w:val="1"/>
      <w:marLeft w:val="0"/>
      <w:marRight w:val="0"/>
      <w:marTop w:val="0"/>
      <w:marBottom w:val="0"/>
      <w:divBdr>
        <w:top w:val="none" w:sz="0" w:space="0" w:color="auto"/>
        <w:left w:val="none" w:sz="0" w:space="0" w:color="auto"/>
        <w:bottom w:val="none" w:sz="0" w:space="0" w:color="auto"/>
        <w:right w:val="none" w:sz="0" w:space="0" w:color="auto"/>
      </w:divBdr>
    </w:div>
    <w:div w:id="17509045">
      <w:bodyDiv w:val="1"/>
      <w:marLeft w:val="0"/>
      <w:marRight w:val="0"/>
      <w:marTop w:val="0"/>
      <w:marBottom w:val="0"/>
      <w:divBdr>
        <w:top w:val="none" w:sz="0" w:space="0" w:color="auto"/>
        <w:left w:val="none" w:sz="0" w:space="0" w:color="auto"/>
        <w:bottom w:val="none" w:sz="0" w:space="0" w:color="auto"/>
        <w:right w:val="none" w:sz="0" w:space="0" w:color="auto"/>
      </w:divBdr>
    </w:div>
    <w:div w:id="19597152">
      <w:bodyDiv w:val="1"/>
      <w:marLeft w:val="0"/>
      <w:marRight w:val="0"/>
      <w:marTop w:val="0"/>
      <w:marBottom w:val="0"/>
      <w:divBdr>
        <w:top w:val="none" w:sz="0" w:space="0" w:color="auto"/>
        <w:left w:val="none" w:sz="0" w:space="0" w:color="auto"/>
        <w:bottom w:val="none" w:sz="0" w:space="0" w:color="auto"/>
        <w:right w:val="none" w:sz="0" w:space="0" w:color="auto"/>
      </w:divBdr>
    </w:div>
    <w:div w:id="20983916">
      <w:bodyDiv w:val="1"/>
      <w:marLeft w:val="0"/>
      <w:marRight w:val="0"/>
      <w:marTop w:val="0"/>
      <w:marBottom w:val="0"/>
      <w:divBdr>
        <w:top w:val="none" w:sz="0" w:space="0" w:color="auto"/>
        <w:left w:val="none" w:sz="0" w:space="0" w:color="auto"/>
        <w:bottom w:val="none" w:sz="0" w:space="0" w:color="auto"/>
        <w:right w:val="none" w:sz="0" w:space="0" w:color="auto"/>
      </w:divBdr>
    </w:div>
    <w:div w:id="37322210">
      <w:bodyDiv w:val="1"/>
      <w:marLeft w:val="0"/>
      <w:marRight w:val="0"/>
      <w:marTop w:val="0"/>
      <w:marBottom w:val="0"/>
      <w:divBdr>
        <w:top w:val="none" w:sz="0" w:space="0" w:color="auto"/>
        <w:left w:val="none" w:sz="0" w:space="0" w:color="auto"/>
        <w:bottom w:val="none" w:sz="0" w:space="0" w:color="auto"/>
        <w:right w:val="none" w:sz="0" w:space="0" w:color="auto"/>
      </w:divBdr>
    </w:div>
    <w:div w:id="37508732">
      <w:bodyDiv w:val="1"/>
      <w:marLeft w:val="0"/>
      <w:marRight w:val="0"/>
      <w:marTop w:val="0"/>
      <w:marBottom w:val="0"/>
      <w:divBdr>
        <w:top w:val="none" w:sz="0" w:space="0" w:color="auto"/>
        <w:left w:val="none" w:sz="0" w:space="0" w:color="auto"/>
        <w:bottom w:val="none" w:sz="0" w:space="0" w:color="auto"/>
        <w:right w:val="none" w:sz="0" w:space="0" w:color="auto"/>
      </w:divBdr>
    </w:div>
    <w:div w:id="37552354">
      <w:bodyDiv w:val="1"/>
      <w:marLeft w:val="0"/>
      <w:marRight w:val="0"/>
      <w:marTop w:val="0"/>
      <w:marBottom w:val="0"/>
      <w:divBdr>
        <w:top w:val="none" w:sz="0" w:space="0" w:color="auto"/>
        <w:left w:val="none" w:sz="0" w:space="0" w:color="auto"/>
        <w:bottom w:val="none" w:sz="0" w:space="0" w:color="auto"/>
        <w:right w:val="none" w:sz="0" w:space="0" w:color="auto"/>
      </w:divBdr>
    </w:div>
    <w:div w:id="51855546">
      <w:bodyDiv w:val="1"/>
      <w:marLeft w:val="0"/>
      <w:marRight w:val="0"/>
      <w:marTop w:val="0"/>
      <w:marBottom w:val="0"/>
      <w:divBdr>
        <w:top w:val="none" w:sz="0" w:space="0" w:color="auto"/>
        <w:left w:val="none" w:sz="0" w:space="0" w:color="auto"/>
        <w:bottom w:val="none" w:sz="0" w:space="0" w:color="auto"/>
        <w:right w:val="none" w:sz="0" w:space="0" w:color="auto"/>
      </w:divBdr>
    </w:div>
    <w:div w:id="53284224">
      <w:bodyDiv w:val="1"/>
      <w:marLeft w:val="0"/>
      <w:marRight w:val="0"/>
      <w:marTop w:val="0"/>
      <w:marBottom w:val="0"/>
      <w:divBdr>
        <w:top w:val="none" w:sz="0" w:space="0" w:color="auto"/>
        <w:left w:val="none" w:sz="0" w:space="0" w:color="auto"/>
        <w:bottom w:val="none" w:sz="0" w:space="0" w:color="auto"/>
        <w:right w:val="none" w:sz="0" w:space="0" w:color="auto"/>
      </w:divBdr>
    </w:div>
    <w:div w:id="61413119">
      <w:bodyDiv w:val="1"/>
      <w:marLeft w:val="0"/>
      <w:marRight w:val="0"/>
      <w:marTop w:val="0"/>
      <w:marBottom w:val="0"/>
      <w:divBdr>
        <w:top w:val="none" w:sz="0" w:space="0" w:color="auto"/>
        <w:left w:val="none" w:sz="0" w:space="0" w:color="auto"/>
        <w:bottom w:val="none" w:sz="0" w:space="0" w:color="auto"/>
        <w:right w:val="none" w:sz="0" w:space="0" w:color="auto"/>
      </w:divBdr>
    </w:div>
    <w:div w:id="73745317">
      <w:bodyDiv w:val="1"/>
      <w:marLeft w:val="0"/>
      <w:marRight w:val="0"/>
      <w:marTop w:val="0"/>
      <w:marBottom w:val="0"/>
      <w:divBdr>
        <w:top w:val="none" w:sz="0" w:space="0" w:color="auto"/>
        <w:left w:val="none" w:sz="0" w:space="0" w:color="auto"/>
        <w:bottom w:val="none" w:sz="0" w:space="0" w:color="auto"/>
        <w:right w:val="none" w:sz="0" w:space="0" w:color="auto"/>
      </w:divBdr>
    </w:div>
    <w:div w:id="77753198">
      <w:bodyDiv w:val="1"/>
      <w:marLeft w:val="0"/>
      <w:marRight w:val="0"/>
      <w:marTop w:val="0"/>
      <w:marBottom w:val="0"/>
      <w:divBdr>
        <w:top w:val="none" w:sz="0" w:space="0" w:color="auto"/>
        <w:left w:val="none" w:sz="0" w:space="0" w:color="auto"/>
        <w:bottom w:val="none" w:sz="0" w:space="0" w:color="auto"/>
        <w:right w:val="none" w:sz="0" w:space="0" w:color="auto"/>
      </w:divBdr>
    </w:div>
    <w:div w:id="83232550">
      <w:bodyDiv w:val="1"/>
      <w:marLeft w:val="0"/>
      <w:marRight w:val="0"/>
      <w:marTop w:val="0"/>
      <w:marBottom w:val="0"/>
      <w:divBdr>
        <w:top w:val="none" w:sz="0" w:space="0" w:color="auto"/>
        <w:left w:val="none" w:sz="0" w:space="0" w:color="auto"/>
        <w:bottom w:val="none" w:sz="0" w:space="0" w:color="auto"/>
        <w:right w:val="none" w:sz="0" w:space="0" w:color="auto"/>
      </w:divBdr>
    </w:div>
    <w:div w:id="90008577">
      <w:bodyDiv w:val="1"/>
      <w:marLeft w:val="0"/>
      <w:marRight w:val="0"/>
      <w:marTop w:val="0"/>
      <w:marBottom w:val="0"/>
      <w:divBdr>
        <w:top w:val="none" w:sz="0" w:space="0" w:color="auto"/>
        <w:left w:val="none" w:sz="0" w:space="0" w:color="auto"/>
        <w:bottom w:val="none" w:sz="0" w:space="0" w:color="auto"/>
        <w:right w:val="none" w:sz="0" w:space="0" w:color="auto"/>
      </w:divBdr>
    </w:div>
    <w:div w:id="100339476">
      <w:bodyDiv w:val="1"/>
      <w:marLeft w:val="0"/>
      <w:marRight w:val="0"/>
      <w:marTop w:val="0"/>
      <w:marBottom w:val="0"/>
      <w:divBdr>
        <w:top w:val="none" w:sz="0" w:space="0" w:color="auto"/>
        <w:left w:val="none" w:sz="0" w:space="0" w:color="auto"/>
        <w:bottom w:val="none" w:sz="0" w:space="0" w:color="auto"/>
        <w:right w:val="none" w:sz="0" w:space="0" w:color="auto"/>
      </w:divBdr>
    </w:div>
    <w:div w:id="102844051">
      <w:bodyDiv w:val="1"/>
      <w:marLeft w:val="0"/>
      <w:marRight w:val="0"/>
      <w:marTop w:val="0"/>
      <w:marBottom w:val="0"/>
      <w:divBdr>
        <w:top w:val="none" w:sz="0" w:space="0" w:color="auto"/>
        <w:left w:val="none" w:sz="0" w:space="0" w:color="auto"/>
        <w:bottom w:val="none" w:sz="0" w:space="0" w:color="auto"/>
        <w:right w:val="none" w:sz="0" w:space="0" w:color="auto"/>
      </w:divBdr>
    </w:div>
    <w:div w:id="104037664">
      <w:bodyDiv w:val="1"/>
      <w:marLeft w:val="0"/>
      <w:marRight w:val="0"/>
      <w:marTop w:val="0"/>
      <w:marBottom w:val="0"/>
      <w:divBdr>
        <w:top w:val="none" w:sz="0" w:space="0" w:color="auto"/>
        <w:left w:val="none" w:sz="0" w:space="0" w:color="auto"/>
        <w:bottom w:val="none" w:sz="0" w:space="0" w:color="auto"/>
        <w:right w:val="none" w:sz="0" w:space="0" w:color="auto"/>
      </w:divBdr>
    </w:div>
    <w:div w:id="110632372">
      <w:bodyDiv w:val="1"/>
      <w:marLeft w:val="0"/>
      <w:marRight w:val="0"/>
      <w:marTop w:val="0"/>
      <w:marBottom w:val="0"/>
      <w:divBdr>
        <w:top w:val="none" w:sz="0" w:space="0" w:color="auto"/>
        <w:left w:val="none" w:sz="0" w:space="0" w:color="auto"/>
        <w:bottom w:val="none" w:sz="0" w:space="0" w:color="auto"/>
        <w:right w:val="none" w:sz="0" w:space="0" w:color="auto"/>
      </w:divBdr>
    </w:div>
    <w:div w:id="123274722">
      <w:bodyDiv w:val="1"/>
      <w:marLeft w:val="0"/>
      <w:marRight w:val="0"/>
      <w:marTop w:val="0"/>
      <w:marBottom w:val="0"/>
      <w:divBdr>
        <w:top w:val="none" w:sz="0" w:space="0" w:color="auto"/>
        <w:left w:val="none" w:sz="0" w:space="0" w:color="auto"/>
        <w:bottom w:val="none" w:sz="0" w:space="0" w:color="auto"/>
        <w:right w:val="none" w:sz="0" w:space="0" w:color="auto"/>
      </w:divBdr>
    </w:div>
    <w:div w:id="144860163">
      <w:bodyDiv w:val="1"/>
      <w:marLeft w:val="0"/>
      <w:marRight w:val="0"/>
      <w:marTop w:val="0"/>
      <w:marBottom w:val="0"/>
      <w:divBdr>
        <w:top w:val="none" w:sz="0" w:space="0" w:color="auto"/>
        <w:left w:val="none" w:sz="0" w:space="0" w:color="auto"/>
        <w:bottom w:val="none" w:sz="0" w:space="0" w:color="auto"/>
        <w:right w:val="none" w:sz="0" w:space="0" w:color="auto"/>
      </w:divBdr>
    </w:div>
    <w:div w:id="153764623">
      <w:bodyDiv w:val="1"/>
      <w:marLeft w:val="0"/>
      <w:marRight w:val="0"/>
      <w:marTop w:val="0"/>
      <w:marBottom w:val="0"/>
      <w:divBdr>
        <w:top w:val="none" w:sz="0" w:space="0" w:color="auto"/>
        <w:left w:val="none" w:sz="0" w:space="0" w:color="auto"/>
        <w:bottom w:val="none" w:sz="0" w:space="0" w:color="auto"/>
        <w:right w:val="none" w:sz="0" w:space="0" w:color="auto"/>
      </w:divBdr>
    </w:div>
    <w:div w:id="160850523">
      <w:bodyDiv w:val="1"/>
      <w:marLeft w:val="0"/>
      <w:marRight w:val="0"/>
      <w:marTop w:val="0"/>
      <w:marBottom w:val="0"/>
      <w:divBdr>
        <w:top w:val="none" w:sz="0" w:space="0" w:color="auto"/>
        <w:left w:val="none" w:sz="0" w:space="0" w:color="auto"/>
        <w:bottom w:val="none" w:sz="0" w:space="0" w:color="auto"/>
        <w:right w:val="none" w:sz="0" w:space="0" w:color="auto"/>
      </w:divBdr>
    </w:div>
    <w:div w:id="178202433">
      <w:bodyDiv w:val="1"/>
      <w:marLeft w:val="0"/>
      <w:marRight w:val="0"/>
      <w:marTop w:val="0"/>
      <w:marBottom w:val="0"/>
      <w:divBdr>
        <w:top w:val="none" w:sz="0" w:space="0" w:color="auto"/>
        <w:left w:val="none" w:sz="0" w:space="0" w:color="auto"/>
        <w:bottom w:val="none" w:sz="0" w:space="0" w:color="auto"/>
        <w:right w:val="none" w:sz="0" w:space="0" w:color="auto"/>
      </w:divBdr>
    </w:div>
    <w:div w:id="179124448">
      <w:bodyDiv w:val="1"/>
      <w:marLeft w:val="0"/>
      <w:marRight w:val="0"/>
      <w:marTop w:val="0"/>
      <w:marBottom w:val="0"/>
      <w:divBdr>
        <w:top w:val="none" w:sz="0" w:space="0" w:color="auto"/>
        <w:left w:val="none" w:sz="0" w:space="0" w:color="auto"/>
        <w:bottom w:val="none" w:sz="0" w:space="0" w:color="auto"/>
        <w:right w:val="none" w:sz="0" w:space="0" w:color="auto"/>
      </w:divBdr>
    </w:div>
    <w:div w:id="190386855">
      <w:bodyDiv w:val="1"/>
      <w:marLeft w:val="0"/>
      <w:marRight w:val="0"/>
      <w:marTop w:val="0"/>
      <w:marBottom w:val="0"/>
      <w:divBdr>
        <w:top w:val="none" w:sz="0" w:space="0" w:color="auto"/>
        <w:left w:val="none" w:sz="0" w:space="0" w:color="auto"/>
        <w:bottom w:val="none" w:sz="0" w:space="0" w:color="auto"/>
        <w:right w:val="none" w:sz="0" w:space="0" w:color="auto"/>
      </w:divBdr>
    </w:div>
    <w:div w:id="197089879">
      <w:bodyDiv w:val="1"/>
      <w:marLeft w:val="0"/>
      <w:marRight w:val="0"/>
      <w:marTop w:val="0"/>
      <w:marBottom w:val="0"/>
      <w:divBdr>
        <w:top w:val="none" w:sz="0" w:space="0" w:color="auto"/>
        <w:left w:val="none" w:sz="0" w:space="0" w:color="auto"/>
        <w:bottom w:val="none" w:sz="0" w:space="0" w:color="auto"/>
        <w:right w:val="none" w:sz="0" w:space="0" w:color="auto"/>
      </w:divBdr>
    </w:div>
    <w:div w:id="203913078">
      <w:bodyDiv w:val="1"/>
      <w:marLeft w:val="0"/>
      <w:marRight w:val="0"/>
      <w:marTop w:val="0"/>
      <w:marBottom w:val="0"/>
      <w:divBdr>
        <w:top w:val="none" w:sz="0" w:space="0" w:color="auto"/>
        <w:left w:val="none" w:sz="0" w:space="0" w:color="auto"/>
        <w:bottom w:val="none" w:sz="0" w:space="0" w:color="auto"/>
        <w:right w:val="none" w:sz="0" w:space="0" w:color="auto"/>
      </w:divBdr>
    </w:div>
    <w:div w:id="210771442">
      <w:bodyDiv w:val="1"/>
      <w:marLeft w:val="0"/>
      <w:marRight w:val="0"/>
      <w:marTop w:val="0"/>
      <w:marBottom w:val="0"/>
      <w:divBdr>
        <w:top w:val="none" w:sz="0" w:space="0" w:color="auto"/>
        <w:left w:val="none" w:sz="0" w:space="0" w:color="auto"/>
        <w:bottom w:val="none" w:sz="0" w:space="0" w:color="auto"/>
        <w:right w:val="none" w:sz="0" w:space="0" w:color="auto"/>
      </w:divBdr>
    </w:div>
    <w:div w:id="211162919">
      <w:bodyDiv w:val="1"/>
      <w:marLeft w:val="0"/>
      <w:marRight w:val="0"/>
      <w:marTop w:val="0"/>
      <w:marBottom w:val="0"/>
      <w:divBdr>
        <w:top w:val="none" w:sz="0" w:space="0" w:color="auto"/>
        <w:left w:val="none" w:sz="0" w:space="0" w:color="auto"/>
        <w:bottom w:val="none" w:sz="0" w:space="0" w:color="auto"/>
        <w:right w:val="none" w:sz="0" w:space="0" w:color="auto"/>
      </w:divBdr>
    </w:div>
    <w:div w:id="212427326">
      <w:bodyDiv w:val="1"/>
      <w:marLeft w:val="0"/>
      <w:marRight w:val="0"/>
      <w:marTop w:val="0"/>
      <w:marBottom w:val="0"/>
      <w:divBdr>
        <w:top w:val="none" w:sz="0" w:space="0" w:color="auto"/>
        <w:left w:val="none" w:sz="0" w:space="0" w:color="auto"/>
        <w:bottom w:val="none" w:sz="0" w:space="0" w:color="auto"/>
        <w:right w:val="none" w:sz="0" w:space="0" w:color="auto"/>
      </w:divBdr>
    </w:div>
    <w:div w:id="219173433">
      <w:bodyDiv w:val="1"/>
      <w:marLeft w:val="0"/>
      <w:marRight w:val="0"/>
      <w:marTop w:val="0"/>
      <w:marBottom w:val="0"/>
      <w:divBdr>
        <w:top w:val="none" w:sz="0" w:space="0" w:color="auto"/>
        <w:left w:val="none" w:sz="0" w:space="0" w:color="auto"/>
        <w:bottom w:val="none" w:sz="0" w:space="0" w:color="auto"/>
        <w:right w:val="none" w:sz="0" w:space="0" w:color="auto"/>
      </w:divBdr>
    </w:div>
    <w:div w:id="230434262">
      <w:bodyDiv w:val="1"/>
      <w:marLeft w:val="0"/>
      <w:marRight w:val="0"/>
      <w:marTop w:val="0"/>
      <w:marBottom w:val="0"/>
      <w:divBdr>
        <w:top w:val="none" w:sz="0" w:space="0" w:color="auto"/>
        <w:left w:val="none" w:sz="0" w:space="0" w:color="auto"/>
        <w:bottom w:val="none" w:sz="0" w:space="0" w:color="auto"/>
        <w:right w:val="none" w:sz="0" w:space="0" w:color="auto"/>
      </w:divBdr>
    </w:div>
    <w:div w:id="230505570">
      <w:bodyDiv w:val="1"/>
      <w:marLeft w:val="0"/>
      <w:marRight w:val="0"/>
      <w:marTop w:val="0"/>
      <w:marBottom w:val="0"/>
      <w:divBdr>
        <w:top w:val="none" w:sz="0" w:space="0" w:color="auto"/>
        <w:left w:val="none" w:sz="0" w:space="0" w:color="auto"/>
        <w:bottom w:val="none" w:sz="0" w:space="0" w:color="auto"/>
        <w:right w:val="none" w:sz="0" w:space="0" w:color="auto"/>
      </w:divBdr>
    </w:div>
    <w:div w:id="255946506">
      <w:bodyDiv w:val="1"/>
      <w:marLeft w:val="0"/>
      <w:marRight w:val="0"/>
      <w:marTop w:val="0"/>
      <w:marBottom w:val="0"/>
      <w:divBdr>
        <w:top w:val="none" w:sz="0" w:space="0" w:color="auto"/>
        <w:left w:val="none" w:sz="0" w:space="0" w:color="auto"/>
        <w:bottom w:val="none" w:sz="0" w:space="0" w:color="auto"/>
        <w:right w:val="none" w:sz="0" w:space="0" w:color="auto"/>
      </w:divBdr>
    </w:div>
    <w:div w:id="269044531">
      <w:bodyDiv w:val="1"/>
      <w:marLeft w:val="0"/>
      <w:marRight w:val="0"/>
      <w:marTop w:val="0"/>
      <w:marBottom w:val="0"/>
      <w:divBdr>
        <w:top w:val="none" w:sz="0" w:space="0" w:color="auto"/>
        <w:left w:val="none" w:sz="0" w:space="0" w:color="auto"/>
        <w:bottom w:val="none" w:sz="0" w:space="0" w:color="auto"/>
        <w:right w:val="none" w:sz="0" w:space="0" w:color="auto"/>
      </w:divBdr>
    </w:div>
    <w:div w:id="277756555">
      <w:bodyDiv w:val="1"/>
      <w:marLeft w:val="0"/>
      <w:marRight w:val="0"/>
      <w:marTop w:val="0"/>
      <w:marBottom w:val="0"/>
      <w:divBdr>
        <w:top w:val="none" w:sz="0" w:space="0" w:color="auto"/>
        <w:left w:val="none" w:sz="0" w:space="0" w:color="auto"/>
        <w:bottom w:val="none" w:sz="0" w:space="0" w:color="auto"/>
        <w:right w:val="none" w:sz="0" w:space="0" w:color="auto"/>
      </w:divBdr>
    </w:div>
    <w:div w:id="278730347">
      <w:bodyDiv w:val="1"/>
      <w:marLeft w:val="0"/>
      <w:marRight w:val="0"/>
      <w:marTop w:val="0"/>
      <w:marBottom w:val="0"/>
      <w:divBdr>
        <w:top w:val="none" w:sz="0" w:space="0" w:color="auto"/>
        <w:left w:val="none" w:sz="0" w:space="0" w:color="auto"/>
        <w:bottom w:val="none" w:sz="0" w:space="0" w:color="auto"/>
        <w:right w:val="none" w:sz="0" w:space="0" w:color="auto"/>
      </w:divBdr>
    </w:div>
    <w:div w:id="279380588">
      <w:bodyDiv w:val="1"/>
      <w:marLeft w:val="0"/>
      <w:marRight w:val="0"/>
      <w:marTop w:val="0"/>
      <w:marBottom w:val="0"/>
      <w:divBdr>
        <w:top w:val="none" w:sz="0" w:space="0" w:color="auto"/>
        <w:left w:val="none" w:sz="0" w:space="0" w:color="auto"/>
        <w:bottom w:val="none" w:sz="0" w:space="0" w:color="auto"/>
        <w:right w:val="none" w:sz="0" w:space="0" w:color="auto"/>
      </w:divBdr>
    </w:div>
    <w:div w:id="279992453">
      <w:bodyDiv w:val="1"/>
      <w:marLeft w:val="0"/>
      <w:marRight w:val="0"/>
      <w:marTop w:val="0"/>
      <w:marBottom w:val="0"/>
      <w:divBdr>
        <w:top w:val="none" w:sz="0" w:space="0" w:color="auto"/>
        <w:left w:val="none" w:sz="0" w:space="0" w:color="auto"/>
        <w:bottom w:val="none" w:sz="0" w:space="0" w:color="auto"/>
        <w:right w:val="none" w:sz="0" w:space="0" w:color="auto"/>
      </w:divBdr>
    </w:div>
    <w:div w:id="307708076">
      <w:bodyDiv w:val="1"/>
      <w:marLeft w:val="0"/>
      <w:marRight w:val="0"/>
      <w:marTop w:val="0"/>
      <w:marBottom w:val="0"/>
      <w:divBdr>
        <w:top w:val="none" w:sz="0" w:space="0" w:color="auto"/>
        <w:left w:val="none" w:sz="0" w:space="0" w:color="auto"/>
        <w:bottom w:val="none" w:sz="0" w:space="0" w:color="auto"/>
        <w:right w:val="none" w:sz="0" w:space="0" w:color="auto"/>
      </w:divBdr>
    </w:div>
    <w:div w:id="316493519">
      <w:bodyDiv w:val="1"/>
      <w:marLeft w:val="0"/>
      <w:marRight w:val="0"/>
      <w:marTop w:val="0"/>
      <w:marBottom w:val="0"/>
      <w:divBdr>
        <w:top w:val="none" w:sz="0" w:space="0" w:color="auto"/>
        <w:left w:val="none" w:sz="0" w:space="0" w:color="auto"/>
        <w:bottom w:val="none" w:sz="0" w:space="0" w:color="auto"/>
        <w:right w:val="none" w:sz="0" w:space="0" w:color="auto"/>
      </w:divBdr>
    </w:div>
    <w:div w:id="329405914">
      <w:bodyDiv w:val="1"/>
      <w:marLeft w:val="0"/>
      <w:marRight w:val="0"/>
      <w:marTop w:val="0"/>
      <w:marBottom w:val="0"/>
      <w:divBdr>
        <w:top w:val="none" w:sz="0" w:space="0" w:color="auto"/>
        <w:left w:val="none" w:sz="0" w:space="0" w:color="auto"/>
        <w:bottom w:val="none" w:sz="0" w:space="0" w:color="auto"/>
        <w:right w:val="none" w:sz="0" w:space="0" w:color="auto"/>
      </w:divBdr>
    </w:div>
    <w:div w:id="334649128">
      <w:bodyDiv w:val="1"/>
      <w:marLeft w:val="0"/>
      <w:marRight w:val="0"/>
      <w:marTop w:val="0"/>
      <w:marBottom w:val="0"/>
      <w:divBdr>
        <w:top w:val="none" w:sz="0" w:space="0" w:color="auto"/>
        <w:left w:val="none" w:sz="0" w:space="0" w:color="auto"/>
        <w:bottom w:val="none" w:sz="0" w:space="0" w:color="auto"/>
        <w:right w:val="none" w:sz="0" w:space="0" w:color="auto"/>
      </w:divBdr>
    </w:div>
    <w:div w:id="354115274">
      <w:bodyDiv w:val="1"/>
      <w:marLeft w:val="0"/>
      <w:marRight w:val="0"/>
      <w:marTop w:val="0"/>
      <w:marBottom w:val="0"/>
      <w:divBdr>
        <w:top w:val="none" w:sz="0" w:space="0" w:color="auto"/>
        <w:left w:val="none" w:sz="0" w:space="0" w:color="auto"/>
        <w:bottom w:val="none" w:sz="0" w:space="0" w:color="auto"/>
        <w:right w:val="none" w:sz="0" w:space="0" w:color="auto"/>
      </w:divBdr>
    </w:div>
    <w:div w:id="355351586">
      <w:bodyDiv w:val="1"/>
      <w:marLeft w:val="0"/>
      <w:marRight w:val="0"/>
      <w:marTop w:val="0"/>
      <w:marBottom w:val="0"/>
      <w:divBdr>
        <w:top w:val="none" w:sz="0" w:space="0" w:color="auto"/>
        <w:left w:val="none" w:sz="0" w:space="0" w:color="auto"/>
        <w:bottom w:val="none" w:sz="0" w:space="0" w:color="auto"/>
        <w:right w:val="none" w:sz="0" w:space="0" w:color="auto"/>
      </w:divBdr>
    </w:div>
    <w:div w:id="394358585">
      <w:bodyDiv w:val="1"/>
      <w:marLeft w:val="0"/>
      <w:marRight w:val="0"/>
      <w:marTop w:val="0"/>
      <w:marBottom w:val="0"/>
      <w:divBdr>
        <w:top w:val="none" w:sz="0" w:space="0" w:color="auto"/>
        <w:left w:val="none" w:sz="0" w:space="0" w:color="auto"/>
        <w:bottom w:val="none" w:sz="0" w:space="0" w:color="auto"/>
        <w:right w:val="none" w:sz="0" w:space="0" w:color="auto"/>
      </w:divBdr>
    </w:div>
    <w:div w:id="408581444">
      <w:bodyDiv w:val="1"/>
      <w:marLeft w:val="0"/>
      <w:marRight w:val="0"/>
      <w:marTop w:val="0"/>
      <w:marBottom w:val="0"/>
      <w:divBdr>
        <w:top w:val="none" w:sz="0" w:space="0" w:color="auto"/>
        <w:left w:val="none" w:sz="0" w:space="0" w:color="auto"/>
        <w:bottom w:val="none" w:sz="0" w:space="0" w:color="auto"/>
        <w:right w:val="none" w:sz="0" w:space="0" w:color="auto"/>
      </w:divBdr>
    </w:div>
    <w:div w:id="416906267">
      <w:bodyDiv w:val="1"/>
      <w:marLeft w:val="0"/>
      <w:marRight w:val="0"/>
      <w:marTop w:val="0"/>
      <w:marBottom w:val="0"/>
      <w:divBdr>
        <w:top w:val="none" w:sz="0" w:space="0" w:color="auto"/>
        <w:left w:val="none" w:sz="0" w:space="0" w:color="auto"/>
        <w:bottom w:val="none" w:sz="0" w:space="0" w:color="auto"/>
        <w:right w:val="none" w:sz="0" w:space="0" w:color="auto"/>
      </w:divBdr>
    </w:div>
    <w:div w:id="469397881">
      <w:bodyDiv w:val="1"/>
      <w:marLeft w:val="0"/>
      <w:marRight w:val="0"/>
      <w:marTop w:val="0"/>
      <w:marBottom w:val="0"/>
      <w:divBdr>
        <w:top w:val="none" w:sz="0" w:space="0" w:color="auto"/>
        <w:left w:val="none" w:sz="0" w:space="0" w:color="auto"/>
        <w:bottom w:val="none" w:sz="0" w:space="0" w:color="auto"/>
        <w:right w:val="none" w:sz="0" w:space="0" w:color="auto"/>
      </w:divBdr>
    </w:div>
    <w:div w:id="473988723">
      <w:bodyDiv w:val="1"/>
      <w:marLeft w:val="0"/>
      <w:marRight w:val="0"/>
      <w:marTop w:val="0"/>
      <w:marBottom w:val="0"/>
      <w:divBdr>
        <w:top w:val="none" w:sz="0" w:space="0" w:color="auto"/>
        <w:left w:val="none" w:sz="0" w:space="0" w:color="auto"/>
        <w:bottom w:val="none" w:sz="0" w:space="0" w:color="auto"/>
        <w:right w:val="none" w:sz="0" w:space="0" w:color="auto"/>
      </w:divBdr>
      <w:divsChild>
        <w:div w:id="1253852572">
          <w:marLeft w:val="0"/>
          <w:marRight w:val="0"/>
          <w:marTop w:val="0"/>
          <w:marBottom w:val="0"/>
          <w:divBdr>
            <w:top w:val="none" w:sz="0" w:space="0" w:color="auto"/>
            <w:left w:val="none" w:sz="0" w:space="0" w:color="auto"/>
            <w:bottom w:val="none" w:sz="0" w:space="0" w:color="auto"/>
            <w:right w:val="none" w:sz="0" w:space="0" w:color="auto"/>
          </w:divBdr>
          <w:divsChild>
            <w:div w:id="1323698585">
              <w:marLeft w:val="0"/>
              <w:marRight w:val="0"/>
              <w:marTop w:val="0"/>
              <w:marBottom w:val="0"/>
              <w:divBdr>
                <w:top w:val="none" w:sz="0" w:space="0" w:color="auto"/>
                <w:left w:val="none" w:sz="0" w:space="0" w:color="auto"/>
                <w:bottom w:val="none" w:sz="0" w:space="0" w:color="auto"/>
                <w:right w:val="none" w:sz="0" w:space="0" w:color="auto"/>
              </w:divBdr>
              <w:divsChild>
                <w:div w:id="629898965">
                  <w:marLeft w:val="0"/>
                  <w:marRight w:val="0"/>
                  <w:marTop w:val="0"/>
                  <w:marBottom w:val="0"/>
                  <w:divBdr>
                    <w:top w:val="none" w:sz="0" w:space="0" w:color="auto"/>
                    <w:left w:val="none" w:sz="0" w:space="0" w:color="auto"/>
                    <w:bottom w:val="none" w:sz="0" w:space="0" w:color="auto"/>
                    <w:right w:val="none" w:sz="0" w:space="0" w:color="auto"/>
                  </w:divBdr>
                  <w:divsChild>
                    <w:div w:id="1427847410">
                      <w:marLeft w:val="0"/>
                      <w:marRight w:val="0"/>
                      <w:marTop w:val="0"/>
                      <w:marBottom w:val="0"/>
                      <w:divBdr>
                        <w:top w:val="none" w:sz="0" w:space="0" w:color="auto"/>
                        <w:left w:val="none" w:sz="0" w:space="0" w:color="auto"/>
                        <w:bottom w:val="none" w:sz="0" w:space="0" w:color="auto"/>
                        <w:right w:val="none" w:sz="0" w:space="0" w:color="auto"/>
                      </w:divBdr>
                      <w:divsChild>
                        <w:div w:id="1598713045">
                          <w:marLeft w:val="0"/>
                          <w:marRight w:val="0"/>
                          <w:marTop w:val="0"/>
                          <w:marBottom w:val="0"/>
                          <w:divBdr>
                            <w:top w:val="none" w:sz="0" w:space="0" w:color="auto"/>
                            <w:left w:val="none" w:sz="0" w:space="0" w:color="auto"/>
                            <w:bottom w:val="none" w:sz="0" w:space="0" w:color="auto"/>
                            <w:right w:val="none" w:sz="0" w:space="0" w:color="auto"/>
                          </w:divBdr>
                          <w:divsChild>
                            <w:div w:id="1323584630">
                              <w:marLeft w:val="0"/>
                              <w:marRight w:val="0"/>
                              <w:marTop w:val="0"/>
                              <w:marBottom w:val="0"/>
                              <w:divBdr>
                                <w:top w:val="none" w:sz="0" w:space="0" w:color="auto"/>
                                <w:left w:val="none" w:sz="0" w:space="0" w:color="auto"/>
                                <w:bottom w:val="none" w:sz="0" w:space="0" w:color="auto"/>
                                <w:right w:val="none" w:sz="0" w:space="0" w:color="auto"/>
                              </w:divBdr>
                              <w:divsChild>
                                <w:div w:id="1322737893">
                                  <w:marLeft w:val="0"/>
                                  <w:marRight w:val="0"/>
                                  <w:marTop w:val="0"/>
                                  <w:marBottom w:val="0"/>
                                  <w:divBdr>
                                    <w:top w:val="none" w:sz="0" w:space="0" w:color="auto"/>
                                    <w:left w:val="none" w:sz="0" w:space="0" w:color="auto"/>
                                    <w:bottom w:val="none" w:sz="0" w:space="0" w:color="auto"/>
                                    <w:right w:val="none" w:sz="0" w:space="0" w:color="auto"/>
                                  </w:divBdr>
                                  <w:divsChild>
                                    <w:div w:id="793406407">
                                      <w:marLeft w:val="60"/>
                                      <w:marRight w:val="0"/>
                                      <w:marTop w:val="0"/>
                                      <w:marBottom w:val="0"/>
                                      <w:divBdr>
                                        <w:top w:val="none" w:sz="0" w:space="0" w:color="auto"/>
                                        <w:left w:val="none" w:sz="0" w:space="0" w:color="auto"/>
                                        <w:bottom w:val="none" w:sz="0" w:space="0" w:color="auto"/>
                                        <w:right w:val="none" w:sz="0" w:space="0" w:color="auto"/>
                                      </w:divBdr>
                                      <w:divsChild>
                                        <w:div w:id="467552149">
                                          <w:marLeft w:val="0"/>
                                          <w:marRight w:val="0"/>
                                          <w:marTop w:val="0"/>
                                          <w:marBottom w:val="0"/>
                                          <w:divBdr>
                                            <w:top w:val="none" w:sz="0" w:space="0" w:color="auto"/>
                                            <w:left w:val="none" w:sz="0" w:space="0" w:color="auto"/>
                                            <w:bottom w:val="none" w:sz="0" w:space="0" w:color="auto"/>
                                            <w:right w:val="none" w:sz="0" w:space="0" w:color="auto"/>
                                          </w:divBdr>
                                          <w:divsChild>
                                            <w:div w:id="351567738">
                                              <w:marLeft w:val="0"/>
                                              <w:marRight w:val="0"/>
                                              <w:marTop w:val="0"/>
                                              <w:marBottom w:val="120"/>
                                              <w:divBdr>
                                                <w:top w:val="single" w:sz="6" w:space="0" w:color="F5F5F5"/>
                                                <w:left w:val="single" w:sz="6" w:space="0" w:color="F5F5F5"/>
                                                <w:bottom w:val="single" w:sz="6" w:space="0" w:color="F5F5F5"/>
                                                <w:right w:val="single" w:sz="6" w:space="0" w:color="F5F5F5"/>
                                              </w:divBdr>
                                              <w:divsChild>
                                                <w:div w:id="663244226">
                                                  <w:marLeft w:val="0"/>
                                                  <w:marRight w:val="0"/>
                                                  <w:marTop w:val="0"/>
                                                  <w:marBottom w:val="0"/>
                                                  <w:divBdr>
                                                    <w:top w:val="none" w:sz="0" w:space="0" w:color="auto"/>
                                                    <w:left w:val="none" w:sz="0" w:space="0" w:color="auto"/>
                                                    <w:bottom w:val="none" w:sz="0" w:space="0" w:color="auto"/>
                                                    <w:right w:val="none" w:sz="0" w:space="0" w:color="auto"/>
                                                  </w:divBdr>
                                                  <w:divsChild>
                                                    <w:div w:id="35155983">
                                                      <w:marLeft w:val="0"/>
                                                      <w:marRight w:val="0"/>
                                                      <w:marTop w:val="0"/>
                                                      <w:marBottom w:val="0"/>
                                                      <w:divBdr>
                                                        <w:top w:val="none" w:sz="0" w:space="0" w:color="auto"/>
                                                        <w:left w:val="none" w:sz="0" w:space="0" w:color="auto"/>
                                                        <w:bottom w:val="none" w:sz="0" w:space="0" w:color="auto"/>
                                                        <w:right w:val="none" w:sz="0" w:space="0" w:color="auto"/>
                                                      </w:divBdr>
                                                    </w:div>
                                                  </w:divsChild>
                                                </w:div>
                                                <w:div w:id="191573779">
                                                  <w:marLeft w:val="0"/>
                                                  <w:marRight w:val="0"/>
                                                  <w:marTop w:val="0"/>
                                                  <w:marBottom w:val="0"/>
                                                  <w:divBdr>
                                                    <w:top w:val="none" w:sz="0" w:space="0" w:color="auto"/>
                                                    <w:left w:val="none" w:sz="0" w:space="0" w:color="auto"/>
                                                    <w:bottom w:val="none" w:sz="0" w:space="0" w:color="auto"/>
                                                    <w:right w:val="none" w:sz="0" w:space="0" w:color="auto"/>
                                                  </w:divBdr>
                                                  <w:divsChild>
                                                    <w:div w:id="4098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6185890">
      <w:bodyDiv w:val="1"/>
      <w:marLeft w:val="0"/>
      <w:marRight w:val="0"/>
      <w:marTop w:val="0"/>
      <w:marBottom w:val="0"/>
      <w:divBdr>
        <w:top w:val="none" w:sz="0" w:space="0" w:color="auto"/>
        <w:left w:val="none" w:sz="0" w:space="0" w:color="auto"/>
        <w:bottom w:val="none" w:sz="0" w:space="0" w:color="auto"/>
        <w:right w:val="none" w:sz="0" w:space="0" w:color="auto"/>
      </w:divBdr>
    </w:div>
    <w:div w:id="479272270">
      <w:bodyDiv w:val="1"/>
      <w:marLeft w:val="0"/>
      <w:marRight w:val="0"/>
      <w:marTop w:val="0"/>
      <w:marBottom w:val="0"/>
      <w:divBdr>
        <w:top w:val="none" w:sz="0" w:space="0" w:color="auto"/>
        <w:left w:val="none" w:sz="0" w:space="0" w:color="auto"/>
        <w:bottom w:val="none" w:sz="0" w:space="0" w:color="auto"/>
        <w:right w:val="none" w:sz="0" w:space="0" w:color="auto"/>
      </w:divBdr>
    </w:div>
    <w:div w:id="481888797">
      <w:bodyDiv w:val="1"/>
      <w:marLeft w:val="0"/>
      <w:marRight w:val="0"/>
      <w:marTop w:val="0"/>
      <w:marBottom w:val="0"/>
      <w:divBdr>
        <w:top w:val="none" w:sz="0" w:space="0" w:color="auto"/>
        <w:left w:val="none" w:sz="0" w:space="0" w:color="auto"/>
        <w:bottom w:val="none" w:sz="0" w:space="0" w:color="auto"/>
        <w:right w:val="none" w:sz="0" w:space="0" w:color="auto"/>
      </w:divBdr>
    </w:div>
    <w:div w:id="485584741">
      <w:bodyDiv w:val="1"/>
      <w:marLeft w:val="0"/>
      <w:marRight w:val="0"/>
      <w:marTop w:val="0"/>
      <w:marBottom w:val="0"/>
      <w:divBdr>
        <w:top w:val="none" w:sz="0" w:space="0" w:color="auto"/>
        <w:left w:val="none" w:sz="0" w:space="0" w:color="auto"/>
        <w:bottom w:val="none" w:sz="0" w:space="0" w:color="auto"/>
        <w:right w:val="none" w:sz="0" w:space="0" w:color="auto"/>
      </w:divBdr>
    </w:div>
    <w:div w:id="487409023">
      <w:bodyDiv w:val="1"/>
      <w:marLeft w:val="0"/>
      <w:marRight w:val="0"/>
      <w:marTop w:val="0"/>
      <w:marBottom w:val="0"/>
      <w:divBdr>
        <w:top w:val="none" w:sz="0" w:space="0" w:color="auto"/>
        <w:left w:val="none" w:sz="0" w:space="0" w:color="auto"/>
        <w:bottom w:val="none" w:sz="0" w:space="0" w:color="auto"/>
        <w:right w:val="none" w:sz="0" w:space="0" w:color="auto"/>
      </w:divBdr>
    </w:div>
    <w:div w:id="494151894">
      <w:bodyDiv w:val="1"/>
      <w:marLeft w:val="0"/>
      <w:marRight w:val="0"/>
      <w:marTop w:val="0"/>
      <w:marBottom w:val="0"/>
      <w:divBdr>
        <w:top w:val="none" w:sz="0" w:space="0" w:color="auto"/>
        <w:left w:val="none" w:sz="0" w:space="0" w:color="auto"/>
        <w:bottom w:val="none" w:sz="0" w:space="0" w:color="auto"/>
        <w:right w:val="none" w:sz="0" w:space="0" w:color="auto"/>
      </w:divBdr>
    </w:div>
    <w:div w:id="500511429">
      <w:bodyDiv w:val="1"/>
      <w:marLeft w:val="0"/>
      <w:marRight w:val="0"/>
      <w:marTop w:val="0"/>
      <w:marBottom w:val="0"/>
      <w:divBdr>
        <w:top w:val="none" w:sz="0" w:space="0" w:color="auto"/>
        <w:left w:val="none" w:sz="0" w:space="0" w:color="auto"/>
        <w:bottom w:val="none" w:sz="0" w:space="0" w:color="auto"/>
        <w:right w:val="none" w:sz="0" w:space="0" w:color="auto"/>
      </w:divBdr>
    </w:div>
    <w:div w:id="502285671">
      <w:bodyDiv w:val="1"/>
      <w:marLeft w:val="0"/>
      <w:marRight w:val="0"/>
      <w:marTop w:val="0"/>
      <w:marBottom w:val="0"/>
      <w:divBdr>
        <w:top w:val="none" w:sz="0" w:space="0" w:color="auto"/>
        <w:left w:val="none" w:sz="0" w:space="0" w:color="auto"/>
        <w:bottom w:val="none" w:sz="0" w:space="0" w:color="auto"/>
        <w:right w:val="none" w:sz="0" w:space="0" w:color="auto"/>
      </w:divBdr>
    </w:div>
    <w:div w:id="522867381">
      <w:bodyDiv w:val="1"/>
      <w:marLeft w:val="0"/>
      <w:marRight w:val="0"/>
      <w:marTop w:val="0"/>
      <w:marBottom w:val="0"/>
      <w:divBdr>
        <w:top w:val="none" w:sz="0" w:space="0" w:color="auto"/>
        <w:left w:val="none" w:sz="0" w:space="0" w:color="auto"/>
        <w:bottom w:val="none" w:sz="0" w:space="0" w:color="auto"/>
        <w:right w:val="none" w:sz="0" w:space="0" w:color="auto"/>
      </w:divBdr>
    </w:div>
    <w:div w:id="529342333">
      <w:bodyDiv w:val="1"/>
      <w:marLeft w:val="0"/>
      <w:marRight w:val="0"/>
      <w:marTop w:val="0"/>
      <w:marBottom w:val="0"/>
      <w:divBdr>
        <w:top w:val="none" w:sz="0" w:space="0" w:color="auto"/>
        <w:left w:val="none" w:sz="0" w:space="0" w:color="auto"/>
        <w:bottom w:val="none" w:sz="0" w:space="0" w:color="auto"/>
        <w:right w:val="none" w:sz="0" w:space="0" w:color="auto"/>
      </w:divBdr>
    </w:div>
    <w:div w:id="543251453">
      <w:bodyDiv w:val="1"/>
      <w:marLeft w:val="0"/>
      <w:marRight w:val="0"/>
      <w:marTop w:val="0"/>
      <w:marBottom w:val="0"/>
      <w:divBdr>
        <w:top w:val="none" w:sz="0" w:space="0" w:color="auto"/>
        <w:left w:val="none" w:sz="0" w:space="0" w:color="auto"/>
        <w:bottom w:val="none" w:sz="0" w:space="0" w:color="auto"/>
        <w:right w:val="none" w:sz="0" w:space="0" w:color="auto"/>
      </w:divBdr>
    </w:div>
    <w:div w:id="578251031">
      <w:bodyDiv w:val="1"/>
      <w:marLeft w:val="0"/>
      <w:marRight w:val="0"/>
      <w:marTop w:val="0"/>
      <w:marBottom w:val="0"/>
      <w:divBdr>
        <w:top w:val="none" w:sz="0" w:space="0" w:color="auto"/>
        <w:left w:val="none" w:sz="0" w:space="0" w:color="auto"/>
        <w:bottom w:val="none" w:sz="0" w:space="0" w:color="auto"/>
        <w:right w:val="none" w:sz="0" w:space="0" w:color="auto"/>
      </w:divBdr>
    </w:div>
    <w:div w:id="578446039">
      <w:bodyDiv w:val="1"/>
      <w:marLeft w:val="0"/>
      <w:marRight w:val="0"/>
      <w:marTop w:val="0"/>
      <w:marBottom w:val="0"/>
      <w:divBdr>
        <w:top w:val="none" w:sz="0" w:space="0" w:color="auto"/>
        <w:left w:val="none" w:sz="0" w:space="0" w:color="auto"/>
        <w:bottom w:val="none" w:sz="0" w:space="0" w:color="auto"/>
        <w:right w:val="none" w:sz="0" w:space="0" w:color="auto"/>
      </w:divBdr>
    </w:div>
    <w:div w:id="588854342">
      <w:bodyDiv w:val="1"/>
      <w:marLeft w:val="0"/>
      <w:marRight w:val="0"/>
      <w:marTop w:val="0"/>
      <w:marBottom w:val="0"/>
      <w:divBdr>
        <w:top w:val="none" w:sz="0" w:space="0" w:color="auto"/>
        <w:left w:val="none" w:sz="0" w:space="0" w:color="auto"/>
        <w:bottom w:val="none" w:sz="0" w:space="0" w:color="auto"/>
        <w:right w:val="none" w:sz="0" w:space="0" w:color="auto"/>
      </w:divBdr>
    </w:div>
    <w:div w:id="593708812">
      <w:bodyDiv w:val="1"/>
      <w:marLeft w:val="0"/>
      <w:marRight w:val="0"/>
      <w:marTop w:val="0"/>
      <w:marBottom w:val="0"/>
      <w:divBdr>
        <w:top w:val="none" w:sz="0" w:space="0" w:color="auto"/>
        <w:left w:val="none" w:sz="0" w:space="0" w:color="auto"/>
        <w:bottom w:val="none" w:sz="0" w:space="0" w:color="auto"/>
        <w:right w:val="none" w:sz="0" w:space="0" w:color="auto"/>
      </w:divBdr>
    </w:div>
    <w:div w:id="606160896">
      <w:bodyDiv w:val="1"/>
      <w:marLeft w:val="0"/>
      <w:marRight w:val="0"/>
      <w:marTop w:val="0"/>
      <w:marBottom w:val="0"/>
      <w:divBdr>
        <w:top w:val="none" w:sz="0" w:space="0" w:color="auto"/>
        <w:left w:val="none" w:sz="0" w:space="0" w:color="auto"/>
        <w:bottom w:val="none" w:sz="0" w:space="0" w:color="auto"/>
        <w:right w:val="none" w:sz="0" w:space="0" w:color="auto"/>
      </w:divBdr>
    </w:div>
    <w:div w:id="632564308">
      <w:bodyDiv w:val="1"/>
      <w:marLeft w:val="0"/>
      <w:marRight w:val="0"/>
      <w:marTop w:val="0"/>
      <w:marBottom w:val="0"/>
      <w:divBdr>
        <w:top w:val="none" w:sz="0" w:space="0" w:color="auto"/>
        <w:left w:val="none" w:sz="0" w:space="0" w:color="auto"/>
        <w:bottom w:val="none" w:sz="0" w:space="0" w:color="auto"/>
        <w:right w:val="none" w:sz="0" w:space="0" w:color="auto"/>
      </w:divBdr>
    </w:div>
    <w:div w:id="655568836">
      <w:bodyDiv w:val="1"/>
      <w:marLeft w:val="0"/>
      <w:marRight w:val="0"/>
      <w:marTop w:val="0"/>
      <w:marBottom w:val="0"/>
      <w:divBdr>
        <w:top w:val="none" w:sz="0" w:space="0" w:color="auto"/>
        <w:left w:val="none" w:sz="0" w:space="0" w:color="auto"/>
        <w:bottom w:val="none" w:sz="0" w:space="0" w:color="auto"/>
        <w:right w:val="none" w:sz="0" w:space="0" w:color="auto"/>
      </w:divBdr>
    </w:div>
    <w:div w:id="657608769">
      <w:bodyDiv w:val="1"/>
      <w:marLeft w:val="0"/>
      <w:marRight w:val="0"/>
      <w:marTop w:val="0"/>
      <w:marBottom w:val="0"/>
      <w:divBdr>
        <w:top w:val="none" w:sz="0" w:space="0" w:color="auto"/>
        <w:left w:val="none" w:sz="0" w:space="0" w:color="auto"/>
        <w:bottom w:val="none" w:sz="0" w:space="0" w:color="auto"/>
        <w:right w:val="none" w:sz="0" w:space="0" w:color="auto"/>
      </w:divBdr>
    </w:div>
    <w:div w:id="666399332">
      <w:bodyDiv w:val="1"/>
      <w:marLeft w:val="0"/>
      <w:marRight w:val="0"/>
      <w:marTop w:val="0"/>
      <w:marBottom w:val="0"/>
      <w:divBdr>
        <w:top w:val="none" w:sz="0" w:space="0" w:color="auto"/>
        <w:left w:val="none" w:sz="0" w:space="0" w:color="auto"/>
        <w:bottom w:val="none" w:sz="0" w:space="0" w:color="auto"/>
        <w:right w:val="none" w:sz="0" w:space="0" w:color="auto"/>
      </w:divBdr>
    </w:div>
    <w:div w:id="674260607">
      <w:bodyDiv w:val="1"/>
      <w:marLeft w:val="0"/>
      <w:marRight w:val="0"/>
      <w:marTop w:val="0"/>
      <w:marBottom w:val="0"/>
      <w:divBdr>
        <w:top w:val="none" w:sz="0" w:space="0" w:color="auto"/>
        <w:left w:val="none" w:sz="0" w:space="0" w:color="auto"/>
        <w:bottom w:val="none" w:sz="0" w:space="0" w:color="auto"/>
        <w:right w:val="none" w:sz="0" w:space="0" w:color="auto"/>
      </w:divBdr>
    </w:div>
    <w:div w:id="677081816">
      <w:bodyDiv w:val="1"/>
      <w:marLeft w:val="0"/>
      <w:marRight w:val="0"/>
      <w:marTop w:val="0"/>
      <w:marBottom w:val="0"/>
      <w:divBdr>
        <w:top w:val="none" w:sz="0" w:space="0" w:color="auto"/>
        <w:left w:val="none" w:sz="0" w:space="0" w:color="auto"/>
        <w:bottom w:val="none" w:sz="0" w:space="0" w:color="auto"/>
        <w:right w:val="none" w:sz="0" w:space="0" w:color="auto"/>
      </w:divBdr>
    </w:div>
    <w:div w:id="690957969">
      <w:bodyDiv w:val="1"/>
      <w:marLeft w:val="0"/>
      <w:marRight w:val="0"/>
      <w:marTop w:val="0"/>
      <w:marBottom w:val="0"/>
      <w:divBdr>
        <w:top w:val="none" w:sz="0" w:space="0" w:color="auto"/>
        <w:left w:val="none" w:sz="0" w:space="0" w:color="auto"/>
        <w:bottom w:val="none" w:sz="0" w:space="0" w:color="auto"/>
        <w:right w:val="none" w:sz="0" w:space="0" w:color="auto"/>
      </w:divBdr>
    </w:div>
    <w:div w:id="697311668">
      <w:bodyDiv w:val="1"/>
      <w:marLeft w:val="0"/>
      <w:marRight w:val="0"/>
      <w:marTop w:val="0"/>
      <w:marBottom w:val="0"/>
      <w:divBdr>
        <w:top w:val="none" w:sz="0" w:space="0" w:color="auto"/>
        <w:left w:val="none" w:sz="0" w:space="0" w:color="auto"/>
        <w:bottom w:val="none" w:sz="0" w:space="0" w:color="auto"/>
        <w:right w:val="none" w:sz="0" w:space="0" w:color="auto"/>
      </w:divBdr>
    </w:div>
    <w:div w:id="710232037">
      <w:bodyDiv w:val="1"/>
      <w:marLeft w:val="0"/>
      <w:marRight w:val="0"/>
      <w:marTop w:val="0"/>
      <w:marBottom w:val="0"/>
      <w:divBdr>
        <w:top w:val="none" w:sz="0" w:space="0" w:color="auto"/>
        <w:left w:val="none" w:sz="0" w:space="0" w:color="auto"/>
        <w:bottom w:val="none" w:sz="0" w:space="0" w:color="auto"/>
        <w:right w:val="none" w:sz="0" w:space="0" w:color="auto"/>
      </w:divBdr>
    </w:div>
    <w:div w:id="712509475">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55201682">
      <w:bodyDiv w:val="1"/>
      <w:marLeft w:val="0"/>
      <w:marRight w:val="0"/>
      <w:marTop w:val="0"/>
      <w:marBottom w:val="0"/>
      <w:divBdr>
        <w:top w:val="none" w:sz="0" w:space="0" w:color="auto"/>
        <w:left w:val="none" w:sz="0" w:space="0" w:color="auto"/>
        <w:bottom w:val="none" w:sz="0" w:space="0" w:color="auto"/>
        <w:right w:val="none" w:sz="0" w:space="0" w:color="auto"/>
      </w:divBdr>
    </w:div>
    <w:div w:id="766580419">
      <w:bodyDiv w:val="1"/>
      <w:marLeft w:val="0"/>
      <w:marRight w:val="0"/>
      <w:marTop w:val="0"/>
      <w:marBottom w:val="0"/>
      <w:divBdr>
        <w:top w:val="none" w:sz="0" w:space="0" w:color="auto"/>
        <w:left w:val="none" w:sz="0" w:space="0" w:color="auto"/>
        <w:bottom w:val="none" w:sz="0" w:space="0" w:color="auto"/>
        <w:right w:val="none" w:sz="0" w:space="0" w:color="auto"/>
      </w:divBdr>
    </w:div>
    <w:div w:id="767042749">
      <w:bodyDiv w:val="1"/>
      <w:marLeft w:val="0"/>
      <w:marRight w:val="0"/>
      <w:marTop w:val="0"/>
      <w:marBottom w:val="0"/>
      <w:divBdr>
        <w:top w:val="none" w:sz="0" w:space="0" w:color="auto"/>
        <w:left w:val="none" w:sz="0" w:space="0" w:color="auto"/>
        <w:bottom w:val="none" w:sz="0" w:space="0" w:color="auto"/>
        <w:right w:val="none" w:sz="0" w:space="0" w:color="auto"/>
      </w:divBdr>
    </w:div>
    <w:div w:id="783114367">
      <w:bodyDiv w:val="1"/>
      <w:marLeft w:val="0"/>
      <w:marRight w:val="0"/>
      <w:marTop w:val="0"/>
      <w:marBottom w:val="0"/>
      <w:divBdr>
        <w:top w:val="none" w:sz="0" w:space="0" w:color="auto"/>
        <w:left w:val="none" w:sz="0" w:space="0" w:color="auto"/>
        <w:bottom w:val="none" w:sz="0" w:space="0" w:color="auto"/>
        <w:right w:val="none" w:sz="0" w:space="0" w:color="auto"/>
      </w:divBdr>
    </w:div>
    <w:div w:id="826633575">
      <w:bodyDiv w:val="1"/>
      <w:marLeft w:val="0"/>
      <w:marRight w:val="0"/>
      <w:marTop w:val="0"/>
      <w:marBottom w:val="0"/>
      <w:divBdr>
        <w:top w:val="none" w:sz="0" w:space="0" w:color="auto"/>
        <w:left w:val="none" w:sz="0" w:space="0" w:color="auto"/>
        <w:bottom w:val="none" w:sz="0" w:space="0" w:color="auto"/>
        <w:right w:val="none" w:sz="0" w:space="0" w:color="auto"/>
      </w:divBdr>
    </w:div>
    <w:div w:id="847982739">
      <w:bodyDiv w:val="1"/>
      <w:marLeft w:val="0"/>
      <w:marRight w:val="0"/>
      <w:marTop w:val="0"/>
      <w:marBottom w:val="0"/>
      <w:divBdr>
        <w:top w:val="none" w:sz="0" w:space="0" w:color="auto"/>
        <w:left w:val="none" w:sz="0" w:space="0" w:color="auto"/>
        <w:bottom w:val="none" w:sz="0" w:space="0" w:color="auto"/>
        <w:right w:val="none" w:sz="0" w:space="0" w:color="auto"/>
      </w:divBdr>
    </w:div>
    <w:div w:id="874195143">
      <w:bodyDiv w:val="1"/>
      <w:marLeft w:val="0"/>
      <w:marRight w:val="0"/>
      <w:marTop w:val="0"/>
      <w:marBottom w:val="0"/>
      <w:divBdr>
        <w:top w:val="none" w:sz="0" w:space="0" w:color="auto"/>
        <w:left w:val="none" w:sz="0" w:space="0" w:color="auto"/>
        <w:bottom w:val="none" w:sz="0" w:space="0" w:color="auto"/>
        <w:right w:val="none" w:sz="0" w:space="0" w:color="auto"/>
      </w:divBdr>
    </w:div>
    <w:div w:id="879364858">
      <w:bodyDiv w:val="1"/>
      <w:marLeft w:val="0"/>
      <w:marRight w:val="0"/>
      <w:marTop w:val="0"/>
      <w:marBottom w:val="0"/>
      <w:divBdr>
        <w:top w:val="none" w:sz="0" w:space="0" w:color="auto"/>
        <w:left w:val="none" w:sz="0" w:space="0" w:color="auto"/>
        <w:bottom w:val="none" w:sz="0" w:space="0" w:color="auto"/>
        <w:right w:val="none" w:sz="0" w:space="0" w:color="auto"/>
      </w:divBdr>
    </w:div>
    <w:div w:id="899756059">
      <w:bodyDiv w:val="1"/>
      <w:marLeft w:val="0"/>
      <w:marRight w:val="0"/>
      <w:marTop w:val="0"/>
      <w:marBottom w:val="0"/>
      <w:divBdr>
        <w:top w:val="none" w:sz="0" w:space="0" w:color="auto"/>
        <w:left w:val="none" w:sz="0" w:space="0" w:color="auto"/>
        <w:bottom w:val="none" w:sz="0" w:space="0" w:color="auto"/>
        <w:right w:val="none" w:sz="0" w:space="0" w:color="auto"/>
      </w:divBdr>
    </w:div>
    <w:div w:id="914893691">
      <w:bodyDiv w:val="1"/>
      <w:marLeft w:val="0"/>
      <w:marRight w:val="0"/>
      <w:marTop w:val="0"/>
      <w:marBottom w:val="0"/>
      <w:divBdr>
        <w:top w:val="none" w:sz="0" w:space="0" w:color="auto"/>
        <w:left w:val="none" w:sz="0" w:space="0" w:color="auto"/>
        <w:bottom w:val="none" w:sz="0" w:space="0" w:color="auto"/>
        <w:right w:val="none" w:sz="0" w:space="0" w:color="auto"/>
      </w:divBdr>
    </w:div>
    <w:div w:id="938562289">
      <w:bodyDiv w:val="1"/>
      <w:marLeft w:val="0"/>
      <w:marRight w:val="0"/>
      <w:marTop w:val="0"/>
      <w:marBottom w:val="0"/>
      <w:divBdr>
        <w:top w:val="none" w:sz="0" w:space="0" w:color="auto"/>
        <w:left w:val="none" w:sz="0" w:space="0" w:color="auto"/>
        <w:bottom w:val="none" w:sz="0" w:space="0" w:color="auto"/>
        <w:right w:val="none" w:sz="0" w:space="0" w:color="auto"/>
      </w:divBdr>
    </w:div>
    <w:div w:id="940726629">
      <w:bodyDiv w:val="1"/>
      <w:marLeft w:val="0"/>
      <w:marRight w:val="0"/>
      <w:marTop w:val="0"/>
      <w:marBottom w:val="0"/>
      <w:divBdr>
        <w:top w:val="none" w:sz="0" w:space="0" w:color="auto"/>
        <w:left w:val="none" w:sz="0" w:space="0" w:color="auto"/>
        <w:bottom w:val="none" w:sz="0" w:space="0" w:color="auto"/>
        <w:right w:val="none" w:sz="0" w:space="0" w:color="auto"/>
      </w:divBdr>
    </w:div>
    <w:div w:id="963271597">
      <w:bodyDiv w:val="1"/>
      <w:marLeft w:val="0"/>
      <w:marRight w:val="0"/>
      <w:marTop w:val="0"/>
      <w:marBottom w:val="0"/>
      <w:divBdr>
        <w:top w:val="none" w:sz="0" w:space="0" w:color="auto"/>
        <w:left w:val="none" w:sz="0" w:space="0" w:color="auto"/>
        <w:bottom w:val="none" w:sz="0" w:space="0" w:color="auto"/>
        <w:right w:val="none" w:sz="0" w:space="0" w:color="auto"/>
      </w:divBdr>
    </w:div>
    <w:div w:id="965308944">
      <w:bodyDiv w:val="1"/>
      <w:marLeft w:val="0"/>
      <w:marRight w:val="0"/>
      <w:marTop w:val="0"/>
      <w:marBottom w:val="0"/>
      <w:divBdr>
        <w:top w:val="none" w:sz="0" w:space="0" w:color="auto"/>
        <w:left w:val="none" w:sz="0" w:space="0" w:color="auto"/>
        <w:bottom w:val="none" w:sz="0" w:space="0" w:color="auto"/>
        <w:right w:val="none" w:sz="0" w:space="0" w:color="auto"/>
      </w:divBdr>
    </w:div>
    <w:div w:id="970205142">
      <w:bodyDiv w:val="1"/>
      <w:marLeft w:val="0"/>
      <w:marRight w:val="0"/>
      <w:marTop w:val="0"/>
      <w:marBottom w:val="0"/>
      <w:divBdr>
        <w:top w:val="none" w:sz="0" w:space="0" w:color="auto"/>
        <w:left w:val="none" w:sz="0" w:space="0" w:color="auto"/>
        <w:bottom w:val="none" w:sz="0" w:space="0" w:color="auto"/>
        <w:right w:val="none" w:sz="0" w:space="0" w:color="auto"/>
      </w:divBdr>
    </w:div>
    <w:div w:id="979506280">
      <w:bodyDiv w:val="1"/>
      <w:marLeft w:val="0"/>
      <w:marRight w:val="0"/>
      <w:marTop w:val="0"/>
      <w:marBottom w:val="0"/>
      <w:divBdr>
        <w:top w:val="none" w:sz="0" w:space="0" w:color="auto"/>
        <w:left w:val="none" w:sz="0" w:space="0" w:color="auto"/>
        <w:bottom w:val="none" w:sz="0" w:space="0" w:color="auto"/>
        <w:right w:val="none" w:sz="0" w:space="0" w:color="auto"/>
      </w:divBdr>
    </w:div>
    <w:div w:id="981346162">
      <w:bodyDiv w:val="1"/>
      <w:marLeft w:val="0"/>
      <w:marRight w:val="0"/>
      <w:marTop w:val="0"/>
      <w:marBottom w:val="0"/>
      <w:divBdr>
        <w:top w:val="none" w:sz="0" w:space="0" w:color="auto"/>
        <w:left w:val="none" w:sz="0" w:space="0" w:color="auto"/>
        <w:bottom w:val="none" w:sz="0" w:space="0" w:color="auto"/>
        <w:right w:val="none" w:sz="0" w:space="0" w:color="auto"/>
      </w:divBdr>
    </w:div>
    <w:div w:id="984968663">
      <w:bodyDiv w:val="1"/>
      <w:marLeft w:val="0"/>
      <w:marRight w:val="0"/>
      <w:marTop w:val="0"/>
      <w:marBottom w:val="0"/>
      <w:divBdr>
        <w:top w:val="none" w:sz="0" w:space="0" w:color="auto"/>
        <w:left w:val="none" w:sz="0" w:space="0" w:color="auto"/>
        <w:bottom w:val="none" w:sz="0" w:space="0" w:color="auto"/>
        <w:right w:val="none" w:sz="0" w:space="0" w:color="auto"/>
      </w:divBdr>
    </w:div>
    <w:div w:id="994181924">
      <w:bodyDiv w:val="1"/>
      <w:marLeft w:val="0"/>
      <w:marRight w:val="0"/>
      <w:marTop w:val="0"/>
      <w:marBottom w:val="0"/>
      <w:divBdr>
        <w:top w:val="none" w:sz="0" w:space="0" w:color="auto"/>
        <w:left w:val="none" w:sz="0" w:space="0" w:color="auto"/>
        <w:bottom w:val="none" w:sz="0" w:space="0" w:color="auto"/>
        <w:right w:val="none" w:sz="0" w:space="0" w:color="auto"/>
      </w:divBdr>
    </w:div>
    <w:div w:id="998726877">
      <w:bodyDiv w:val="1"/>
      <w:marLeft w:val="0"/>
      <w:marRight w:val="0"/>
      <w:marTop w:val="0"/>
      <w:marBottom w:val="0"/>
      <w:divBdr>
        <w:top w:val="none" w:sz="0" w:space="0" w:color="auto"/>
        <w:left w:val="none" w:sz="0" w:space="0" w:color="auto"/>
        <w:bottom w:val="none" w:sz="0" w:space="0" w:color="auto"/>
        <w:right w:val="none" w:sz="0" w:space="0" w:color="auto"/>
      </w:divBdr>
    </w:div>
    <w:div w:id="1004822375">
      <w:bodyDiv w:val="1"/>
      <w:marLeft w:val="0"/>
      <w:marRight w:val="0"/>
      <w:marTop w:val="0"/>
      <w:marBottom w:val="0"/>
      <w:divBdr>
        <w:top w:val="none" w:sz="0" w:space="0" w:color="auto"/>
        <w:left w:val="none" w:sz="0" w:space="0" w:color="auto"/>
        <w:bottom w:val="none" w:sz="0" w:space="0" w:color="auto"/>
        <w:right w:val="none" w:sz="0" w:space="0" w:color="auto"/>
      </w:divBdr>
    </w:div>
    <w:div w:id="1011759391">
      <w:bodyDiv w:val="1"/>
      <w:marLeft w:val="0"/>
      <w:marRight w:val="0"/>
      <w:marTop w:val="0"/>
      <w:marBottom w:val="0"/>
      <w:divBdr>
        <w:top w:val="none" w:sz="0" w:space="0" w:color="auto"/>
        <w:left w:val="none" w:sz="0" w:space="0" w:color="auto"/>
        <w:bottom w:val="none" w:sz="0" w:space="0" w:color="auto"/>
        <w:right w:val="none" w:sz="0" w:space="0" w:color="auto"/>
      </w:divBdr>
    </w:div>
    <w:div w:id="1022364053">
      <w:bodyDiv w:val="1"/>
      <w:marLeft w:val="0"/>
      <w:marRight w:val="0"/>
      <w:marTop w:val="0"/>
      <w:marBottom w:val="0"/>
      <w:divBdr>
        <w:top w:val="none" w:sz="0" w:space="0" w:color="auto"/>
        <w:left w:val="none" w:sz="0" w:space="0" w:color="auto"/>
        <w:bottom w:val="none" w:sz="0" w:space="0" w:color="auto"/>
        <w:right w:val="none" w:sz="0" w:space="0" w:color="auto"/>
      </w:divBdr>
    </w:div>
    <w:div w:id="1027949162">
      <w:bodyDiv w:val="1"/>
      <w:marLeft w:val="0"/>
      <w:marRight w:val="0"/>
      <w:marTop w:val="0"/>
      <w:marBottom w:val="0"/>
      <w:divBdr>
        <w:top w:val="none" w:sz="0" w:space="0" w:color="auto"/>
        <w:left w:val="none" w:sz="0" w:space="0" w:color="auto"/>
        <w:bottom w:val="none" w:sz="0" w:space="0" w:color="auto"/>
        <w:right w:val="none" w:sz="0" w:space="0" w:color="auto"/>
      </w:divBdr>
    </w:div>
    <w:div w:id="1032338300">
      <w:bodyDiv w:val="1"/>
      <w:marLeft w:val="0"/>
      <w:marRight w:val="0"/>
      <w:marTop w:val="0"/>
      <w:marBottom w:val="0"/>
      <w:divBdr>
        <w:top w:val="none" w:sz="0" w:space="0" w:color="auto"/>
        <w:left w:val="none" w:sz="0" w:space="0" w:color="auto"/>
        <w:bottom w:val="none" w:sz="0" w:space="0" w:color="auto"/>
        <w:right w:val="none" w:sz="0" w:space="0" w:color="auto"/>
      </w:divBdr>
    </w:div>
    <w:div w:id="1046951575">
      <w:bodyDiv w:val="1"/>
      <w:marLeft w:val="0"/>
      <w:marRight w:val="0"/>
      <w:marTop w:val="0"/>
      <w:marBottom w:val="0"/>
      <w:divBdr>
        <w:top w:val="none" w:sz="0" w:space="0" w:color="auto"/>
        <w:left w:val="none" w:sz="0" w:space="0" w:color="auto"/>
        <w:bottom w:val="none" w:sz="0" w:space="0" w:color="auto"/>
        <w:right w:val="none" w:sz="0" w:space="0" w:color="auto"/>
      </w:divBdr>
    </w:div>
    <w:div w:id="1053236429">
      <w:bodyDiv w:val="1"/>
      <w:marLeft w:val="0"/>
      <w:marRight w:val="0"/>
      <w:marTop w:val="0"/>
      <w:marBottom w:val="0"/>
      <w:divBdr>
        <w:top w:val="none" w:sz="0" w:space="0" w:color="auto"/>
        <w:left w:val="none" w:sz="0" w:space="0" w:color="auto"/>
        <w:bottom w:val="none" w:sz="0" w:space="0" w:color="auto"/>
        <w:right w:val="none" w:sz="0" w:space="0" w:color="auto"/>
      </w:divBdr>
    </w:div>
    <w:div w:id="1053771305">
      <w:bodyDiv w:val="1"/>
      <w:marLeft w:val="0"/>
      <w:marRight w:val="0"/>
      <w:marTop w:val="0"/>
      <w:marBottom w:val="0"/>
      <w:divBdr>
        <w:top w:val="none" w:sz="0" w:space="0" w:color="auto"/>
        <w:left w:val="none" w:sz="0" w:space="0" w:color="auto"/>
        <w:bottom w:val="none" w:sz="0" w:space="0" w:color="auto"/>
        <w:right w:val="none" w:sz="0" w:space="0" w:color="auto"/>
      </w:divBdr>
    </w:div>
    <w:div w:id="1054309208">
      <w:bodyDiv w:val="1"/>
      <w:marLeft w:val="0"/>
      <w:marRight w:val="0"/>
      <w:marTop w:val="0"/>
      <w:marBottom w:val="0"/>
      <w:divBdr>
        <w:top w:val="none" w:sz="0" w:space="0" w:color="auto"/>
        <w:left w:val="none" w:sz="0" w:space="0" w:color="auto"/>
        <w:bottom w:val="none" w:sz="0" w:space="0" w:color="auto"/>
        <w:right w:val="none" w:sz="0" w:space="0" w:color="auto"/>
      </w:divBdr>
    </w:div>
    <w:div w:id="1055812014">
      <w:bodyDiv w:val="1"/>
      <w:marLeft w:val="0"/>
      <w:marRight w:val="0"/>
      <w:marTop w:val="0"/>
      <w:marBottom w:val="0"/>
      <w:divBdr>
        <w:top w:val="none" w:sz="0" w:space="0" w:color="auto"/>
        <w:left w:val="none" w:sz="0" w:space="0" w:color="auto"/>
        <w:bottom w:val="none" w:sz="0" w:space="0" w:color="auto"/>
        <w:right w:val="none" w:sz="0" w:space="0" w:color="auto"/>
      </w:divBdr>
    </w:div>
    <w:div w:id="1069109252">
      <w:bodyDiv w:val="1"/>
      <w:marLeft w:val="0"/>
      <w:marRight w:val="0"/>
      <w:marTop w:val="0"/>
      <w:marBottom w:val="0"/>
      <w:divBdr>
        <w:top w:val="none" w:sz="0" w:space="0" w:color="auto"/>
        <w:left w:val="none" w:sz="0" w:space="0" w:color="auto"/>
        <w:bottom w:val="none" w:sz="0" w:space="0" w:color="auto"/>
        <w:right w:val="none" w:sz="0" w:space="0" w:color="auto"/>
      </w:divBdr>
    </w:div>
    <w:div w:id="1079669124">
      <w:bodyDiv w:val="1"/>
      <w:marLeft w:val="0"/>
      <w:marRight w:val="0"/>
      <w:marTop w:val="0"/>
      <w:marBottom w:val="0"/>
      <w:divBdr>
        <w:top w:val="none" w:sz="0" w:space="0" w:color="auto"/>
        <w:left w:val="none" w:sz="0" w:space="0" w:color="auto"/>
        <w:bottom w:val="none" w:sz="0" w:space="0" w:color="auto"/>
        <w:right w:val="none" w:sz="0" w:space="0" w:color="auto"/>
      </w:divBdr>
    </w:div>
    <w:div w:id="1084376184">
      <w:bodyDiv w:val="1"/>
      <w:marLeft w:val="0"/>
      <w:marRight w:val="0"/>
      <w:marTop w:val="0"/>
      <w:marBottom w:val="0"/>
      <w:divBdr>
        <w:top w:val="none" w:sz="0" w:space="0" w:color="auto"/>
        <w:left w:val="none" w:sz="0" w:space="0" w:color="auto"/>
        <w:bottom w:val="none" w:sz="0" w:space="0" w:color="auto"/>
        <w:right w:val="none" w:sz="0" w:space="0" w:color="auto"/>
      </w:divBdr>
    </w:div>
    <w:div w:id="1089156181">
      <w:bodyDiv w:val="1"/>
      <w:marLeft w:val="0"/>
      <w:marRight w:val="0"/>
      <w:marTop w:val="0"/>
      <w:marBottom w:val="0"/>
      <w:divBdr>
        <w:top w:val="none" w:sz="0" w:space="0" w:color="auto"/>
        <w:left w:val="none" w:sz="0" w:space="0" w:color="auto"/>
        <w:bottom w:val="none" w:sz="0" w:space="0" w:color="auto"/>
        <w:right w:val="none" w:sz="0" w:space="0" w:color="auto"/>
      </w:divBdr>
    </w:div>
    <w:div w:id="1091774715">
      <w:bodyDiv w:val="1"/>
      <w:marLeft w:val="0"/>
      <w:marRight w:val="0"/>
      <w:marTop w:val="0"/>
      <w:marBottom w:val="0"/>
      <w:divBdr>
        <w:top w:val="none" w:sz="0" w:space="0" w:color="auto"/>
        <w:left w:val="none" w:sz="0" w:space="0" w:color="auto"/>
        <w:bottom w:val="none" w:sz="0" w:space="0" w:color="auto"/>
        <w:right w:val="none" w:sz="0" w:space="0" w:color="auto"/>
      </w:divBdr>
    </w:div>
    <w:div w:id="1100293781">
      <w:bodyDiv w:val="1"/>
      <w:marLeft w:val="0"/>
      <w:marRight w:val="0"/>
      <w:marTop w:val="0"/>
      <w:marBottom w:val="0"/>
      <w:divBdr>
        <w:top w:val="none" w:sz="0" w:space="0" w:color="auto"/>
        <w:left w:val="none" w:sz="0" w:space="0" w:color="auto"/>
        <w:bottom w:val="none" w:sz="0" w:space="0" w:color="auto"/>
        <w:right w:val="none" w:sz="0" w:space="0" w:color="auto"/>
      </w:divBdr>
    </w:div>
    <w:div w:id="1142621565">
      <w:bodyDiv w:val="1"/>
      <w:marLeft w:val="0"/>
      <w:marRight w:val="0"/>
      <w:marTop w:val="0"/>
      <w:marBottom w:val="0"/>
      <w:divBdr>
        <w:top w:val="none" w:sz="0" w:space="0" w:color="auto"/>
        <w:left w:val="none" w:sz="0" w:space="0" w:color="auto"/>
        <w:bottom w:val="none" w:sz="0" w:space="0" w:color="auto"/>
        <w:right w:val="none" w:sz="0" w:space="0" w:color="auto"/>
      </w:divBdr>
    </w:div>
    <w:div w:id="1149663433">
      <w:bodyDiv w:val="1"/>
      <w:marLeft w:val="0"/>
      <w:marRight w:val="0"/>
      <w:marTop w:val="0"/>
      <w:marBottom w:val="0"/>
      <w:divBdr>
        <w:top w:val="none" w:sz="0" w:space="0" w:color="auto"/>
        <w:left w:val="none" w:sz="0" w:space="0" w:color="auto"/>
        <w:bottom w:val="none" w:sz="0" w:space="0" w:color="auto"/>
        <w:right w:val="none" w:sz="0" w:space="0" w:color="auto"/>
      </w:divBdr>
    </w:div>
    <w:div w:id="1200509277">
      <w:bodyDiv w:val="1"/>
      <w:marLeft w:val="0"/>
      <w:marRight w:val="0"/>
      <w:marTop w:val="0"/>
      <w:marBottom w:val="0"/>
      <w:divBdr>
        <w:top w:val="none" w:sz="0" w:space="0" w:color="auto"/>
        <w:left w:val="none" w:sz="0" w:space="0" w:color="auto"/>
        <w:bottom w:val="none" w:sz="0" w:space="0" w:color="auto"/>
        <w:right w:val="none" w:sz="0" w:space="0" w:color="auto"/>
      </w:divBdr>
    </w:div>
    <w:div w:id="1202211722">
      <w:bodyDiv w:val="1"/>
      <w:marLeft w:val="0"/>
      <w:marRight w:val="0"/>
      <w:marTop w:val="0"/>
      <w:marBottom w:val="0"/>
      <w:divBdr>
        <w:top w:val="none" w:sz="0" w:space="0" w:color="auto"/>
        <w:left w:val="none" w:sz="0" w:space="0" w:color="auto"/>
        <w:bottom w:val="none" w:sz="0" w:space="0" w:color="auto"/>
        <w:right w:val="none" w:sz="0" w:space="0" w:color="auto"/>
      </w:divBdr>
    </w:div>
    <w:div w:id="1208302632">
      <w:bodyDiv w:val="1"/>
      <w:marLeft w:val="0"/>
      <w:marRight w:val="0"/>
      <w:marTop w:val="0"/>
      <w:marBottom w:val="0"/>
      <w:divBdr>
        <w:top w:val="none" w:sz="0" w:space="0" w:color="auto"/>
        <w:left w:val="none" w:sz="0" w:space="0" w:color="auto"/>
        <w:bottom w:val="none" w:sz="0" w:space="0" w:color="auto"/>
        <w:right w:val="none" w:sz="0" w:space="0" w:color="auto"/>
      </w:divBdr>
    </w:div>
    <w:div w:id="1220244220">
      <w:bodyDiv w:val="1"/>
      <w:marLeft w:val="0"/>
      <w:marRight w:val="0"/>
      <w:marTop w:val="0"/>
      <w:marBottom w:val="0"/>
      <w:divBdr>
        <w:top w:val="none" w:sz="0" w:space="0" w:color="auto"/>
        <w:left w:val="none" w:sz="0" w:space="0" w:color="auto"/>
        <w:bottom w:val="none" w:sz="0" w:space="0" w:color="auto"/>
        <w:right w:val="none" w:sz="0" w:space="0" w:color="auto"/>
      </w:divBdr>
    </w:div>
    <w:div w:id="1223979152">
      <w:bodyDiv w:val="1"/>
      <w:marLeft w:val="0"/>
      <w:marRight w:val="0"/>
      <w:marTop w:val="0"/>
      <w:marBottom w:val="0"/>
      <w:divBdr>
        <w:top w:val="none" w:sz="0" w:space="0" w:color="auto"/>
        <w:left w:val="none" w:sz="0" w:space="0" w:color="auto"/>
        <w:bottom w:val="none" w:sz="0" w:space="0" w:color="auto"/>
        <w:right w:val="none" w:sz="0" w:space="0" w:color="auto"/>
      </w:divBdr>
    </w:div>
    <w:div w:id="1226648858">
      <w:bodyDiv w:val="1"/>
      <w:marLeft w:val="0"/>
      <w:marRight w:val="0"/>
      <w:marTop w:val="0"/>
      <w:marBottom w:val="0"/>
      <w:divBdr>
        <w:top w:val="none" w:sz="0" w:space="0" w:color="auto"/>
        <w:left w:val="none" w:sz="0" w:space="0" w:color="auto"/>
        <w:bottom w:val="none" w:sz="0" w:space="0" w:color="auto"/>
        <w:right w:val="none" w:sz="0" w:space="0" w:color="auto"/>
      </w:divBdr>
    </w:div>
    <w:div w:id="1238857270">
      <w:bodyDiv w:val="1"/>
      <w:marLeft w:val="0"/>
      <w:marRight w:val="0"/>
      <w:marTop w:val="0"/>
      <w:marBottom w:val="0"/>
      <w:divBdr>
        <w:top w:val="none" w:sz="0" w:space="0" w:color="auto"/>
        <w:left w:val="none" w:sz="0" w:space="0" w:color="auto"/>
        <w:bottom w:val="none" w:sz="0" w:space="0" w:color="auto"/>
        <w:right w:val="none" w:sz="0" w:space="0" w:color="auto"/>
      </w:divBdr>
    </w:div>
    <w:div w:id="1267542576">
      <w:bodyDiv w:val="1"/>
      <w:marLeft w:val="0"/>
      <w:marRight w:val="0"/>
      <w:marTop w:val="0"/>
      <w:marBottom w:val="0"/>
      <w:divBdr>
        <w:top w:val="none" w:sz="0" w:space="0" w:color="auto"/>
        <w:left w:val="none" w:sz="0" w:space="0" w:color="auto"/>
        <w:bottom w:val="none" w:sz="0" w:space="0" w:color="auto"/>
        <w:right w:val="none" w:sz="0" w:space="0" w:color="auto"/>
      </w:divBdr>
    </w:div>
    <w:div w:id="1268268550">
      <w:bodyDiv w:val="1"/>
      <w:marLeft w:val="0"/>
      <w:marRight w:val="0"/>
      <w:marTop w:val="0"/>
      <w:marBottom w:val="0"/>
      <w:divBdr>
        <w:top w:val="none" w:sz="0" w:space="0" w:color="auto"/>
        <w:left w:val="none" w:sz="0" w:space="0" w:color="auto"/>
        <w:bottom w:val="none" w:sz="0" w:space="0" w:color="auto"/>
        <w:right w:val="none" w:sz="0" w:space="0" w:color="auto"/>
      </w:divBdr>
    </w:div>
    <w:div w:id="1283462857">
      <w:bodyDiv w:val="1"/>
      <w:marLeft w:val="0"/>
      <w:marRight w:val="0"/>
      <w:marTop w:val="0"/>
      <w:marBottom w:val="0"/>
      <w:divBdr>
        <w:top w:val="none" w:sz="0" w:space="0" w:color="auto"/>
        <w:left w:val="none" w:sz="0" w:space="0" w:color="auto"/>
        <w:bottom w:val="none" w:sz="0" w:space="0" w:color="auto"/>
        <w:right w:val="none" w:sz="0" w:space="0" w:color="auto"/>
      </w:divBdr>
    </w:div>
    <w:div w:id="1284845554">
      <w:bodyDiv w:val="1"/>
      <w:marLeft w:val="0"/>
      <w:marRight w:val="0"/>
      <w:marTop w:val="0"/>
      <w:marBottom w:val="0"/>
      <w:divBdr>
        <w:top w:val="none" w:sz="0" w:space="0" w:color="auto"/>
        <w:left w:val="none" w:sz="0" w:space="0" w:color="auto"/>
        <w:bottom w:val="none" w:sz="0" w:space="0" w:color="auto"/>
        <w:right w:val="none" w:sz="0" w:space="0" w:color="auto"/>
      </w:divBdr>
    </w:div>
    <w:div w:id="1316763046">
      <w:bodyDiv w:val="1"/>
      <w:marLeft w:val="0"/>
      <w:marRight w:val="0"/>
      <w:marTop w:val="0"/>
      <w:marBottom w:val="0"/>
      <w:divBdr>
        <w:top w:val="none" w:sz="0" w:space="0" w:color="auto"/>
        <w:left w:val="none" w:sz="0" w:space="0" w:color="auto"/>
        <w:bottom w:val="none" w:sz="0" w:space="0" w:color="auto"/>
        <w:right w:val="none" w:sz="0" w:space="0" w:color="auto"/>
      </w:divBdr>
    </w:div>
    <w:div w:id="1322082523">
      <w:bodyDiv w:val="1"/>
      <w:marLeft w:val="0"/>
      <w:marRight w:val="0"/>
      <w:marTop w:val="0"/>
      <w:marBottom w:val="0"/>
      <w:divBdr>
        <w:top w:val="none" w:sz="0" w:space="0" w:color="auto"/>
        <w:left w:val="none" w:sz="0" w:space="0" w:color="auto"/>
        <w:bottom w:val="none" w:sz="0" w:space="0" w:color="auto"/>
        <w:right w:val="none" w:sz="0" w:space="0" w:color="auto"/>
      </w:divBdr>
    </w:div>
    <w:div w:id="1322923216">
      <w:bodyDiv w:val="1"/>
      <w:marLeft w:val="0"/>
      <w:marRight w:val="0"/>
      <w:marTop w:val="0"/>
      <w:marBottom w:val="0"/>
      <w:divBdr>
        <w:top w:val="none" w:sz="0" w:space="0" w:color="auto"/>
        <w:left w:val="none" w:sz="0" w:space="0" w:color="auto"/>
        <w:bottom w:val="none" w:sz="0" w:space="0" w:color="auto"/>
        <w:right w:val="none" w:sz="0" w:space="0" w:color="auto"/>
      </w:divBdr>
    </w:div>
    <w:div w:id="1327326250">
      <w:bodyDiv w:val="1"/>
      <w:marLeft w:val="0"/>
      <w:marRight w:val="0"/>
      <w:marTop w:val="0"/>
      <w:marBottom w:val="0"/>
      <w:divBdr>
        <w:top w:val="none" w:sz="0" w:space="0" w:color="auto"/>
        <w:left w:val="none" w:sz="0" w:space="0" w:color="auto"/>
        <w:bottom w:val="none" w:sz="0" w:space="0" w:color="auto"/>
        <w:right w:val="none" w:sz="0" w:space="0" w:color="auto"/>
      </w:divBdr>
    </w:div>
    <w:div w:id="1332413149">
      <w:bodyDiv w:val="1"/>
      <w:marLeft w:val="0"/>
      <w:marRight w:val="0"/>
      <w:marTop w:val="0"/>
      <w:marBottom w:val="0"/>
      <w:divBdr>
        <w:top w:val="none" w:sz="0" w:space="0" w:color="auto"/>
        <w:left w:val="none" w:sz="0" w:space="0" w:color="auto"/>
        <w:bottom w:val="none" w:sz="0" w:space="0" w:color="auto"/>
        <w:right w:val="none" w:sz="0" w:space="0" w:color="auto"/>
      </w:divBdr>
    </w:div>
    <w:div w:id="1349790058">
      <w:bodyDiv w:val="1"/>
      <w:marLeft w:val="0"/>
      <w:marRight w:val="0"/>
      <w:marTop w:val="0"/>
      <w:marBottom w:val="0"/>
      <w:divBdr>
        <w:top w:val="none" w:sz="0" w:space="0" w:color="auto"/>
        <w:left w:val="none" w:sz="0" w:space="0" w:color="auto"/>
        <w:bottom w:val="none" w:sz="0" w:space="0" w:color="auto"/>
        <w:right w:val="none" w:sz="0" w:space="0" w:color="auto"/>
      </w:divBdr>
    </w:div>
    <w:div w:id="1369721894">
      <w:bodyDiv w:val="1"/>
      <w:marLeft w:val="0"/>
      <w:marRight w:val="0"/>
      <w:marTop w:val="0"/>
      <w:marBottom w:val="0"/>
      <w:divBdr>
        <w:top w:val="none" w:sz="0" w:space="0" w:color="auto"/>
        <w:left w:val="none" w:sz="0" w:space="0" w:color="auto"/>
        <w:bottom w:val="none" w:sz="0" w:space="0" w:color="auto"/>
        <w:right w:val="none" w:sz="0" w:space="0" w:color="auto"/>
      </w:divBdr>
    </w:div>
    <w:div w:id="1383406029">
      <w:bodyDiv w:val="1"/>
      <w:marLeft w:val="0"/>
      <w:marRight w:val="0"/>
      <w:marTop w:val="0"/>
      <w:marBottom w:val="0"/>
      <w:divBdr>
        <w:top w:val="none" w:sz="0" w:space="0" w:color="auto"/>
        <w:left w:val="none" w:sz="0" w:space="0" w:color="auto"/>
        <w:bottom w:val="none" w:sz="0" w:space="0" w:color="auto"/>
        <w:right w:val="none" w:sz="0" w:space="0" w:color="auto"/>
      </w:divBdr>
    </w:div>
    <w:div w:id="1393039930">
      <w:bodyDiv w:val="1"/>
      <w:marLeft w:val="0"/>
      <w:marRight w:val="0"/>
      <w:marTop w:val="0"/>
      <w:marBottom w:val="0"/>
      <w:divBdr>
        <w:top w:val="none" w:sz="0" w:space="0" w:color="auto"/>
        <w:left w:val="none" w:sz="0" w:space="0" w:color="auto"/>
        <w:bottom w:val="none" w:sz="0" w:space="0" w:color="auto"/>
        <w:right w:val="none" w:sz="0" w:space="0" w:color="auto"/>
      </w:divBdr>
    </w:div>
    <w:div w:id="1394890754">
      <w:bodyDiv w:val="1"/>
      <w:marLeft w:val="0"/>
      <w:marRight w:val="0"/>
      <w:marTop w:val="0"/>
      <w:marBottom w:val="0"/>
      <w:divBdr>
        <w:top w:val="none" w:sz="0" w:space="0" w:color="auto"/>
        <w:left w:val="none" w:sz="0" w:space="0" w:color="auto"/>
        <w:bottom w:val="none" w:sz="0" w:space="0" w:color="auto"/>
        <w:right w:val="none" w:sz="0" w:space="0" w:color="auto"/>
      </w:divBdr>
    </w:div>
    <w:div w:id="1416129841">
      <w:bodyDiv w:val="1"/>
      <w:marLeft w:val="0"/>
      <w:marRight w:val="0"/>
      <w:marTop w:val="0"/>
      <w:marBottom w:val="0"/>
      <w:divBdr>
        <w:top w:val="none" w:sz="0" w:space="0" w:color="auto"/>
        <w:left w:val="none" w:sz="0" w:space="0" w:color="auto"/>
        <w:bottom w:val="none" w:sz="0" w:space="0" w:color="auto"/>
        <w:right w:val="none" w:sz="0" w:space="0" w:color="auto"/>
      </w:divBdr>
    </w:div>
    <w:div w:id="1419211991">
      <w:bodyDiv w:val="1"/>
      <w:marLeft w:val="0"/>
      <w:marRight w:val="0"/>
      <w:marTop w:val="0"/>
      <w:marBottom w:val="0"/>
      <w:divBdr>
        <w:top w:val="none" w:sz="0" w:space="0" w:color="auto"/>
        <w:left w:val="none" w:sz="0" w:space="0" w:color="auto"/>
        <w:bottom w:val="none" w:sz="0" w:space="0" w:color="auto"/>
        <w:right w:val="none" w:sz="0" w:space="0" w:color="auto"/>
      </w:divBdr>
    </w:div>
    <w:div w:id="1436091981">
      <w:bodyDiv w:val="1"/>
      <w:marLeft w:val="0"/>
      <w:marRight w:val="0"/>
      <w:marTop w:val="0"/>
      <w:marBottom w:val="0"/>
      <w:divBdr>
        <w:top w:val="none" w:sz="0" w:space="0" w:color="auto"/>
        <w:left w:val="none" w:sz="0" w:space="0" w:color="auto"/>
        <w:bottom w:val="none" w:sz="0" w:space="0" w:color="auto"/>
        <w:right w:val="none" w:sz="0" w:space="0" w:color="auto"/>
      </w:divBdr>
    </w:div>
    <w:div w:id="1437024540">
      <w:bodyDiv w:val="1"/>
      <w:marLeft w:val="0"/>
      <w:marRight w:val="0"/>
      <w:marTop w:val="0"/>
      <w:marBottom w:val="0"/>
      <w:divBdr>
        <w:top w:val="none" w:sz="0" w:space="0" w:color="auto"/>
        <w:left w:val="none" w:sz="0" w:space="0" w:color="auto"/>
        <w:bottom w:val="none" w:sz="0" w:space="0" w:color="auto"/>
        <w:right w:val="none" w:sz="0" w:space="0" w:color="auto"/>
      </w:divBdr>
    </w:div>
    <w:div w:id="1437825049">
      <w:bodyDiv w:val="1"/>
      <w:marLeft w:val="0"/>
      <w:marRight w:val="0"/>
      <w:marTop w:val="0"/>
      <w:marBottom w:val="0"/>
      <w:divBdr>
        <w:top w:val="none" w:sz="0" w:space="0" w:color="auto"/>
        <w:left w:val="none" w:sz="0" w:space="0" w:color="auto"/>
        <w:bottom w:val="none" w:sz="0" w:space="0" w:color="auto"/>
        <w:right w:val="none" w:sz="0" w:space="0" w:color="auto"/>
      </w:divBdr>
    </w:div>
    <w:div w:id="1452015784">
      <w:bodyDiv w:val="1"/>
      <w:marLeft w:val="0"/>
      <w:marRight w:val="0"/>
      <w:marTop w:val="0"/>
      <w:marBottom w:val="0"/>
      <w:divBdr>
        <w:top w:val="none" w:sz="0" w:space="0" w:color="auto"/>
        <w:left w:val="none" w:sz="0" w:space="0" w:color="auto"/>
        <w:bottom w:val="none" w:sz="0" w:space="0" w:color="auto"/>
        <w:right w:val="none" w:sz="0" w:space="0" w:color="auto"/>
      </w:divBdr>
    </w:div>
    <w:div w:id="1465586393">
      <w:bodyDiv w:val="1"/>
      <w:marLeft w:val="0"/>
      <w:marRight w:val="0"/>
      <w:marTop w:val="0"/>
      <w:marBottom w:val="0"/>
      <w:divBdr>
        <w:top w:val="none" w:sz="0" w:space="0" w:color="auto"/>
        <w:left w:val="none" w:sz="0" w:space="0" w:color="auto"/>
        <w:bottom w:val="none" w:sz="0" w:space="0" w:color="auto"/>
        <w:right w:val="none" w:sz="0" w:space="0" w:color="auto"/>
      </w:divBdr>
    </w:div>
    <w:div w:id="1499728839">
      <w:bodyDiv w:val="1"/>
      <w:marLeft w:val="0"/>
      <w:marRight w:val="0"/>
      <w:marTop w:val="0"/>
      <w:marBottom w:val="0"/>
      <w:divBdr>
        <w:top w:val="none" w:sz="0" w:space="0" w:color="auto"/>
        <w:left w:val="none" w:sz="0" w:space="0" w:color="auto"/>
        <w:bottom w:val="none" w:sz="0" w:space="0" w:color="auto"/>
        <w:right w:val="none" w:sz="0" w:space="0" w:color="auto"/>
      </w:divBdr>
    </w:div>
    <w:div w:id="1520460660">
      <w:bodyDiv w:val="1"/>
      <w:marLeft w:val="0"/>
      <w:marRight w:val="0"/>
      <w:marTop w:val="0"/>
      <w:marBottom w:val="0"/>
      <w:divBdr>
        <w:top w:val="none" w:sz="0" w:space="0" w:color="auto"/>
        <w:left w:val="none" w:sz="0" w:space="0" w:color="auto"/>
        <w:bottom w:val="none" w:sz="0" w:space="0" w:color="auto"/>
        <w:right w:val="none" w:sz="0" w:space="0" w:color="auto"/>
      </w:divBdr>
    </w:div>
    <w:div w:id="1523395496">
      <w:bodyDiv w:val="1"/>
      <w:marLeft w:val="0"/>
      <w:marRight w:val="0"/>
      <w:marTop w:val="0"/>
      <w:marBottom w:val="0"/>
      <w:divBdr>
        <w:top w:val="none" w:sz="0" w:space="0" w:color="auto"/>
        <w:left w:val="none" w:sz="0" w:space="0" w:color="auto"/>
        <w:bottom w:val="none" w:sz="0" w:space="0" w:color="auto"/>
        <w:right w:val="none" w:sz="0" w:space="0" w:color="auto"/>
      </w:divBdr>
    </w:div>
    <w:div w:id="1534422799">
      <w:bodyDiv w:val="1"/>
      <w:marLeft w:val="0"/>
      <w:marRight w:val="0"/>
      <w:marTop w:val="0"/>
      <w:marBottom w:val="0"/>
      <w:divBdr>
        <w:top w:val="none" w:sz="0" w:space="0" w:color="auto"/>
        <w:left w:val="none" w:sz="0" w:space="0" w:color="auto"/>
        <w:bottom w:val="none" w:sz="0" w:space="0" w:color="auto"/>
        <w:right w:val="none" w:sz="0" w:space="0" w:color="auto"/>
      </w:divBdr>
    </w:div>
    <w:div w:id="1540776100">
      <w:bodyDiv w:val="1"/>
      <w:marLeft w:val="0"/>
      <w:marRight w:val="0"/>
      <w:marTop w:val="0"/>
      <w:marBottom w:val="0"/>
      <w:divBdr>
        <w:top w:val="none" w:sz="0" w:space="0" w:color="auto"/>
        <w:left w:val="none" w:sz="0" w:space="0" w:color="auto"/>
        <w:bottom w:val="none" w:sz="0" w:space="0" w:color="auto"/>
        <w:right w:val="none" w:sz="0" w:space="0" w:color="auto"/>
      </w:divBdr>
    </w:div>
    <w:div w:id="1545829699">
      <w:bodyDiv w:val="1"/>
      <w:marLeft w:val="0"/>
      <w:marRight w:val="0"/>
      <w:marTop w:val="0"/>
      <w:marBottom w:val="0"/>
      <w:divBdr>
        <w:top w:val="none" w:sz="0" w:space="0" w:color="auto"/>
        <w:left w:val="none" w:sz="0" w:space="0" w:color="auto"/>
        <w:bottom w:val="none" w:sz="0" w:space="0" w:color="auto"/>
        <w:right w:val="none" w:sz="0" w:space="0" w:color="auto"/>
      </w:divBdr>
    </w:div>
    <w:div w:id="1549220897">
      <w:bodyDiv w:val="1"/>
      <w:marLeft w:val="0"/>
      <w:marRight w:val="0"/>
      <w:marTop w:val="0"/>
      <w:marBottom w:val="0"/>
      <w:divBdr>
        <w:top w:val="none" w:sz="0" w:space="0" w:color="auto"/>
        <w:left w:val="none" w:sz="0" w:space="0" w:color="auto"/>
        <w:bottom w:val="none" w:sz="0" w:space="0" w:color="auto"/>
        <w:right w:val="none" w:sz="0" w:space="0" w:color="auto"/>
      </w:divBdr>
    </w:div>
    <w:div w:id="1560245918">
      <w:bodyDiv w:val="1"/>
      <w:marLeft w:val="0"/>
      <w:marRight w:val="0"/>
      <w:marTop w:val="0"/>
      <w:marBottom w:val="0"/>
      <w:divBdr>
        <w:top w:val="none" w:sz="0" w:space="0" w:color="auto"/>
        <w:left w:val="none" w:sz="0" w:space="0" w:color="auto"/>
        <w:bottom w:val="none" w:sz="0" w:space="0" w:color="auto"/>
        <w:right w:val="none" w:sz="0" w:space="0" w:color="auto"/>
      </w:divBdr>
    </w:div>
    <w:div w:id="1565413469">
      <w:bodyDiv w:val="1"/>
      <w:marLeft w:val="0"/>
      <w:marRight w:val="0"/>
      <w:marTop w:val="0"/>
      <w:marBottom w:val="0"/>
      <w:divBdr>
        <w:top w:val="none" w:sz="0" w:space="0" w:color="auto"/>
        <w:left w:val="none" w:sz="0" w:space="0" w:color="auto"/>
        <w:bottom w:val="none" w:sz="0" w:space="0" w:color="auto"/>
        <w:right w:val="none" w:sz="0" w:space="0" w:color="auto"/>
      </w:divBdr>
    </w:div>
    <w:div w:id="1567641504">
      <w:bodyDiv w:val="1"/>
      <w:marLeft w:val="0"/>
      <w:marRight w:val="0"/>
      <w:marTop w:val="0"/>
      <w:marBottom w:val="0"/>
      <w:divBdr>
        <w:top w:val="none" w:sz="0" w:space="0" w:color="auto"/>
        <w:left w:val="none" w:sz="0" w:space="0" w:color="auto"/>
        <w:bottom w:val="none" w:sz="0" w:space="0" w:color="auto"/>
        <w:right w:val="none" w:sz="0" w:space="0" w:color="auto"/>
      </w:divBdr>
    </w:div>
    <w:div w:id="1569654960">
      <w:bodyDiv w:val="1"/>
      <w:marLeft w:val="0"/>
      <w:marRight w:val="0"/>
      <w:marTop w:val="0"/>
      <w:marBottom w:val="0"/>
      <w:divBdr>
        <w:top w:val="none" w:sz="0" w:space="0" w:color="auto"/>
        <w:left w:val="none" w:sz="0" w:space="0" w:color="auto"/>
        <w:bottom w:val="none" w:sz="0" w:space="0" w:color="auto"/>
        <w:right w:val="none" w:sz="0" w:space="0" w:color="auto"/>
      </w:divBdr>
    </w:div>
    <w:div w:id="1587811483">
      <w:bodyDiv w:val="1"/>
      <w:marLeft w:val="0"/>
      <w:marRight w:val="0"/>
      <w:marTop w:val="0"/>
      <w:marBottom w:val="0"/>
      <w:divBdr>
        <w:top w:val="none" w:sz="0" w:space="0" w:color="auto"/>
        <w:left w:val="none" w:sz="0" w:space="0" w:color="auto"/>
        <w:bottom w:val="none" w:sz="0" w:space="0" w:color="auto"/>
        <w:right w:val="none" w:sz="0" w:space="0" w:color="auto"/>
      </w:divBdr>
    </w:div>
    <w:div w:id="1605502097">
      <w:bodyDiv w:val="1"/>
      <w:marLeft w:val="0"/>
      <w:marRight w:val="0"/>
      <w:marTop w:val="0"/>
      <w:marBottom w:val="0"/>
      <w:divBdr>
        <w:top w:val="none" w:sz="0" w:space="0" w:color="auto"/>
        <w:left w:val="none" w:sz="0" w:space="0" w:color="auto"/>
        <w:bottom w:val="none" w:sz="0" w:space="0" w:color="auto"/>
        <w:right w:val="none" w:sz="0" w:space="0" w:color="auto"/>
      </w:divBdr>
    </w:div>
    <w:div w:id="1614434935">
      <w:bodyDiv w:val="1"/>
      <w:marLeft w:val="0"/>
      <w:marRight w:val="0"/>
      <w:marTop w:val="0"/>
      <w:marBottom w:val="0"/>
      <w:divBdr>
        <w:top w:val="none" w:sz="0" w:space="0" w:color="auto"/>
        <w:left w:val="none" w:sz="0" w:space="0" w:color="auto"/>
        <w:bottom w:val="none" w:sz="0" w:space="0" w:color="auto"/>
        <w:right w:val="none" w:sz="0" w:space="0" w:color="auto"/>
      </w:divBdr>
    </w:div>
    <w:div w:id="1619334599">
      <w:bodyDiv w:val="1"/>
      <w:marLeft w:val="0"/>
      <w:marRight w:val="0"/>
      <w:marTop w:val="0"/>
      <w:marBottom w:val="0"/>
      <w:divBdr>
        <w:top w:val="none" w:sz="0" w:space="0" w:color="auto"/>
        <w:left w:val="none" w:sz="0" w:space="0" w:color="auto"/>
        <w:bottom w:val="none" w:sz="0" w:space="0" w:color="auto"/>
        <w:right w:val="none" w:sz="0" w:space="0" w:color="auto"/>
      </w:divBdr>
    </w:div>
    <w:div w:id="1619945038">
      <w:bodyDiv w:val="1"/>
      <w:marLeft w:val="0"/>
      <w:marRight w:val="0"/>
      <w:marTop w:val="0"/>
      <w:marBottom w:val="0"/>
      <w:divBdr>
        <w:top w:val="none" w:sz="0" w:space="0" w:color="auto"/>
        <w:left w:val="none" w:sz="0" w:space="0" w:color="auto"/>
        <w:bottom w:val="none" w:sz="0" w:space="0" w:color="auto"/>
        <w:right w:val="none" w:sz="0" w:space="0" w:color="auto"/>
      </w:divBdr>
    </w:div>
    <w:div w:id="1623346425">
      <w:bodyDiv w:val="1"/>
      <w:marLeft w:val="0"/>
      <w:marRight w:val="0"/>
      <w:marTop w:val="0"/>
      <w:marBottom w:val="0"/>
      <w:divBdr>
        <w:top w:val="none" w:sz="0" w:space="0" w:color="auto"/>
        <w:left w:val="none" w:sz="0" w:space="0" w:color="auto"/>
        <w:bottom w:val="none" w:sz="0" w:space="0" w:color="auto"/>
        <w:right w:val="none" w:sz="0" w:space="0" w:color="auto"/>
      </w:divBdr>
    </w:div>
    <w:div w:id="1625192720">
      <w:bodyDiv w:val="1"/>
      <w:marLeft w:val="0"/>
      <w:marRight w:val="0"/>
      <w:marTop w:val="0"/>
      <w:marBottom w:val="0"/>
      <w:divBdr>
        <w:top w:val="none" w:sz="0" w:space="0" w:color="auto"/>
        <w:left w:val="none" w:sz="0" w:space="0" w:color="auto"/>
        <w:bottom w:val="none" w:sz="0" w:space="0" w:color="auto"/>
        <w:right w:val="none" w:sz="0" w:space="0" w:color="auto"/>
      </w:divBdr>
    </w:div>
    <w:div w:id="1627807651">
      <w:bodyDiv w:val="1"/>
      <w:marLeft w:val="0"/>
      <w:marRight w:val="0"/>
      <w:marTop w:val="0"/>
      <w:marBottom w:val="0"/>
      <w:divBdr>
        <w:top w:val="none" w:sz="0" w:space="0" w:color="auto"/>
        <w:left w:val="none" w:sz="0" w:space="0" w:color="auto"/>
        <w:bottom w:val="none" w:sz="0" w:space="0" w:color="auto"/>
        <w:right w:val="none" w:sz="0" w:space="0" w:color="auto"/>
      </w:divBdr>
    </w:div>
    <w:div w:id="1637681605">
      <w:bodyDiv w:val="1"/>
      <w:marLeft w:val="0"/>
      <w:marRight w:val="0"/>
      <w:marTop w:val="0"/>
      <w:marBottom w:val="0"/>
      <w:divBdr>
        <w:top w:val="none" w:sz="0" w:space="0" w:color="auto"/>
        <w:left w:val="none" w:sz="0" w:space="0" w:color="auto"/>
        <w:bottom w:val="none" w:sz="0" w:space="0" w:color="auto"/>
        <w:right w:val="none" w:sz="0" w:space="0" w:color="auto"/>
      </w:divBdr>
    </w:div>
    <w:div w:id="1648703167">
      <w:bodyDiv w:val="1"/>
      <w:marLeft w:val="0"/>
      <w:marRight w:val="0"/>
      <w:marTop w:val="0"/>
      <w:marBottom w:val="0"/>
      <w:divBdr>
        <w:top w:val="none" w:sz="0" w:space="0" w:color="auto"/>
        <w:left w:val="none" w:sz="0" w:space="0" w:color="auto"/>
        <w:bottom w:val="none" w:sz="0" w:space="0" w:color="auto"/>
        <w:right w:val="none" w:sz="0" w:space="0" w:color="auto"/>
      </w:divBdr>
    </w:div>
    <w:div w:id="1649898950">
      <w:bodyDiv w:val="1"/>
      <w:marLeft w:val="0"/>
      <w:marRight w:val="0"/>
      <w:marTop w:val="0"/>
      <w:marBottom w:val="0"/>
      <w:divBdr>
        <w:top w:val="none" w:sz="0" w:space="0" w:color="auto"/>
        <w:left w:val="none" w:sz="0" w:space="0" w:color="auto"/>
        <w:bottom w:val="none" w:sz="0" w:space="0" w:color="auto"/>
        <w:right w:val="none" w:sz="0" w:space="0" w:color="auto"/>
      </w:divBdr>
    </w:div>
    <w:div w:id="1667510702">
      <w:bodyDiv w:val="1"/>
      <w:marLeft w:val="0"/>
      <w:marRight w:val="0"/>
      <w:marTop w:val="0"/>
      <w:marBottom w:val="0"/>
      <w:divBdr>
        <w:top w:val="none" w:sz="0" w:space="0" w:color="auto"/>
        <w:left w:val="none" w:sz="0" w:space="0" w:color="auto"/>
        <w:bottom w:val="none" w:sz="0" w:space="0" w:color="auto"/>
        <w:right w:val="none" w:sz="0" w:space="0" w:color="auto"/>
      </w:divBdr>
    </w:div>
    <w:div w:id="1702320264">
      <w:bodyDiv w:val="1"/>
      <w:marLeft w:val="0"/>
      <w:marRight w:val="0"/>
      <w:marTop w:val="0"/>
      <w:marBottom w:val="0"/>
      <w:divBdr>
        <w:top w:val="none" w:sz="0" w:space="0" w:color="auto"/>
        <w:left w:val="none" w:sz="0" w:space="0" w:color="auto"/>
        <w:bottom w:val="none" w:sz="0" w:space="0" w:color="auto"/>
        <w:right w:val="none" w:sz="0" w:space="0" w:color="auto"/>
      </w:divBdr>
    </w:div>
    <w:div w:id="1705207445">
      <w:bodyDiv w:val="1"/>
      <w:marLeft w:val="0"/>
      <w:marRight w:val="0"/>
      <w:marTop w:val="0"/>
      <w:marBottom w:val="0"/>
      <w:divBdr>
        <w:top w:val="none" w:sz="0" w:space="0" w:color="auto"/>
        <w:left w:val="none" w:sz="0" w:space="0" w:color="auto"/>
        <w:bottom w:val="none" w:sz="0" w:space="0" w:color="auto"/>
        <w:right w:val="none" w:sz="0" w:space="0" w:color="auto"/>
      </w:divBdr>
    </w:div>
    <w:div w:id="1712148743">
      <w:bodyDiv w:val="1"/>
      <w:marLeft w:val="0"/>
      <w:marRight w:val="0"/>
      <w:marTop w:val="0"/>
      <w:marBottom w:val="0"/>
      <w:divBdr>
        <w:top w:val="none" w:sz="0" w:space="0" w:color="auto"/>
        <w:left w:val="none" w:sz="0" w:space="0" w:color="auto"/>
        <w:bottom w:val="none" w:sz="0" w:space="0" w:color="auto"/>
        <w:right w:val="none" w:sz="0" w:space="0" w:color="auto"/>
      </w:divBdr>
    </w:div>
    <w:div w:id="1730955316">
      <w:bodyDiv w:val="1"/>
      <w:marLeft w:val="0"/>
      <w:marRight w:val="0"/>
      <w:marTop w:val="0"/>
      <w:marBottom w:val="0"/>
      <w:divBdr>
        <w:top w:val="none" w:sz="0" w:space="0" w:color="auto"/>
        <w:left w:val="none" w:sz="0" w:space="0" w:color="auto"/>
        <w:bottom w:val="none" w:sz="0" w:space="0" w:color="auto"/>
        <w:right w:val="none" w:sz="0" w:space="0" w:color="auto"/>
      </w:divBdr>
    </w:div>
    <w:div w:id="1766922882">
      <w:bodyDiv w:val="1"/>
      <w:marLeft w:val="0"/>
      <w:marRight w:val="0"/>
      <w:marTop w:val="0"/>
      <w:marBottom w:val="0"/>
      <w:divBdr>
        <w:top w:val="none" w:sz="0" w:space="0" w:color="auto"/>
        <w:left w:val="none" w:sz="0" w:space="0" w:color="auto"/>
        <w:bottom w:val="none" w:sz="0" w:space="0" w:color="auto"/>
        <w:right w:val="none" w:sz="0" w:space="0" w:color="auto"/>
      </w:divBdr>
    </w:div>
    <w:div w:id="1772387059">
      <w:bodyDiv w:val="1"/>
      <w:marLeft w:val="0"/>
      <w:marRight w:val="0"/>
      <w:marTop w:val="0"/>
      <w:marBottom w:val="0"/>
      <w:divBdr>
        <w:top w:val="none" w:sz="0" w:space="0" w:color="auto"/>
        <w:left w:val="none" w:sz="0" w:space="0" w:color="auto"/>
        <w:bottom w:val="none" w:sz="0" w:space="0" w:color="auto"/>
        <w:right w:val="none" w:sz="0" w:space="0" w:color="auto"/>
      </w:divBdr>
    </w:div>
    <w:div w:id="1772701131">
      <w:bodyDiv w:val="1"/>
      <w:marLeft w:val="0"/>
      <w:marRight w:val="0"/>
      <w:marTop w:val="0"/>
      <w:marBottom w:val="0"/>
      <w:divBdr>
        <w:top w:val="none" w:sz="0" w:space="0" w:color="auto"/>
        <w:left w:val="none" w:sz="0" w:space="0" w:color="auto"/>
        <w:bottom w:val="none" w:sz="0" w:space="0" w:color="auto"/>
        <w:right w:val="none" w:sz="0" w:space="0" w:color="auto"/>
      </w:divBdr>
    </w:div>
    <w:div w:id="1793938582">
      <w:bodyDiv w:val="1"/>
      <w:marLeft w:val="0"/>
      <w:marRight w:val="0"/>
      <w:marTop w:val="0"/>
      <w:marBottom w:val="0"/>
      <w:divBdr>
        <w:top w:val="none" w:sz="0" w:space="0" w:color="auto"/>
        <w:left w:val="none" w:sz="0" w:space="0" w:color="auto"/>
        <w:bottom w:val="none" w:sz="0" w:space="0" w:color="auto"/>
        <w:right w:val="none" w:sz="0" w:space="0" w:color="auto"/>
      </w:divBdr>
    </w:div>
    <w:div w:id="1799685840">
      <w:bodyDiv w:val="1"/>
      <w:marLeft w:val="0"/>
      <w:marRight w:val="0"/>
      <w:marTop w:val="0"/>
      <w:marBottom w:val="0"/>
      <w:divBdr>
        <w:top w:val="none" w:sz="0" w:space="0" w:color="auto"/>
        <w:left w:val="none" w:sz="0" w:space="0" w:color="auto"/>
        <w:bottom w:val="none" w:sz="0" w:space="0" w:color="auto"/>
        <w:right w:val="none" w:sz="0" w:space="0" w:color="auto"/>
      </w:divBdr>
    </w:div>
    <w:div w:id="1803301959">
      <w:bodyDiv w:val="1"/>
      <w:marLeft w:val="0"/>
      <w:marRight w:val="0"/>
      <w:marTop w:val="0"/>
      <w:marBottom w:val="0"/>
      <w:divBdr>
        <w:top w:val="none" w:sz="0" w:space="0" w:color="auto"/>
        <w:left w:val="none" w:sz="0" w:space="0" w:color="auto"/>
        <w:bottom w:val="none" w:sz="0" w:space="0" w:color="auto"/>
        <w:right w:val="none" w:sz="0" w:space="0" w:color="auto"/>
      </w:divBdr>
    </w:div>
    <w:div w:id="1812748853">
      <w:bodyDiv w:val="1"/>
      <w:marLeft w:val="0"/>
      <w:marRight w:val="0"/>
      <w:marTop w:val="0"/>
      <w:marBottom w:val="0"/>
      <w:divBdr>
        <w:top w:val="none" w:sz="0" w:space="0" w:color="auto"/>
        <w:left w:val="none" w:sz="0" w:space="0" w:color="auto"/>
        <w:bottom w:val="none" w:sz="0" w:space="0" w:color="auto"/>
        <w:right w:val="none" w:sz="0" w:space="0" w:color="auto"/>
      </w:divBdr>
    </w:div>
    <w:div w:id="1844128198">
      <w:bodyDiv w:val="1"/>
      <w:marLeft w:val="0"/>
      <w:marRight w:val="0"/>
      <w:marTop w:val="0"/>
      <w:marBottom w:val="0"/>
      <w:divBdr>
        <w:top w:val="none" w:sz="0" w:space="0" w:color="auto"/>
        <w:left w:val="none" w:sz="0" w:space="0" w:color="auto"/>
        <w:bottom w:val="none" w:sz="0" w:space="0" w:color="auto"/>
        <w:right w:val="none" w:sz="0" w:space="0" w:color="auto"/>
      </w:divBdr>
    </w:div>
    <w:div w:id="1845437434">
      <w:bodyDiv w:val="1"/>
      <w:marLeft w:val="0"/>
      <w:marRight w:val="0"/>
      <w:marTop w:val="0"/>
      <w:marBottom w:val="0"/>
      <w:divBdr>
        <w:top w:val="none" w:sz="0" w:space="0" w:color="auto"/>
        <w:left w:val="none" w:sz="0" w:space="0" w:color="auto"/>
        <w:bottom w:val="none" w:sz="0" w:space="0" w:color="auto"/>
        <w:right w:val="none" w:sz="0" w:space="0" w:color="auto"/>
      </w:divBdr>
    </w:div>
    <w:div w:id="1855413173">
      <w:bodyDiv w:val="1"/>
      <w:marLeft w:val="0"/>
      <w:marRight w:val="0"/>
      <w:marTop w:val="0"/>
      <w:marBottom w:val="0"/>
      <w:divBdr>
        <w:top w:val="none" w:sz="0" w:space="0" w:color="auto"/>
        <w:left w:val="none" w:sz="0" w:space="0" w:color="auto"/>
        <w:bottom w:val="none" w:sz="0" w:space="0" w:color="auto"/>
        <w:right w:val="none" w:sz="0" w:space="0" w:color="auto"/>
      </w:divBdr>
    </w:div>
    <w:div w:id="1865367673">
      <w:bodyDiv w:val="1"/>
      <w:marLeft w:val="0"/>
      <w:marRight w:val="0"/>
      <w:marTop w:val="0"/>
      <w:marBottom w:val="0"/>
      <w:divBdr>
        <w:top w:val="none" w:sz="0" w:space="0" w:color="auto"/>
        <w:left w:val="none" w:sz="0" w:space="0" w:color="auto"/>
        <w:bottom w:val="none" w:sz="0" w:space="0" w:color="auto"/>
        <w:right w:val="none" w:sz="0" w:space="0" w:color="auto"/>
      </w:divBdr>
    </w:div>
    <w:div w:id="1866626847">
      <w:bodyDiv w:val="1"/>
      <w:marLeft w:val="0"/>
      <w:marRight w:val="0"/>
      <w:marTop w:val="0"/>
      <w:marBottom w:val="0"/>
      <w:divBdr>
        <w:top w:val="none" w:sz="0" w:space="0" w:color="auto"/>
        <w:left w:val="none" w:sz="0" w:space="0" w:color="auto"/>
        <w:bottom w:val="none" w:sz="0" w:space="0" w:color="auto"/>
        <w:right w:val="none" w:sz="0" w:space="0" w:color="auto"/>
      </w:divBdr>
    </w:div>
    <w:div w:id="1888688777">
      <w:bodyDiv w:val="1"/>
      <w:marLeft w:val="0"/>
      <w:marRight w:val="0"/>
      <w:marTop w:val="0"/>
      <w:marBottom w:val="0"/>
      <w:divBdr>
        <w:top w:val="none" w:sz="0" w:space="0" w:color="auto"/>
        <w:left w:val="none" w:sz="0" w:space="0" w:color="auto"/>
        <w:bottom w:val="none" w:sz="0" w:space="0" w:color="auto"/>
        <w:right w:val="none" w:sz="0" w:space="0" w:color="auto"/>
      </w:divBdr>
    </w:div>
    <w:div w:id="1900743830">
      <w:bodyDiv w:val="1"/>
      <w:marLeft w:val="0"/>
      <w:marRight w:val="0"/>
      <w:marTop w:val="0"/>
      <w:marBottom w:val="0"/>
      <w:divBdr>
        <w:top w:val="none" w:sz="0" w:space="0" w:color="auto"/>
        <w:left w:val="none" w:sz="0" w:space="0" w:color="auto"/>
        <w:bottom w:val="none" w:sz="0" w:space="0" w:color="auto"/>
        <w:right w:val="none" w:sz="0" w:space="0" w:color="auto"/>
      </w:divBdr>
    </w:div>
    <w:div w:id="1904214164">
      <w:bodyDiv w:val="1"/>
      <w:marLeft w:val="0"/>
      <w:marRight w:val="0"/>
      <w:marTop w:val="0"/>
      <w:marBottom w:val="0"/>
      <w:divBdr>
        <w:top w:val="none" w:sz="0" w:space="0" w:color="auto"/>
        <w:left w:val="none" w:sz="0" w:space="0" w:color="auto"/>
        <w:bottom w:val="none" w:sz="0" w:space="0" w:color="auto"/>
        <w:right w:val="none" w:sz="0" w:space="0" w:color="auto"/>
      </w:divBdr>
    </w:div>
    <w:div w:id="1916435438">
      <w:bodyDiv w:val="1"/>
      <w:marLeft w:val="0"/>
      <w:marRight w:val="0"/>
      <w:marTop w:val="0"/>
      <w:marBottom w:val="0"/>
      <w:divBdr>
        <w:top w:val="none" w:sz="0" w:space="0" w:color="auto"/>
        <w:left w:val="none" w:sz="0" w:space="0" w:color="auto"/>
        <w:bottom w:val="none" w:sz="0" w:space="0" w:color="auto"/>
        <w:right w:val="none" w:sz="0" w:space="0" w:color="auto"/>
      </w:divBdr>
    </w:div>
    <w:div w:id="1918056332">
      <w:bodyDiv w:val="1"/>
      <w:marLeft w:val="0"/>
      <w:marRight w:val="0"/>
      <w:marTop w:val="0"/>
      <w:marBottom w:val="0"/>
      <w:divBdr>
        <w:top w:val="none" w:sz="0" w:space="0" w:color="auto"/>
        <w:left w:val="none" w:sz="0" w:space="0" w:color="auto"/>
        <w:bottom w:val="none" w:sz="0" w:space="0" w:color="auto"/>
        <w:right w:val="none" w:sz="0" w:space="0" w:color="auto"/>
      </w:divBdr>
    </w:div>
    <w:div w:id="1953003759">
      <w:bodyDiv w:val="1"/>
      <w:marLeft w:val="0"/>
      <w:marRight w:val="0"/>
      <w:marTop w:val="0"/>
      <w:marBottom w:val="0"/>
      <w:divBdr>
        <w:top w:val="none" w:sz="0" w:space="0" w:color="auto"/>
        <w:left w:val="none" w:sz="0" w:space="0" w:color="auto"/>
        <w:bottom w:val="none" w:sz="0" w:space="0" w:color="auto"/>
        <w:right w:val="none" w:sz="0" w:space="0" w:color="auto"/>
      </w:divBdr>
    </w:div>
    <w:div w:id="1964072892">
      <w:bodyDiv w:val="1"/>
      <w:marLeft w:val="0"/>
      <w:marRight w:val="0"/>
      <w:marTop w:val="0"/>
      <w:marBottom w:val="0"/>
      <w:divBdr>
        <w:top w:val="none" w:sz="0" w:space="0" w:color="auto"/>
        <w:left w:val="none" w:sz="0" w:space="0" w:color="auto"/>
        <w:bottom w:val="none" w:sz="0" w:space="0" w:color="auto"/>
        <w:right w:val="none" w:sz="0" w:space="0" w:color="auto"/>
      </w:divBdr>
    </w:div>
    <w:div w:id="1964800829">
      <w:bodyDiv w:val="1"/>
      <w:marLeft w:val="0"/>
      <w:marRight w:val="0"/>
      <w:marTop w:val="0"/>
      <w:marBottom w:val="0"/>
      <w:divBdr>
        <w:top w:val="none" w:sz="0" w:space="0" w:color="auto"/>
        <w:left w:val="none" w:sz="0" w:space="0" w:color="auto"/>
        <w:bottom w:val="none" w:sz="0" w:space="0" w:color="auto"/>
        <w:right w:val="none" w:sz="0" w:space="0" w:color="auto"/>
      </w:divBdr>
    </w:div>
    <w:div w:id="2004312672">
      <w:bodyDiv w:val="1"/>
      <w:marLeft w:val="0"/>
      <w:marRight w:val="0"/>
      <w:marTop w:val="0"/>
      <w:marBottom w:val="0"/>
      <w:divBdr>
        <w:top w:val="none" w:sz="0" w:space="0" w:color="auto"/>
        <w:left w:val="none" w:sz="0" w:space="0" w:color="auto"/>
        <w:bottom w:val="none" w:sz="0" w:space="0" w:color="auto"/>
        <w:right w:val="none" w:sz="0" w:space="0" w:color="auto"/>
      </w:divBdr>
    </w:div>
    <w:div w:id="2025741579">
      <w:bodyDiv w:val="1"/>
      <w:marLeft w:val="0"/>
      <w:marRight w:val="0"/>
      <w:marTop w:val="0"/>
      <w:marBottom w:val="0"/>
      <w:divBdr>
        <w:top w:val="none" w:sz="0" w:space="0" w:color="auto"/>
        <w:left w:val="none" w:sz="0" w:space="0" w:color="auto"/>
        <w:bottom w:val="none" w:sz="0" w:space="0" w:color="auto"/>
        <w:right w:val="none" w:sz="0" w:space="0" w:color="auto"/>
      </w:divBdr>
    </w:div>
    <w:div w:id="2025932917">
      <w:bodyDiv w:val="1"/>
      <w:marLeft w:val="0"/>
      <w:marRight w:val="0"/>
      <w:marTop w:val="0"/>
      <w:marBottom w:val="0"/>
      <w:divBdr>
        <w:top w:val="none" w:sz="0" w:space="0" w:color="auto"/>
        <w:left w:val="none" w:sz="0" w:space="0" w:color="auto"/>
        <w:bottom w:val="none" w:sz="0" w:space="0" w:color="auto"/>
        <w:right w:val="none" w:sz="0" w:space="0" w:color="auto"/>
      </w:divBdr>
    </w:div>
    <w:div w:id="2026470625">
      <w:bodyDiv w:val="1"/>
      <w:marLeft w:val="0"/>
      <w:marRight w:val="0"/>
      <w:marTop w:val="0"/>
      <w:marBottom w:val="0"/>
      <w:divBdr>
        <w:top w:val="none" w:sz="0" w:space="0" w:color="auto"/>
        <w:left w:val="none" w:sz="0" w:space="0" w:color="auto"/>
        <w:bottom w:val="none" w:sz="0" w:space="0" w:color="auto"/>
        <w:right w:val="none" w:sz="0" w:space="0" w:color="auto"/>
      </w:divBdr>
    </w:div>
    <w:div w:id="2037268097">
      <w:bodyDiv w:val="1"/>
      <w:marLeft w:val="0"/>
      <w:marRight w:val="0"/>
      <w:marTop w:val="0"/>
      <w:marBottom w:val="0"/>
      <w:divBdr>
        <w:top w:val="none" w:sz="0" w:space="0" w:color="auto"/>
        <w:left w:val="none" w:sz="0" w:space="0" w:color="auto"/>
        <w:bottom w:val="none" w:sz="0" w:space="0" w:color="auto"/>
        <w:right w:val="none" w:sz="0" w:space="0" w:color="auto"/>
      </w:divBdr>
    </w:div>
    <w:div w:id="2038921806">
      <w:bodyDiv w:val="1"/>
      <w:marLeft w:val="0"/>
      <w:marRight w:val="0"/>
      <w:marTop w:val="0"/>
      <w:marBottom w:val="0"/>
      <w:divBdr>
        <w:top w:val="none" w:sz="0" w:space="0" w:color="auto"/>
        <w:left w:val="none" w:sz="0" w:space="0" w:color="auto"/>
        <w:bottom w:val="none" w:sz="0" w:space="0" w:color="auto"/>
        <w:right w:val="none" w:sz="0" w:space="0" w:color="auto"/>
      </w:divBdr>
    </w:div>
    <w:div w:id="2047362576">
      <w:bodyDiv w:val="1"/>
      <w:marLeft w:val="0"/>
      <w:marRight w:val="0"/>
      <w:marTop w:val="0"/>
      <w:marBottom w:val="0"/>
      <w:divBdr>
        <w:top w:val="none" w:sz="0" w:space="0" w:color="auto"/>
        <w:left w:val="none" w:sz="0" w:space="0" w:color="auto"/>
        <w:bottom w:val="none" w:sz="0" w:space="0" w:color="auto"/>
        <w:right w:val="none" w:sz="0" w:space="0" w:color="auto"/>
      </w:divBdr>
    </w:div>
    <w:div w:id="2069912656">
      <w:bodyDiv w:val="1"/>
      <w:marLeft w:val="0"/>
      <w:marRight w:val="0"/>
      <w:marTop w:val="0"/>
      <w:marBottom w:val="0"/>
      <w:divBdr>
        <w:top w:val="none" w:sz="0" w:space="0" w:color="auto"/>
        <w:left w:val="none" w:sz="0" w:space="0" w:color="auto"/>
        <w:bottom w:val="none" w:sz="0" w:space="0" w:color="auto"/>
        <w:right w:val="none" w:sz="0" w:space="0" w:color="auto"/>
      </w:divBdr>
    </w:div>
    <w:div w:id="2070423976">
      <w:bodyDiv w:val="1"/>
      <w:marLeft w:val="0"/>
      <w:marRight w:val="0"/>
      <w:marTop w:val="0"/>
      <w:marBottom w:val="0"/>
      <w:divBdr>
        <w:top w:val="none" w:sz="0" w:space="0" w:color="auto"/>
        <w:left w:val="none" w:sz="0" w:space="0" w:color="auto"/>
        <w:bottom w:val="none" w:sz="0" w:space="0" w:color="auto"/>
        <w:right w:val="none" w:sz="0" w:space="0" w:color="auto"/>
      </w:divBdr>
    </w:div>
    <w:div w:id="2075084349">
      <w:bodyDiv w:val="1"/>
      <w:marLeft w:val="0"/>
      <w:marRight w:val="0"/>
      <w:marTop w:val="0"/>
      <w:marBottom w:val="0"/>
      <w:divBdr>
        <w:top w:val="none" w:sz="0" w:space="0" w:color="auto"/>
        <w:left w:val="none" w:sz="0" w:space="0" w:color="auto"/>
        <w:bottom w:val="none" w:sz="0" w:space="0" w:color="auto"/>
        <w:right w:val="none" w:sz="0" w:space="0" w:color="auto"/>
      </w:divBdr>
    </w:div>
    <w:div w:id="2079590983">
      <w:bodyDiv w:val="1"/>
      <w:marLeft w:val="0"/>
      <w:marRight w:val="0"/>
      <w:marTop w:val="0"/>
      <w:marBottom w:val="0"/>
      <w:divBdr>
        <w:top w:val="none" w:sz="0" w:space="0" w:color="auto"/>
        <w:left w:val="none" w:sz="0" w:space="0" w:color="auto"/>
        <w:bottom w:val="none" w:sz="0" w:space="0" w:color="auto"/>
        <w:right w:val="none" w:sz="0" w:space="0" w:color="auto"/>
      </w:divBdr>
    </w:div>
    <w:div w:id="2087729960">
      <w:bodyDiv w:val="1"/>
      <w:marLeft w:val="0"/>
      <w:marRight w:val="0"/>
      <w:marTop w:val="0"/>
      <w:marBottom w:val="0"/>
      <w:divBdr>
        <w:top w:val="none" w:sz="0" w:space="0" w:color="auto"/>
        <w:left w:val="none" w:sz="0" w:space="0" w:color="auto"/>
        <w:bottom w:val="none" w:sz="0" w:space="0" w:color="auto"/>
        <w:right w:val="none" w:sz="0" w:space="0" w:color="auto"/>
      </w:divBdr>
    </w:div>
    <w:div w:id="2088073654">
      <w:bodyDiv w:val="1"/>
      <w:marLeft w:val="0"/>
      <w:marRight w:val="0"/>
      <w:marTop w:val="0"/>
      <w:marBottom w:val="0"/>
      <w:divBdr>
        <w:top w:val="none" w:sz="0" w:space="0" w:color="auto"/>
        <w:left w:val="none" w:sz="0" w:space="0" w:color="auto"/>
        <w:bottom w:val="none" w:sz="0" w:space="0" w:color="auto"/>
        <w:right w:val="none" w:sz="0" w:space="0" w:color="auto"/>
      </w:divBdr>
    </w:div>
    <w:div w:id="2101019186">
      <w:bodyDiv w:val="1"/>
      <w:marLeft w:val="0"/>
      <w:marRight w:val="0"/>
      <w:marTop w:val="0"/>
      <w:marBottom w:val="0"/>
      <w:divBdr>
        <w:top w:val="none" w:sz="0" w:space="0" w:color="auto"/>
        <w:left w:val="none" w:sz="0" w:space="0" w:color="auto"/>
        <w:bottom w:val="none" w:sz="0" w:space="0" w:color="auto"/>
        <w:right w:val="none" w:sz="0" w:space="0" w:color="auto"/>
      </w:divBdr>
    </w:div>
    <w:div w:id="2104568204">
      <w:bodyDiv w:val="1"/>
      <w:marLeft w:val="0"/>
      <w:marRight w:val="0"/>
      <w:marTop w:val="0"/>
      <w:marBottom w:val="0"/>
      <w:divBdr>
        <w:top w:val="none" w:sz="0" w:space="0" w:color="auto"/>
        <w:left w:val="none" w:sz="0" w:space="0" w:color="auto"/>
        <w:bottom w:val="none" w:sz="0" w:space="0" w:color="auto"/>
        <w:right w:val="none" w:sz="0" w:space="0" w:color="auto"/>
      </w:divBdr>
    </w:div>
    <w:div w:id="2124569819">
      <w:bodyDiv w:val="1"/>
      <w:marLeft w:val="0"/>
      <w:marRight w:val="0"/>
      <w:marTop w:val="0"/>
      <w:marBottom w:val="0"/>
      <w:divBdr>
        <w:top w:val="none" w:sz="0" w:space="0" w:color="auto"/>
        <w:left w:val="none" w:sz="0" w:space="0" w:color="auto"/>
        <w:bottom w:val="none" w:sz="0" w:space="0" w:color="auto"/>
        <w:right w:val="none" w:sz="0" w:space="0" w:color="auto"/>
      </w:divBdr>
    </w:div>
    <w:div w:id="21260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0B961-D801-4413-A4AC-ACB256B2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10040</Words>
  <Characters>54216</Characters>
  <Application>Microsoft Office Word</Application>
  <DocSecurity>0</DocSecurity>
  <Lines>451</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dtttechbr</dc:creator>
  <cp:lastModifiedBy>Felipe Bastos</cp:lastModifiedBy>
  <cp:revision>3</cp:revision>
  <cp:lastPrinted>2018-06-21T14:13:00Z</cp:lastPrinted>
  <dcterms:created xsi:type="dcterms:W3CDTF">2018-07-12T13:58:00Z</dcterms:created>
  <dcterms:modified xsi:type="dcterms:W3CDTF">2018-07-12T13:58:00Z</dcterms:modified>
</cp:coreProperties>
</file>