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CD" w:rsidRPr="00BA09CD" w:rsidRDefault="00BA09CD" w:rsidP="00BA09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0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COMITÊ DE PRONUNCIAMENTOS CONTÁBEIS</w:t>
      </w:r>
    </w:p>
    <w:p w:rsidR="00BA09CD" w:rsidRPr="00BA09CD" w:rsidRDefault="00BA09CD" w:rsidP="00BA09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09CD" w:rsidRPr="00BA09CD" w:rsidRDefault="00BA09CD" w:rsidP="00BA09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0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INTERPRETAÇÃO TÉCNICA</w:t>
      </w:r>
      <w:r w:rsidR="008E1D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 w:rsidRPr="00BA0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ICPC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:rsidR="00BA09CD" w:rsidRPr="00BA09CD" w:rsidRDefault="00BA09CD" w:rsidP="00BA09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A09CD" w:rsidRPr="00BA09CD" w:rsidRDefault="00BA09CD" w:rsidP="00BA09CD">
      <w:pPr>
        <w:ind w:left="5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A09CD">
        <w:rPr>
          <w:rFonts w:ascii="Times New Roman" w:hAnsi="Times New Roman" w:cs="Times New Roman"/>
          <w:b/>
          <w:color w:val="231F20"/>
          <w:sz w:val="24"/>
          <w:szCs w:val="24"/>
        </w:rPr>
        <w:t>Incerteza sobre Tratamento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de Tributos sobre o Lucro</w:t>
      </w:r>
    </w:p>
    <w:p w:rsidR="00BA09CD" w:rsidRPr="00BA09CD" w:rsidRDefault="00BA09CD" w:rsidP="00BA09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09CD" w:rsidRPr="00BA09CD" w:rsidRDefault="00BA09CD" w:rsidP="00BA09CD">
      <w:pPr>
        <w:widowControl/>
        <w:spacing w:before="60" w:after="6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09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Correlação às Normas Internacionais de Contabilidade – IFRIC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</w:p>
    <w:p w:rsidR="00BA09CD" w:rsidRPr="00BA09CD" w:rsidRDefault="00BA09CD" w:rsidP="00BA09CD">
      <w:pPr>
        <w:widowControl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072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152"/>
      </w:tblGrid>
      <w:tr w:rsidR="00BA09CD" w:rsidRPr="00BA09CD" w:rsidTr="00FF29DF">
        <w:tc>
          <w:tcPr>
            <w:tcW w:w="7920" w:type="dxa"/>
          </w:tcPr>
          <w:p w:rsidR="00BA09CD" w:rsidRPr="00BA09CD" w:rsidRDefault="00BA09CD" w:rsidP="00BA09CD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BA09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Sumário</w:t>
            </w:r>
          </w:p>
        </w:tc>
        <w:tc>
          <w:tcPr>
            <w:tcW w:w="1152" w:type="dxa"/>
          </w:tcPr>
          <w:p w:rsidR="00BA09CD" w:rsidRPr="00BA09CD" w:rsidRDefault="00BA09CD" w:rsidP="00BA09C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BA09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Item</w:t>
            </w:r>
          </w:p>
        </w:tc>
      </w:tr>
      <w:tr w:rsidR="00BA09CD" w:rsidRPr="00BA09CD" w:rsidTr="00FF29DF">
        <w:tc>
          <w:tcPr>
            <w:tcW w:w="7920" w:type="dxa"/>
          </w:tcPr>
          <w:p w:rsidR="00BA09CD" w:rsidRPr="00BA09CD" w:rsidRDefault="00BA09CD" w:rsidP="00BA09CD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BA09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REFERÊNCIAS</w:t>
            </w:r>
          </w:p>
        </w:tc>
        <w:tc>
          <w:tcPr>
            <w:tcW w:w="1152" w:type="dxa"/>
          </w:tcPr>
          <w:p w:rsidR="00BA09CD" w:rsidRPr="00BA09CD" w:rsidRDefault="00BA09CD" w:rsidP="00BA09C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</w:p>
        </w:tc>
      </w:tr>
      <w:tr w:rsidR="00BA09CD" w:rsidRPr="00BA09CD" w:rsidTr="00FF29DF">
        <w:tc>
          <w:tcPr>
            <w:tcW w:w="7920" w:type="dxa"/>
          </w:tcPr>
          <w:p w:rsidR="00BA09CD" w:rsidRPr="00BA09CD" w:rsidRDefault="00BA09CD" w:rsidP="00BA09CD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BA09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CONTEXTO</w:t>
            </w:r>
          </w:p>
        </w:tc>
        <w:tc>
          <w:tcPr>
            <w:tcW w:w="1152" w:type="dxa"/>
          </w:tcPr>
          <w:p w:rsidR="00BA09CD" w:rsidRPr="00BA09CD" w:rsidRDefault="00BA09CD" w:rsidP="00BA09C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BA09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1 – 3</w:t>
            </w:r>
          </w:p>
        </w:tc>
      </w:tr>
      <w:tr w:rsidR="00BA09CD" w:rsidRPr="00BA09CD" w:rsidTr="00FF29DF">
        <w:tc>
          <w:tcPr>
            <w:tcW w:w="7920" w:type="dxa"/>
          </w:tcPr>
          <w:p w:rsidR="00BA09CD" w:rsidRPr="00BA09CD" w:rsidRDefault="00BA09CD" w:rsidP="00BA09CD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BA09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ALCANCE</w:t>
            </w:r>
          </w:p>
        </w:tc>
        <w:tc>
          <w:tcPr>
            <w:tcW w:w="1152" w:type="dxa"/>
          </w:tcPr>
          <w:p w:rsidR="00BA09CD" w:rsidRPr="00BA09CD" w:rsidRDefault="00BA09CD" w:rsidP="00BA09C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BA09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4</w:t>
            </w:r>
          </w:p>
        </w:tc>
      </w:tr>
      <w:tr w:rsidR="00BA09CD" w:rsidRPr="00BA09CD" w:rsidTr="00FF29DF">
        <w:tc>
          <w:tcPr>
            <w:tcW w:w="7920" w:type="dxa"/>
          </w:tcPr>
          <w:p w:rsidR="00BA09CD" w:rsidRPr="00BA09CD" w:rsidRDefault="00BA09CD" w:rsidP="00BA09CD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BA09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QUEST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ÕES</w:t>
            </w:r>
          </w:p>
        </w:tc>
        <w:tc>
          <w:tcPr>
            <w:tcW w:w="1152" w:type="dxa"/>
          </w:tcPr>
          <w:p w:rsidR="00BA09CD" w:rsidRPr="00BA09CD" w:rsidRDefault="00BA09CD" w:rsidP="00BA09C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5</w:t>
            </w:r>
          </w:p>
        </w:tc>
      </w:tr>
      <w:tr w:rsidR="00BA09CD" w:rsidRPr="00BA09CD" w:rsidTr="00FF29DF">
        <w:tc>
          <w:tcPr>
            <w:tcW w:w="7920" w:type="dxa"/>
          </w:tcPr>
          <w:p w:rsidR="00BA09CD" w:rsidRPr="00BA09CD" w:rsidRDefault="00BA09CD" w:rsidP="00BA09CD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BA09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CONSENSO</w:t>
            </w:r>
          </w:p>
        </w:tc>
        <w:tc>
          <w:tcPr>
            <w:tcW w:w="1152" w:type="dxa"/>
          </w:tcPr>
          <w:p w:rsidR="00BA09CD" w:rsidRPr="00BA09CD" w:rsidRDefault="00FF29DF" w:rsidP="00FF29DF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6</w:t>
            </w:r>
            <w:r w:rsidR="00BA09CD" w:rsidRPr="00BA09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14</w:t>
            </w:r>
          </w:p>
        </w:tc>
      </w:tr>
      <w:tr w:rsidR="00FF29DF" w:rsidRPr="00BA09CD" w:rsidTr="00FF29DF">
        <w:tc>
          <w:tcPr>
            <w:tcW w:w="7920" w:type="dxa"/>
          </w:tcPr>
          <w:p w:rsidR="00FF29DF" w:rsidRPr="00BA09CD" w:rsidRDefault="00FF29DF" w:rsidP="00BA09CD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FF29D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Se a entidade considera tratamentos fiscais incertos separadamente</w:t>
            </w:r>
          </w:p>
        </w:tc>
        <w:tc>
          <w:tcPr>
            <w:tcW w:w="1152" w:type="dxa"/>
          </w:tcPr>
          <w:p w:rsidR="00FF29DF" w:rsidRPr="00BA09CD" w:rsidRDefault="00FF29DF" w:rsidP="00BA09C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6 – 7</w:t>
            </w:r>
          </w:p>
        </w:tc>
      </w:tr>
      <w:tr w:rsidR="00FF29DF" w:rsidRPr="00BA09CD" w:rsidTr="00FF29DF">
        <w:tc>
          <w:tcPr>
            <w:tcW w:w="7920" w:type="dxa"/>
          </w:tcPr>
          <w:p w:rsidR="00FF29DF" w:rsidRPr="00BA09CD" w:rsidRDefault="00FF29DF" w:rsidP="00BA09CD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FF29D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Exame por autoridades fiscais</w:t>
            </w:r>
          </w:p>
        </w:tc>
        <w:tc>
          <w:tcPr>
            <w:tcW w:w="1152" w:type="dxa"/>
          </w:tcPr>
          <w:p w:rsidR="00FF29DF" w:rsidRPr="00BA09CD" w:rsidRDefault="00FF29DF" w:rsidP="00BA09C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8</w:t>
            </w:r>
          </w:p>
        </w:tc>
      </w:tr>
      <w:tr w:rsidR="00FF29DF" w:rsidRPr="00BA09CD" w:rsidTr="00FF29DF">
        <w:tc>
          <w:tcPr>
            <w:tcW w:w="7920" w:type="dxa"/>
          </w:tcPr>
          <w:p w:rsidR="00FF29DF" w:rsidRPr="00BA09CD" w:rsidRDefault="00FF29DF" w:rsidP="00BA09CD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FF29D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Determinação de lucro tributável (prejuízo fiscal), base fiscal, prejuízos fiscais não utilizados, créditos fiscais não utilizados e alíquotas fiscais</w:t>
            </w:r>
          </w:p>
        </w:tc>
        <w:tc>
          <w:tcPr>
            <w:tcW w:w="1152" w:type="dxa"/>
          </w:tcPr>
          <w:p w:rsidR="00FF29DF" w:rsidRPr="00BA09CD" w:rsidRDefault="00FF29DF" w:rsidP="00BA09C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9 – 12</w:t>
            </w:r>
          </w:p>
        </w:tc>
      </w:tr>
      <w:tr w:rsidR="00FF29DF" w:rsidRPr="00BA09CD" w:rsidTr="00FF29DF">
        <w:tc>
          <w:tcPr>
            <w:tcW w:w="7920" w:type="dxa"/>
          </w:tcPr>
          <w:p w:rsidR="00FF29DF" w:rsidRPr="00BA09CD" w:rsidRDefault="00FF29DF" w:rsidP="00BA09CD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FF29D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Mudanças em fatos e circunstâncias</w:t>
            </w:r>
          </w:p>
        </w:tc>
        <w:tc>
          <w:tcPr>
            <w:tcW w:w="1152" w:type="dxa"/>
          </w:tcPr>
          <w:p w:rsidR="00FF29DF" w:rsidRPr="00BA09CD" w:rsidRDefault="00FF29DF" w:rsidP="00BA09C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13 – 14</w:t>
            </w:r>
          </w:p>
        </w:tc>
      </w:tr>
      <w:tr w:rsidR="00FF29DF" w:rsidRPr="00BA09CD" w:rsidTr="00FF29DF">
        <w:tc>
          <w:tcPr>
            <w:tcW w:w="7920" w:type="dxa"/>
          </w:tcPr>
          <w:p w:rsidR="00FF29DF" w:rsidRPr="00BA09CD" w:rsidRDefault="00FF29DF" w:rsidP="00FF29DF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FF29D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 xml:space="preserve">APÊNDICE A – ORIENTAÇÃO DE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A</w:t>
            </w:r>
            <w:r w:rsidRPr="00FF29D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PLICAÇÃO</w:t>
            </w:r>
          </w:p>
        </w:tc>
        <w:tc>
          <w:tcPr>
            <w:tcW w:w="1152" w:type="dxa"/>
          </w:tcPr>
          <w:p w:rsidR="00FF29DF" w:rsidRPr="00BA09CD" w:rsidRDefault="00FF29DF" w:rsidP="00BA09C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</w:p>
        </w:tc>
      </w:tr>
      <w:tr w:rsidR="00FF29DF" w:rsidRPr="00BA09CD" w:rsidTr="00FF29DF">
        <w:tc>
          <w:tcPr>
            <w:tcW w:w="7920" w:type="dxa"/>
          </w:tcPr>
          <w:p w:rsidR="00FF29DF" w:rsidRPr="00BA09CD" w:rsidRDefault="00FF29DF" w:rsidP="00BA09CD">
            <w:pPr>
              <w:widowControl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  <w:r w:rsidRPr="00FF29D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  <w:t>APÊNDICE B – DATA DE VIGÊNCIA E TRANSIÇÃO</w:t>
            </w:r>
          </w:p>
        </w:tc>
        <w:tc>
          <w:tcPr>
            <w:tcW w:w="1152" w:type="dxa"/>
          </w:tcPr>
          <w:p w:rsidR="00FF29DF" w:rsidRPr="00BA09CD" w:rsidRDefault="00FF29DF" w:rsidP="00BA09C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pt-PT" w:eastAsia="pt-BR"/>
              </w:rPr>
            </w:pPr>
          </w:p>
        </w:tc>
      </w:tr>
    </w:tbl>
    <w:p w:rsidR="00BA09CD" w:rsidRPr="00BA09CD" w:rsidRDefault="00BA09CD" w:rsidP="00BA09CD">
      <w:pPr>
        <w:tabs>
          <w:tab w:val="left" w:pos="6804"/>
        </w:tabs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09CD" w:rsidRPr="00BA09CD" w:rsidRDefault="00BA09CD" w:rsidP="00BA09CD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5E21" w:rsidRPr="00D70F3F" w:rsidRDefault="00823060" w:rsidP="00BA09CD">
      <w:pPr>
        <w:pStyle w:val="Heading21"/>
        <w:spacing w:before="0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Referências</w:t>
      </w:r>
    </w:p>
    <w:p w:rsidR="00895E21" w:rsidRPr="00D70F3F" w:rsidRDefault="00895E21" w:rsidP="00D70F3F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95E21" w:rsidRPr="006D7A70" w:rsidRDefault="00FF29DF" w:rsidP="00FF29DF">
      <w:pPr>
        <w:pStyle w:val="Heading31"/>
        <w:numPr>
          <w:ilvl w:val="0"/>
          <w:numId w:val="4"/>
        </w:numPr>
        <w:spacing w:before="0"/>
        <w:ind w:left="851" w:hanging="284"/>
        <w:jc w:val="both"/>
        <w:rPr>
          <w:rFonts w:ascii="Times New Roman" w:hAnsi="Times New Roman" w:cs="Times New Roman"/>
          <w:i w:val="0"/>
          <w:color w:val="231F20"/>
          <w:sz w:val="24"/>
          <w:szCs w:val="24"/>
        </w:rPr>
      </w:pPr>
      <w:r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 xml:space="preserve">CPC 26 </w:t>
      </w:r>
      <w:r w:rsidR="00823060"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>– Apresentação d</w:t>
      </w:r>
      <w:r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>as</w:t>
      </w:r>
      <w:r w:rsidR="00823060"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 xml:space="preserve"> Demonstrações </w:t>
      </w:r>
      <w:r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>Contábeis</w:t>
      </w:r>
    </w:p>
    <w:p w:rsidR="00895E21" w:rsidRPr="006D7A70" w:rsidRDefault="00FF29DF" w:rsidP="006D7A70">
      <w:pPr>
        <w:pStyle w:val="Heading31"/>
        <w:numPr>
          <w:ilvl w:val="0"/>
          <w:numId w:val="4"/>
        </w:numPr>
        <w:spacing w:before="0"/>
        <w:ind w:left="851" w:hanging="284"/>
        <w:jc w:val="both"/>
        <w:rPr>
          <w:rFonts w:ascii="Times New Roman" w:hAnsi="Times New Roman" w:cs="Times New Roman"/>
          <w:i w:val="0"/>
          <w:color w:val="231F20"/>
          <w:sz w:val="24"/>
          <w:szCs w:val="24"/>
        </w:rPr>
      </w:pPr>
      <w:r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>CPC 23</w:t>
      </w:r>
      <w:r w:rsidR="00823060"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 xml:space="preserve"> – Políticas Contábeis, Mudança </w:t>
      </w:r>
      <w:r w:rsidR="006D7A70">
        <w:rPr>
          <w:rFonts w:ascii="Times New Roman" w:hAnsi="Times New Roman" w:cs="Times New Roman"/>
          <w:i w:val="0"/>
          <w:color w:val="231F20"/>
          <w:sz w:val="24"/>
          <w:szCs w:val="24"/>
        </w:rPr>
        <w:t>de</w:t>
      </w:r>
      <w:r w:rsidR="00823060"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 xml:space="preserve"> Estimativa</w:t>
      </w:r>
      <w:r w:rsidR="006D7A70">
        <w:rPr>
          <w:rFonts w:ascii="Times New Roman" w:hAnsi="Times New Roman" w:cs="Times New Roman"/>
          <w:i w:val="0"/>
          <w:color w:val="231F20"/>
          <w:sz w:val="24"/>
          <w:szCs w:val="24"/>
        </w:rPr>
        <w:t xml:space="preserve"> e Retificação de E</w:t>
      </w:r>
      <w:r w:rsidR="00823060"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>rro</w:t>
      </w:r>
    </w:p>
    <w:p w:rsidR="00895E21" w:rsidRPr="006D7A70" w:rsidRDefault="00FF29DF" w:rsidP="006D7A70">
      <w:pPr>
        <w:pStyle w:val="Heading31"/>
        <w:numPr>
          <w:ilvl w:val="0"/>
          <w:numId w:val="4"/>
        </w:numPr>
        <w:spacing w:before="0"/>
        <w:ind w:left="851" w:hanging="284"/>
        <w:jc w:val="both"/>
        <w:rPr>
          <w:rFonts w:ascii="Times New Roman" w:hAnsi="Times New Roman" w:cs="Times New Roman"/>
          <w:i w:val="0"/>
          <w:color w:val="231F20"/>
          <w:sz w:val="24"/>
          <w:szCs w:val="24"/>
        </w:rPr>
      </w:pPr>
      <w:r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>CPC 24</w:t>
      </w:r>
      <w:r w:rsidR="00823060"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 xml:space="preserve"> –</w:t>
      </w:r>
      <w:r w:rsidR="006D7A70"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 xml:space="preserve"> Evento Subsequente</w:t>
      </w:r>
    </w:p>
    <w:p w:rsidR="00895E21" w:rsidRPr="006D7A70" w:rsidRDefault="006D7A70" w:rsidP="006D7A70">
      <w:pPr>
        <w:pStyle w:val="Heading31"/>
        <w:numPr>
          <w:ilvl w:val="0"/>
          <w:numId w:val="4"/>
        </w:numPr>
        <w:spacing w:before="0"/>
        <w:ind w:left="851" w:hanging="284"/>
        <w:jc w:val="both"/>
        <w:rPr>
          <w:rFonts w:ascii="Times New Roman" w:hAnsi="Times New Roman" w:cs="Times New Roman"/>
          <w:i w:val="0"/>
          <w:color w:val="231F20"/>
          <w:sz w:val="24"/>
          <w:szCs w:val="24"/>
        </w:rPr>
      </w:pPr>
      <w:r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>CPC 32</w:t>
      </w:r>
      <w:r w:rsidR="00823060"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 xml:space="preserve"> – </w:t>
      </w:r>
      <w:r w:rsidRPr="006D7A70">
        <w:rPr>
          <w:rFonts w:ascii="Times New Roman" w:hAnsi="Times New Roman" w:cs="Times New Roman"/>
          <w:i w:val="0"/>
          <w:color w:val="231F20"/>
          <w:sz w:val="24"/>
          <w:szCs w:val="24"/>
        </w:rPr>
        <w:t>Tributos sobre o Lucro</w:t>
      </w:r>
    </w:p>
    <w:p w:rsidR="00895E21" w:rsidRPr="00D70F3F" w:rsidRDefault="00895E21" w:rsidP="00D70F3F">
      <w:pPr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0" w:name="_GoBack"/>
      <w:bookmarkEnd w:id="0"/>
    </w:p>
    <w:p w:rsidR="00895E21" w:rsidRPr="00D70F3F" w:rsidRDefault="00823060" w:rsidP="00BA09CD">
      <w:pPr>
        <w:pStyle w:val="Heading21"/>
        <w:spacing w:before="0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TOC_250006"/>
      <w:r w:rsidRPr="00D70F3F">
        <w:rPr>
          <w:rFonts w:ascii="Times New Roman" w:hAnsi="Times New Roman" w:cs="Times New Roman"/>
          <w:color w:val="231F20"/>
          <w:sz w:val="24"/>
          <w:szCs w:val="24"/>
        </w:rPr>
        <w:t>Contexto</w:t>
      </w:r>
      <w:bookmarkEnd w:id="1"/>
    </w:p>
    <w:p w:rsidR="00895E21" w:rsidRPr="00D70F3F" w:rsidRDefault="00895E21" w:rsidP="00D70F3F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95E21" w:rsidRPr="00D70F3F" w:rsidRDefault="00F03192" w:rsidP="00D70F3F">
      <w:pPr>
        <w:pStyle w:val="PargrafodaLista"/>
        <w:numPr>
          <w:ilvl w:val="0"/>
          <w:numId w:val="3"/>
        </w:numPr>
        <w:tabs>
          <w:tab w:val="left" w:pos="9214"/>
        </w:tabs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O CPC 32</w:t>
      </w:r>
      <w:r w:rsidR="008E1DDF">
        <w:rPr>
          <w:rFonts w:ascii="Times New Roman" w:hAnsi="Times New Roman" w:cs="Times New Roman"/>
          <w:color w:val="231F20"/>
          <w:sz w:val="24"/>
          <w:szCs w:val="24"/>
        </w:rPr>
        <w:t xml:space="preserve"> – Tributos sobre o Lucro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especifica requisitos para </w:t>
      </w:r>
      <w:r w:rsidR="00DC725A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s correntes e </w:t>
      </w:r>
      <w:r w:rsidR="00DC725A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s diferidos ativos e passivos.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entidade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>aplica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os requisitos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do CPC 32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com base nas leis fiscais aplicáveis.</w:t>
      </w:r>
    </w:p>
    <w:p w:rsidR="00D70F3F" w:rsidRPr="00D70F3F" w:rsidRDefault="00D70F3F" w:rsidP="00D70F3F">
      <w:pPr>
        <w:pStyle w:val="PargrafodaLista"/>
        <w:tabs>
          <w:tab w:val="left" w:pos="9214"/>
        </w:tabs>
        <w:ind w:left="567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895E21" w:rsidRPr="00D70F3F" w:rsidRDefault="00823060" w:rsidP="009C7C19">
      <w:pPr>
        <w:pStyle w:val="PargrafodaLista"/>
        <w:numPr>
          <w:ilvl w:val="0"/>
          <w:numId w:val="3"/>
        </w:numPr>
        <w:tabs>
          <w:tab w:val="left" w:pos="9214"/>
        </w:tabs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Pode não estar claro como a lei fiscal se aplica </w:t>
      </w:r>
      <w:r w:rsidR="009B4AF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9B4AF2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determinada transação ou circunstância.  A aceitabilidade de determinado tratamento fiscal de acordo com a lei fiscal pode não ser conhecida até que a respectiva autoridade fiscal ou tribunal tome uma decisão no futuro. Consequentemente, a contestação ou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o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exame de determinado tratamento fiscal pela autoridade fiscal pode afetar a contabilização d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C725A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corrente ou diferido ativo ou passivo d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entidade.</w:t>
      </w:r>
    </w:p>
    <w:p w:rsidR="00D70F3F" w:rsidRPr="00D70F3F" w:rsidRDefault="00D70F3F" w:rsidP="00D70F3F">
      <w:pPr>
        <w:tabs>
          <w:tab w:val="left" w:pos="1410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895E21" w:rsidRPr="00D70F3F" w:rsidRDefault="00823060" w:rsidP="00BA09CD">
      <w:pPr>
        <w:pStyle w:val="PargrafodaLista"/>
        <w:numPr>
          <w:ilvl w:val="0"/>
          <w:numId w:val="3"/>
        </w:numPr>
        <w:tabs>
          <w:tab w:val="left" w:pos="9214"/>
        </w:tabs>
        <w:spacing w:after="120"/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lastRenderedPageBreak/>
        <w:t>Nes</w:t>
      </w:r>
      <w:r w:rsidR="00BA09CD"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a Interpretação:</w:t>
      </w:r>
    </w:p>
    <w:p w:rsidR="00895E21" w:rsidRPr="00D70F3F" w:rsidRDefault="00823060" w:rsidP="00BA09CD">
      <w:pPr>
        <w:pStyle w:val="PargrafodaLista"/>
        <w:numPr>
          <w:ilvl w:val="1"/>
          <w:numId w:val="3"/>
        </w:numPr>
        <w:spacing w:after="120"/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“tratamentos fiscais” referem-se aos tratamentos utilizados p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ela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entidade ou que ela planeja utilizar em suas declarações 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="00B71051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 sobre o lucro</w:t>
      </w:r>
      <w:r w:rsidR="00BA09CD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895E21" w:rsidRPr="00D70F3F" w:rsidRDefault="00823060" w:rsidP="00BA09CD">
      <w:pPr>
        <w:pStyle w:val="PargrafodaLista"/>
        <w:numPr>
          <w:ilvl w:val="1"/>
          <w:numId w:val="3"/>
        </w:numPr>
        <w:spacing w:after="120"/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“autoridade fiscal” refere-se ao órgão ou órgãos que decidem se tratamentos fiscais são aceitáveis de acordo com a lei fiscal. Isso pode incluir tribunal</w:t>
      </w:r>
      <w:r w:rsidR="00BA09CD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895E21" w:rsidRPr="00D70F3F" w:rsidRDefault="00823060" w:rsidP="00BA09CD">
      <w:pPr>
        <w:pStyle w:val="PargrafodaLista"/>
        <w:numPr>
          <w:ilvl w:val="1"/>
          <w:numId w:val="3"/>
        </w:numPr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“tratamento fiscal incerto” é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3A2E12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tratamento fiscal para o qual há incerteza sobre se a respectiva autoridade fiscal aceitará o tratamento fiscal de acordo com a lei fiscal.   Por exemplo, a decisão d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entidade de não apresentar qualquer declaração 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="00B71051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 sobre o lucro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jurisdição fiscal, ou de não incluir determinada </w:t>
      </w:r>
      <w:r w:rsidR="00B71051">
        <w:rPr>
          <w:rFonts w:ascii="Times New Roman" w:hAnsi="Times New Roman" w:cs="Times New Roman"/>
          <w:color w:val="231F20"/>
          <w:sz w:val="24"/>
          <w:szCs w:val="24"/>
        </w:rPr>
        <w:t>receita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em lucro tributável, é um tratamento fiscal incerto se sua aceitabilidade for incerta de acordo com a lei fiscal.</w:t>
      </w:r>
    </w:p>
    <w:p w:rsidR="00D70F3F" w:rsidRDefault="00D70F3F" w:rsidP="00D70F3F">
      <w:pPr>
        <w:pStyle w:val="Heading21"/>
        <w:spacing w:before="0"/>
        <w:ind w:left="55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bookmarkStart w:id="2" w:name="_TOC_250005"/>
    </w:p>
    <w:p w:rsidR="00895E21" w:rsidRPr="00D70F3F" w:rsidRDefault="00823060" w:rsidP="00BA09CD">
      <w:pPr>
        <w:pStyle w:val="Heading21"/>
        <w:spacing w:before="0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Alcance</w:t>
      </w:r>
      <w:bookmarkEnd w:id="2"/>
    </w:p>
    <w:p w:rsidR="00895E21" w:rsidRPr="00D70F3F" w:rsidRDefault="00895E21" w:rsidP="00D70F3F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95E21" w:rsidRPr="00D70F3F" w:rsidRDefault="00823060" w:rsidP="009C7C19">
      <w:pPr>
        <w:pStyle w:val="PargrafodaLista"/>
        <w:numPr>
          <w:ilvl w:val="0"/>
          <w:numId w:val="3"/>
        </w:numPr>
        <w:tabs>
          <w:tab w:val="left" w:pos="9214"/>
        </w:tabs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Esta Interpretação esclarece como aplicar os requisitos de reconhecimento e mensuração </w:t>
      </w:r>
      <w:r w:rsidR="006361BF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A2E12" w:rsidRPr="009E738B">
        <w:rPr>
          <w:rFonts w:ascii="Times New Roman" w:hAnsi="Times New Roman" w:cs="Times New Roman"/>
          <w:color w:val="231F20"/>
          <w:sz w:val="24"/>
          <w:szCs w:val="24"/>
        </w:rPr>
        <w:t>CPC 32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quando há incerteza sobre os tratamentos 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="00B71051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 sobre o lucro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. Nessa circunstância, a entidade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reconhecer e mensurar seu </w:t>
      </w:r>
      <w:r w:rsidR="00DC725A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corrente ou diferido ativo ou passivo, aplicando os requisitos </w:t>
      </w:r>
      <w:r w:rsidR="006361BF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A2E12" w:rsidRPr="009E738B">
        <w:rPr>
          <w:rFonts w:ascii="Times New Roman" w:hAnsi="Times New Roman" w:cs="Times New Roman"/>
          <w:color w:val="231F20"/>
          <w:sz w:val="24"/>
          <w:szCs w:val="24"/>
        </w:rPr>
        <w:t>CPC 32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com base em lucro tributável (prejuízo fiscal), bases fiscais, prejuízos fiscais não utilizados, créditos fiscais não utilizados e alíquotas fiscais determinados</w:t>
      </w:r>
      <w:r w:rsidR="004F090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aplicando esta Interpretação.</w:t>
      </w:r>
    </w:p>
    <w:p w:rsidR="00895E21" w:rsidRPr="00D70F3F" w:rsidRDefault="00895E21" w:rsidP="00D70F3F">
      <w:pPr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895E21" w:rsidRPr="00BA09CD" w:rsidRDefault="00823060" w:rsidP="009C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_250004"/>
      <w:r w:rsidRPr="00BA09CD">
        <w:rPr>
          <w:rFonts w:ascii="Times New Roman" w:hAnsi="Times New Roman" w:cs="Times New Roman"/>
          <w:b/>
          <w:color w:val="231F20"/>
          <w:sz w:val="24"/>
          <w:szCs w:val="24"/>
        </w:rPr>
        <w:t>Questões</w:t>
      </w:r>
      <w:bookmarkEnd w:id="3"/>
    </w:p>
    <w:p w:rsidR="00895E21" w:rsidRPr="00D70F3F" w:rsidRDefault="00895E21" w:rsidP="00D70F3F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95E21" w:rsidRPr="00D70F3F" w:rsidRDefault="00823060" w:rsidP="00BA09CD">
      <w:pPr>
        <w:pStyle w:val="PargrafodaLista"/>
        <w:numPr>
          <w:ilvl w:val="0"/>
          <w:numId w:val="3"/>
        </w:numPr>
        <w:tabs>
          <w:tab w:val="left" w:pos="9214"/>
        </w:tabs>
        <w:spacing w:after="120"/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Quando há incerteza sobre tratamentos 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="00B71051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 sobre o lucro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, esta Interpretação trata:</w:t>
      </w:r>
    </w:p>
    <w:p w:rsidR="00895E21" w:rsidRPr="00D70F3F" w:rsidRDefault="00823060" w:rsidP="00BA09CD">
      <w:pPr>
        <w:pStyle w:val="PargrafodaLista"/>
        <w:numPr>
          <w:ilvl w:val="1"/>
          <w:numId w:val="3"/>
        </w:numPr>
        <w:spacing w:after="120"/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se a entidade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considera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tratamentos fiscais incertos separadamente;</w:t>
      </w:r>
    </w:p>
    <w:p w:rsidR="00895E21" w:rsidRPr="00D70F3F" w:rsidRDefault="00823060" w:rsidP="00BA09CD">
      <w:pPr>
        <w:pStyle w:val="PargrafodaLista"/>
        <w:numPr>
          <w:ilvl w:val="1"/>
          <w:numId w:val="3"/>
        </w:numPr>
        <w:spacing w:after="120"/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as premissas que a entidade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elabora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sobre o exame de tratamentos fiscais por autoridades fiscais;</w:t>
      </w:r>
    </w:p>
    <w:p w:rsidR="00895E21" w:rsidRPr="00D70F3F" w:rsidRDefault="00823060" w:rsidP="00BA09CD">
      <w:pPr>
        <w:pStyle w:val="PargrafodaLista"/>
        <w:numPr>
          <w:ilvl w:val="1"/>
          <w:numId w:val="3"/>
        </w:numPr>
        <w:spacing w:after="120"/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como a entidade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determina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lucro tributável (prejuízo fiscal), base fiscal, prejuízos fiscais não utilizados, créditos fiscais não utilizados e alíquotas fiscais; e</w:t>
      </w:r>
    </w:p>
    <w:p w:rsidR="00895E21" w:rsidRPr="00D70F3F" w:rsidRDefault="00823060" w:rsidP="00BA09CD">
      <w:pPr>
        <w:pStyle w:val="PargrafodaLista"/>
        <w:numPr>
          <w:ilvl w:val="1"/>
          <w:numId w:val="3"/>
        </w:numPr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como a entidade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considera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mudanças em fatos e circunstâncias.</w:t>
      </w:r>
    </w:p>
    <w:p w:rsidR="00895E21" w:rsidRPr="00D70F3F" w:rsidRDefault="00895E21" w:rsidP="00D70F3F">
      <w:pPr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895E21" w:rsidRPr="00BA09CD" w:rsidRDefault="00823060" w:rsidP="009C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_250003"/>
      <w:r w:rsidRPr="00BA09CD">
        <w:rPr>
          <w:rFonts w:ascii="Times New Roman" w:hAnsi="Times New Roman" w:cs="Times New Roman"/>
          <w:b/>
          <w:color w:val="231F20"/>
          <w:sz w:val="24"/>
          <w:szCs w:val="24"/>
        </w:rPr>
        <w:t>Consenso</w:t>
      </w:r>
      <w:bookmarkEnd w:id="4"/>
    </w:p>
    <w:p w:rsidR="00895E21" w:rsidRPr="00D70F3F" w:rsidRDefault="00895E21" w:rsidP="00D70F3F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95E21" w:rsidRPr="00BA09CD" w:rsidRDefault="00823060" w:rsidP="009C7C19">
      <w:pPr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5" w:name="_TOC_250002"/>
      <w:r w:rsidRPr="00BA09CD">
        <w:rPr>
          <w:rFonts w:ascii="Times New Roman" w:hAnsi="Times New Roman" w:cs="Times New Roman"/>
          <w:b/>
          <w:color w:val="231F20"/>
          <w:sz w:val="24"/>
          <w:szCs w:val="24"/>
        </w:rPr>
        <w:t>Se a entidade considera tratamentos fiscais incertos separadamente</w:t>
      </w:r>
      <w:bookmarkEnd w:id="5"/>
    </w:p>
    <w:p w:rsidR="00D70F3F" w:rsidRPr="00D70F3F" w:rsidRDefault="00D70F3F" w:rsidP="00D70F3F">
      <w:pPr>
        <w:pStyle w:val="Heading21"/>
        <w:spacing w:before="0"/>
        <w:ind w:left="19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5E21" w:rsidRPr="00D70F3F" w:rsidRDefault="003A2E12" w:rsidP="009C7C19">
      <w:pPr>
        <w:pStyle w:val="PargrafodaLista"/>
        <w:numPr>
          <w:ilvl w:val="0"/>
          <w:numId w:val="3"/>
        </w:numPr>
        <w:tabs>
          <w:tab w:val="left" w:pos="9214"/>
        </w:tabs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entidade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determinar se deve considerar cada tratamento fiscal incerto separadamente ou em conjunto com um ou mais outros tratamentos fiscais incertos com base na abordagem que melhor estima a resolução da incerteza.  Ao determinar a abordagem que melhor preveja a resolução da incerteza, a entidade pode considerar, por exemplo, (a) como elaborar suas declarações de </w:t>
      </w:r>
      <w:r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="00B71051">
        <w:rPr>
          <w:rFonts w:ascii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sobre o lucro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 dar suporte a tratamentos fiscais; ou (b) como a entidade espera que a autoridade fiscal realize seu exame e resolva questões que podem surgir desse exame.</w:t>
      </w:r>
    </w:p>
    <w:p w:rsidR="00D70F3F" w:rsidRPr="00D70F3F" w:rsidRDefault="00D70F3F" w:rsidP="00D70F3F">
      <w:pPr>
        <w:pStyle w:val="PargrafodaLista"/>
        <w:tabs>
          <w:tab w:val="left" w:pos="1920"/>
        </w:tabs>
        <w:ind w:left="1920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895E21" w:rsidRPr="00D70F3F" w:rsidRDefault="00823060" w:rsidP="009C7C19">
      <w:pPr>
        <w:pStyle w:val="PargrafodaLista"/>
        <w:numPr>
          <w:ilvl w:val="0"/>
          <w:numId w:val="3"/>
        </w:numPr>
        <w:tabs>
          <w:tab w:val="left" w:pos="9214"/>
        </w:tabs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Se, ao aplicar o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item</w:t>
      </w:r>
      <w:r w:rsidR="003A2E12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6, a entidade considerar mais do que um tratamento fiscal incerto em conjunto, a entidade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interpretar as referências a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“tratamento fiscal incerto” nesta Interpretação como referência ao grupo de tratamentos fiscais incertos considerados em conjunto.</w:t>
      </w:r>
    </w:p>
    <w:p w:rsidR="00D70F3F" w:rsidRPr="00D70F3F" w:rsidRDefault="00D70F3F" w:rsidP="00D70F3F">
      <w:pPr>
        <w:tabs>
          <w:tab w:val="left" w:pos="1920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895E21" w:rsidRDefault="00823060" w:rsidP="00BA09CD">
      <w:pPr>
        <w:pStyle w:val="Heading21"/>
        <w:spacing w:before="0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bookmarkStart w:id="6" w:name="_TOC_250001"/>
      <w:r w:rsidRPr="00D70F3F">
        <w:rPr>
          <w:rFonts w:ascii="Times New Roman" w:hAnsi="Times New Roman" w:cs="Times New Roman"/>
          <w:color w:val="231F20"/>
          <w:sz w:val="24"/>
          <w:szCs w:val="24"/>
        </w:rPr>
        <w:t>Exame por autoridades fiscais</w:t>
      </w:r>
      <w:bookmarkEnd w:id="6"/>
    </w:p>
    <w:p w:rsidR="00D70F3F" w:rsidRPr="00D70F3F" w:rsidRDefault="00D70F3F" w:rsidP="00D70F3F">
      <w:pPr>
        <w:pStyle w:val="Heading21"/>
        <w:spacing w:before="0"/>
        <w:ind w:left="19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5E21" w:rsidRPr="00D70F3F" w:rsidRDefault="00823060" w:rsidP="009C7C19">
      <w:pPr>
        <w:pStyle w:val="PargrafodaLista"/>
        <w:numPr>
          <w:ilvl w:val="0"/>
          <w:numId w:val="3"/>
        </w:numPr>
        <w:tabs>
          <w:tab w:val="left" w:pos="9214"/>
        </w:tabs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Ao avaliar se e como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3A2E12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tratamento fiscal incerto afeta a determinação de lucro tributável (prejuízo fiscal), base fiscal, prejuízos fiscais não utilizados, créditos fiscais não utilizados e alíquotas fiscais, a entidade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assumir que a autoridade fiscal examinará os valores que tem direito de examinar e tenha pleno conhecimento de todas as informações relacionadas ao realizar esses exames.</w:t>
      </w:r>
    </w:p>
    <w:p w:rsidR="00895E21" w:rsidRPr="00D70F3F" w:rsidRDefault="009C7C19" w:rsidP="009C7C19">
      <w:pPr>
        <w:tabs>
          <w:tab w:val="left" w:pos="3293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ab/>
      </w:r>
    </w:p>
    <w:p w:rsidR="00895E21" w:rsidRPr="009C7C19" w:rsidRDefault="00823060" w:rsidP="009C7C19">
      <w:pPr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C7C19">
        <w:rPr>
          <w:rFonts w:ascii="Times New Roman" w:hAnsi="Times New Roman" w:cs="Times New Roman"/>
          <w:b/>
          <w:color w:val="231F20"/>
          <w:sz w:val="24"/>
          <w:szCs w:val="24"/>
        </w:rPr>
        <w:t>Determinação de lucro tributável (prejuízo fiscal), base fiscal, prejuízos fiscais não utilizados, créditos fiscais não utilizados e alíquotas fiscais</w:t>
      </w:r>
    </w:p>
    <w:p w:rsidR="00D70F3F" w:rsidRPr="00D70F3F" w:rsidRDefault="00D70F3F" w:rsidP="00D70F3F">
      <w:pPr>
        <w:pStyle w:val="Heading21"/>
        <w:spacing w:before="0"/>
        <w:ind w:left="19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5E21" w:rsidRPr="00D70F3F" w:rsidRDefault="005B7CC1" w:rsidP="009C7C19">
      <w:pPr>
        <w:pStyle w:val="PargrafodaLista"/>
        <w:numPr>
          <w:ilvl w:val="0"/>
          <w:numId w:val="3"/>
        </w:numPr>
        <w:tabs>
          <w:tab w:val="left" w:pos="9214"/>
        </w:tabs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entidade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considerar </w:t>
      </w:r>
      <w:r w:rsidR="009511B2">
        <w:rPr>
          <w:rFonts w:ascii="Times New Roman" w:hAnsi="Times New Roman" w:cs="Times New Roman"/>
          <w:color w:val="231F20"/>
          <w:sz w:val="24"/>
          <w:szCs w:val="24"/>
        </w:rPr>
        <w:t>se é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511B2">
        <w:rPr>
          <w:rFonts w:ascii="Times New Roman" w:hAnsi="Times New Roman" w:cs="Times New Roman"/>
          <w:color w:val="231F20"/>
          <w:sz w:val="24"/>
          <w:szCs w:val="24"/>
        </w:rPr>
        <w:t>provável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511B2">
        <w:rPr>
          <w:rFonts w:ascii="Times New Roman" w:hAnsi="Times New Roman" w:cs="Times New Roman"/>
          <w:color w:val="231F20"/>
          <w:sz w:val="24"/>
          <w:szCs w:val="24"/>
        </w:rPr>
        <w:t>que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a autoridade fiscal </w:t>
      </w:r>
      <w:proofErr w:type="gramStart"/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>aceitar</w:t>
      </w:r>
      <w:r w:rsidR="009511B2">
        <w:rPr>
          <w:rFonts w:ascii="Times New Roman" w:hAnsi="Times New Roman" w:cs="Times New Roman"/>
          <w:color w:val="231F20"/>
          <w:sz w:val="24"/>
          <w:szCs w:val="24"/>
        </w:rPr>
        <w:t>á</w:t>
      </w:r>
      <w:proofErr w:type="gramEnd"/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>tratamento fiscal incerto.</w:t>
      </w:r>
    </w:p>
    <w:p w:rsidR="009C7C19" w:rsidRPr="009C7C19" w:rsidRDefault="009C7C19" w:rsidP="009C7C19">
      <w:pPr>
        <w:pStyle w:val="PargrafodaLista"/>
        <w:tabs>
          <w:tab w:val="left" w:pos="9214"/>
        </w:tabs>
        <w:ind w:left="567"/>
        <w:jc w:val="right"/>
        <w:rPr>
          <w:rFonts w:ascii="Times New Roman" w:eastAsia="Garamond" w:hAnsi="Times New Roman" w:cs="Times New Roman"/>
          <w:sz w:val="24"/>
          <w:szCs w:val="24"/>
        </w:rPr>
      </w:pPr>
    </w:p>
    <w:p w:rsidR="00895E21" w:rsidRPr="00D70F3F" w:rsidRDefault="00823060" w:rsidP="009C7C19">
      <w:pPr>
        <w:pStyle w:val="PargrafodaLista"/>
        <w:numPr>
          <w:ilvl w:val="0"/>
          <w:numId w:val="3"/>
        </w:numPr>
        <w:tabs>
          <w:tab w:val="left" w:pos="9214"/>
        </w:tabs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Se a entidade concluir que é provável que a autoridade fiscal </w:t>
      </w:r>
      <w:proofErr w:type="gramStart"/>
      <w:r w:rsidRPr="00D70F3F">
        <w:rPr>
          <w:rFonts w:ascii="Times New Roman" w:hAnsi="Times New Roman" w:cs="Times New Roman"/>
          <w:color w:val="231F20"/>
          <w:sz w:val="24"/>
          <w:szCs w:val="24"/>
        </w:rPr>
        <w:t>aceitará</w:t>
      </w:r>
      <w:proofErr w:type="gramEnd"/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5B7CC1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tratamento fiscal incerto, a entidade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determinar o lucro tributável (prejuízo fiscal), base fiscal, prejuízos fiscais não utilizados, créditos fiscais não utilizados ou alíquotas fiscais consistentemente com o tratamento fiscal utilizado ou planejado para ser utilizado em sua declaração 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="00B71051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 sobre o lucro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70F3F" w:rsidRPr="00D70F3F" w:rsidRDefault="00D70F3F" w:rsidP="00D70F3F">
      <w:pPr>
        <w:tabs>
          <w:tab w:val="left" w:pos="1920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895E21" w:rsidRPr="009C7C19" w:rsidRDefault="00823060" w:rsidP="009C7C19">
      <w:pPr>
        <w:pStyle w:val="PargrafodaLista"/>
        <w:numPr>
          <w:ilvl w:val="0"/>
          <w:numId w:val="3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color w:val="231F20"/>
          <w:sz w:val="24"/>
          <w:szCs w:val="24"/>
        </w:rPr>
        <w:t>Se a entidade conclui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9C7C19">
        <w:rPr>
          <w:rFonts w:ascii="Times New Roman" w:hAnsi="Times New Roman" w:cs="Times New Roman"/>
          <w:color w:val="231F20"/>
          <w:sz w:val="24"/>
          <w:szCs w:val="24"/>
        </w:rPr>
        <w:t xml:space="preserve"> que não é provável que a autoridade fiscal aceitará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5B7CC1" w:rsidRPr="009C7C1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C7C19">
        <w:rPr>
          <w:rFonts w:ascii="Times New Roman" w:hAnsi="Times New Roman" w:cs="Times New Roman"/>
          <w:color w:val="231F20"/>
          <w:sz w:val="24"/>
          <w:szCs w:val="24"/>
        </w:rPr>
        <w:t xml:space="preserve">tratamento fiscal incerto, a entidade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9C7C19">
        <w:rPr>
          <w:rFonts w:ascii="Times New Roman" w:hAnsi="Times New Roman" w:cs="Times New Roman"/>
          <w:color w:val="231F20"/>
          <w:sz w:val="24"/>
          <w:szCs w:val="24"/>
        </w:rPr>
        <w:t xml:space="preserve">refletir o efeito da incerteza na determinação do respectivo lucro tributável (prejuízo fiscal), base fiscal, prejuízos fiscais não utilizados, créditos fiscais não utilizados e alíquotas fiscais.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9C7C19">
        <w:rPr>
          <w:rFonts w:ascii="Times New Roman" w:hAnsi="Times New Roman" w:cs="Times New Roman"/>
          <w:color w:val="231F20"/>
          <w:sz w:val="24"/>
          <w:szCs w:val="24"/>
        </w:rPr>
        <w:t xml:space="preserve"> entidade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9C7C19">
        <w:rPr>
          <w:rFonts w:ascii="Times New Roman" w:hAnsi="Times New Roman" w:cs="Times New Roman"/>
          <w:color w:val="231F20"/>
          <w:sz w:val="24"/>
          <w:szCs w:val="24"/>
        </w:rPr>
        <w:t>refletir o efeito da incerteza para cada tratamento fiscal incerto utilizando um dos seguintes métodos, dependendo de qual método a entidade espera que forneça a melhor previsão da resolução da incerteza:</w:t>
      </w:r>
    </w:p>
    <w:p w:rsidR="00895E21" w:rsidRPr="00D70F3F" w:rsidRDefault="00823060" w:rsidP="009C7C19">
      <w:pPr>
        <w:pStyle w:val="PargrafodaLista"/>
        <w:numPr>
          <w:ilvl w:val="1"/>
          <w:numId w:val="3"/>
        </w:numPr>
        <w:spacing w:after="120"/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o valor mais provável – o único valor mais provável em um con</w:t>
      </w:r>
      <w:r w:rsidR="00BB0ED6">
        <w:rPr>
          <w:rFonts w:ascii="Times New Roman" w:hAnsi="Times New Roman" w:cs="Times New Roman"/>
          <w:color w:val="231F20"/>
          <w:sz w:val="24"/>
          <w:szCs w:val="24"/>
        </w:rPr>
        <w:t xml:space="preserve">junto de resultados possíveis.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O valor mais provável pode fornecer a melhor previsão da resolução da incerteza se os resultados possíveis forem binários ou estiverem concentrados em um valor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895E21" w:rsidRPr="00D70F3F" w:rsidRDefault="00823060" w:rsidP="009C7C19">
      <w:pPr>
        <w:pStyle w:val="PargrafodaLista"/>
        <w:numPr>
          <w:ilvl w:val="1"/>
          <w:numId w:val="3"/>
        </w:numPr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o valor esperado – a soma de valores de probabilidade ponderada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faixa de resultados possíveis.   O valor esperado pode fornecer a melhor previsão da resolução da incerteza se houver um conjunto de resultados possíveis que não são nem binários nem concentrados em um valor.</w:t>
      </w:r>
    </w:p>
    <w:p w:rsidR="00D70F3F" w:rsidRPr="00D70F3F" w:rsidRDefault="00D70F3F" w:rsidP="00D70F3F">
      <w:pPr>
        <w:pStyle w:val="PargrafodaLista"/>
        <w:tabs>
          <w:tab w:val="left" w:pos="1977"/>
        </w:tabs>
        <w:ind w:left="1976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895E21" w:rsidRPr="00D70F3F" w:rsidRDefault="00823060" w:rsidP="009C7C19">
      <w:pPr>
        <w:pStyle w:val="PargrafodaLista"/>
        <w:numPr>
          <w:ilvl w:val="0"/>
          <w:numId w:val="3"/>
        </w:numPr>
        <w:tabs>
          <w:tab w:val="left" w:pos="9214"/>
        </w:tabs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Se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5B7CC1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tratamento fiscal incerto afeta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o </w:t>
      </w:r>
      <w:r w:rsidR="00DC725A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corrente e diferido (por exemplo, se afeta tanto o lucro tributável utilizado para determinar o </w:t>
      </w:r>
      <w:r w:rsidR="00DC725A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corrente como as bases fiscais utilizadas para determinar o </w:t>
      </w:r>
      <w:r w:rsidR="00DC725A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diferido), a entidade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fa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zer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julgamentos e estimativas consistentes tanto para </w:t>
      </w:r>
      <w:r w:rsidR="00DC725A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corrente como para </w:t>
      </w:r>
      <w:r w:rsidR="00DC725A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diferido.</w:t>
      </w:r>
    </w:p>
    <w:p w:rsidR="00D70F3F" w:rsidRPr="00D70F3F" w:rsidRDefault="00FF29DF" w:rsidP="00FF29DF">
      <w:pPr>
        <w:pStyle w:val="PargrafodaLista"/>
        <w:tabs>
          <w:tab w:val="left" w:pos="1410"/>
          <w:tab w:val="left" w:pos="3306"/>
        </w:tabs>
        <w:ind w:left="1409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ab/>
      </w:r>
      <w:r>
        <w:rPr>
          <w:rFonts w:ascii="Times New Roman" w:eastAsia="Garamond" w:hAnsi="Times New Roman" w:cs="Times New Roman"/>
          <w:sz w:val="24"/>
          <w:szCs w:val="24"/>
        </w:rPr>
        <w:tab/>
      </w:r>
    </w:p>
    <w:p w:rsidR="00895E21" w:rsidRPr="009C7C19" w:rsidRDefault="00823060" w:rsidP="009C7C19">
      <w:pPr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7" w:name="_TOC_250000"/>
      <w:r w:rsidRPr="009C7C19">
        <w:rPr>
          <w:rFonts w:ascii="Times New Roman" w:hAnsi="Times New Roman" w:cs="Times New Roman"/>
          <w:b/>
          <w:color w:val="231F20"/>
          <w:sz w:val="24"/>
          <w:szCs w:val="24"/>
        </w:rPr>
        <w:t>Mudanças em fatos e circunstâncias</w:t>
      </w:r>
      <w:bookmarkEnd w:id="7"/>
    </w:p>
    <w:p w:rsidR="00D70F3F" w:rsidRPr="00D70F3F" w:rsidRDefault="00D70F3F" w:rsidP="00D70F3F">
      <w:pPr>
        <w:pStyle w:val="Heading21"/>
        <w:spacing w:before="0"/>
        <w:ind w:left="14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5E21" w:rsidRPr="00D70F3F" w:rsidRDefault="005B7CC1" w:rsidP="009C7C19">
      <w:pPr>
        <w:pStyle w:val="PargrafodaLista"/>
        <w:numPr>
          <w:ilvl w:val="0"/>
          <w:numId w:val="3"/>
        </w:numPr>
        <w:tabs>
          <w:tab w:val="left" w:pos="9214"/>
        </w:tabs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entidade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reavaliar </w:t>
      </w:r>
      <w:r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julgamento ou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estimativa requerida por esta Interpretação se os fatos e circunstâncias sobre os quais se baseiam o julgamento ou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estimativa mudarem ou como resultado de novas informações que afetam o julgamento ou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estimativa. Por exemplo, 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>mudança em fatos e circunstâncias pode mudar as conclusões d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entidade sobre a aceitabilidade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>tratamento fiscal ou a estimativa d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entidade do efeito d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incerteza, ou ambos. Os </w:t>
      </w:r>
      <w:r w:rsidR="00BB0ED6">
        <w:rPr>
          <w:rFonts w:ascii="Times New Roman" w:hAnsi="Times New Roman" w:cs="Times New Roman"/>
          <w:color w:val="231F20"/>
          <w:sz w:val="24"/>
          <w:szCs w:val="24"/>
        </w:rPr>
        <w:t>itens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A1</w:t>
      </w:r>
      <w:r w:rsidR="00BB0ED6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r w:rsidR="00823060" w:rsidRPr="00D70F3F">
        <w:rPr>
          <w:rFonts w:ascii="Times New Roman" w:hAnsi="Times New Roman" w:cs="Times New Roman"/>
          <w:color w:val="231F20"/>
          <w:sz w:val="24"/>
          <w:szCs w:val="24"/>
        </w:rPr>
        <w:t>A3 estabelecem orientação sobre mudanças em fatos e circunstâncias.</w:t>
      </w:r>
    </w:p>
    <w:p w:rsidR="00D70F3F" w:rsidRPr="00D70F3F" w:rsidRDefault="00D70F3F" w:rsidP="00D70F3F">
      <w:pPr>
        <w:pStyle w:val="PargrafodaLista"/>
        <w:tabs>
          <w:tab w:val="left" w:pos="1410"/>
        </w:tabs>
        <w:ind w:left="1409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895E21" w:rsidRPr="00BB0ED6" w:rsidRDefault="005B7CC1" w:rsidP="00D70F3F">
      <w:pPr>
        <w:pStyle w:val="PargrafodaLista"/>
        <w:numPr>
          <w:ilvl w:val="0"/>
          <w:numId w:val="3"/>
        </w:numPr>
        <w:tabs>
          <w:tab w:val="left" w:pos="9214"/>
        </w:tabs>
        <w:ind w:left="567" w:hanging="567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823060" w:rsidRPr="00BB0ED6">
        <w:rPr>
          <w:rFonts w:ascii="Times New Roman" w:hAnsi="Times New Roman" w:cs="Times New Roman"/>
          <w:color w:val="231F20"/>
          <w:sz w:val="24"/>
          <w:szCs w:val="24"/>
        </w:rPr>
        <w:t xml:space="preserve"> entidade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="00823060" w:rsidRPr="00BB0ED6">
        <w:rPr>
          <w:rFonts w:ascii="Times New Roman" w:hAnsi="Times New Roman" w:cs="Times New Roman"/>
          <w:color w:val="231F20"/>
          <w:sz w:val="24"/>
          <w:szCs w:val="24"/>
        </w:rPr>
        <w:t>refletir o efeito d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823060" w:rsidRPr="00BB0ED6">
        <w:rPr>
          <w:rFonts w:ascii="Times New Roman" w:hAnsi="Times New Roman" w:cs="Times New Roman"/>
          <w:color w:val="231F20"/>
          <w:sz w:val="24"/>
          <w:szCs w:val="24"/>
        </w:rPr>
        <w:t xml:space="preserve"> mudança em fatos e circunstâncias ou de novas informações como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="00823060" w:rsidRPr="00BB0ED6">
        <w:rPr>
          <w:rFonts w:ascii="Times New Roman" w:hAnsi="Times New Roman" w:cs="Times New Roman"/>
          <w:color w:val="231F20"/>
          <w:sz w:val="24"/>
          <w:szCs w:val="24"/>
        </w:rPr>
        <w:t>mudança na estimativa contábil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823060" w:rsidRPr="00BB0ED6">
        <w:rPr>
          <w:rFonts w:ascii="Times New Roman" w:hAnsi="Times New Roman" w:cs="Times New Roman"/>
          <w:color w:val="231F20"/>
          <w:sz w:val="24"/>
          <w:szCs w:val="24"/>
        </w:rPr>
        <w:t xml:space="preserve"> aplicando </w:t>
      </w:r>
      <w:r>
        <w:rPr>
          <w:rFonts w:ascii="Times New Roman" w:hAnsi="Times New Roman" w:cs="Times New Roman"/>
          <w:color w:val="231F20"/>
          <w:sz w:val="24"/>
          <w:szCs w:val="24"/>
        </w:rPr>
        <w:t>o CPC 23</w:t>
      </w:r>
      <w:r w:rsidR="008E1DDF">
        <w:rPr>
          <w:rFonts w:ascii="Times New Roman" w:hAnsi="Times New Roman" w:cs="Times New Roman"/>
          <w:color w:val="231F20"/>
          <w:sz w:val="24"/>
          <w:szCs w:val="24"/>
        </w:rPr>
        <w:t xml:space="preserve"> – Políticas Contábeis, Mudança de Estimativa e Retificação de Erro</w:t>
      </w:r>
      <w:r w:rsidR="00823060" w:rsidRPr="00BB0ED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BB0E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23060" w:rsidRPr="00BB0ED6">
        <w:rPr>
          <w:rFonts w:ascii="Times New Roman" w:hAnsi="Times New Roman" w:cs="Times New Roman"/>
          <w:color w:val="231F20"/>
          <w:sz w:val="24"/>
          <w:szCs w:val="24"/>
        </w:rPr>
        <w:t xml:space="preserve">entidade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="00823060" w:rsidRPr="00BB0ED6">
        <w:rPr>
          <w:rFonts w:ascii="Times New Roman" w:hAnsi="Times New Roman" w:cs="Times New Roman"/>
          <w:color w:val="231F20"/>
          <w:sz w:val="24"/>
          <w:szCs w:val="24"/>
        </w:rPr>
        <w:t xml:space="preserve">aplicar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o </w:t>
      </w:r>
      <w:r w:rsidRPr="008E1DDF">
        <w:rPr>
          <w:rFonts w:ascii="Times New Roman" w:hAnsi="Times New Roman" w:cs="Times New Roman"/>
          <w:color w:val="231F20"/>
          <w:sz w:val="24"/>
          <w:szCs w:val="24"/>
        </w:rPr>
        <w:t>CP</w:t>
      </w:r>
      <w:r w:rsidR="004F0906" w:rsidRPr="008E1DDF">
        <w:rPr>
          <w:rFonts w:ascii="Times New Roman" w:hAnsi="Times New Roman" w:cs="Times New Roman"/>
          <w:color w:val="231F20"/>
          <w:sz w:val="24"/>
          <w:szCs w:val="24"/>
        </w:rPr>
        <w:t>C</w:t>
      </w:r>
      <w:r w:rsidRPr="008E1DDF">
        <w:rPr>
          <w:rFonts w:ascii="Times New Roman" w:hAnsi="Times New Roman" w:cs="Times New Roman"/>
          <w:color w:val="231F20"/>
          <w:sz w:val="24"/>
          <w:szCs w:val="24"/>
        </w:rPr>
        <w:t xml:space="preserve"> 24</w:t>
      </w:r>
      <w:r w:rsidR="008E1DDF" w:rsidRPr="008E1DDF">
        <w:rPr>
          <w:rFonts w:ascii="Times New Roman" w:hAnsi="Times New Roman" w:cs="Times New Roman"/>
          <w:color w:val="231F20"/>
          <w:sz w:val="24"/>
          <w:szCs w:val="24"/>
        </w:rPr>
        <w:t xml:space="preserve"> –</w:t>
      </w:r>
      <w:r w:rsidR="008E1DDF">
        <w:rPr>
          <w:rFonts w:ascii="Times New Roman" w:hAnsi="Times New Roman" w:cs="Times New Roman"/>
          <w:color w:val="231F20"/>
          <w:sz w:val="24"/>
          <w:szCs w:val="24"/>
        </w:rPr>
        <w:t xml:space="preserve"> Evento Subsequente</w:t>
      </w:r>
      <w:r w:rsidR="00823060" w:rsidRPr="00BB0ED6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="00823060" w:rsidRPr="00BB0ED6">
        <w:rPr>
          <w:rFonts w:ascii="Times New Roman" w:hAnsi="Times New Roman" w:cs="Times New Roman"/>
          <w:color w:val="231F20"/>
          <w:sz w:val="24"/>
          <w:szCs w:val="24"/>
        </w:rPr>
        <w:t>para determinar se a mudança que ocorre</w:t>
      </w:r>
      <w:r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="00823060" w:rsidRPr="00BB0ED6">
        <w:rPr>
          <w:rFonts w:ascii="Times New Roman" w:hAnsi="Times New Roman" w:cs="Times New Roman"/>
          <w:color w:val="231F20"/>
          <w:sz w:val="24"/>
          <w:szCs w:val="24"/>
        </w:rPr>
        <w:t xml:space="preserve"> após o período de relatório é evento que requer ajustes ou que não requer ajustes.</w:t>
      </w:r>
    </w:p>
    <w:p w:rsidR="00BB0ED6" w:rsidRPr="008E1DDF" w:rsidRDefault="00BB0ED6" w:rsidP="00BB0ED6">
      <w:pPr>
        <w:pStyle w:val="PargrafodaLista"/>
        <w:rPr>
          <w:rFonts w:ascii="Times New Roman" w:hAnsi="Times New Roman" w:cs="Times New Roman"/>
          <w:color w:val="231F20"/>
          <w:sz w:val="24"/>
          <w:szCs w:val="24"/>
        </w:rPr>
      </w:pPr>
    </w:p>
    <w:p w:rsidR="00BB0ED6" w:rsidRPr="00BB0ED6" w:rsidRDefault="00BB0ED6" w:rsidP="00BB0ED6">
      <w:pPr>
        <w:pStyle w:val="PargrafodaLista"/>
        <w:tabs>
          <w:tab w:val="left" w:pos="9214"/>
        </w:tabs>
        <w:ind w:left="567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895E21" w:rsidRPr="009C7C19" w:rsidRDefault="00823060" w:rsidP="009C7C19">
      <w:pPr>
        <w:jc w:val="both"/>
        <w:rPr>
          <w:rFonts w:ascii="Times New Roman" w:hAnsi="Times New Roman" w:cs="Times New Roman"/>
          <w:b/>
          <w:color w:val="231F20"/>
        </w:rPr>
      </w:pPr>
      <w:r w:rsidRPr="009C7C19">
        <w:rPr>
          <w:rFonts w:ascii="Times New Roman" w:hAnsi="Times New Roman" w:cs="Times New Roman"/>
          <w:b/>
          <w:color w:val="231F20"/>
        </w:rPr>
        <w:t xml:space="preserve">Apêndice A </w:t>
      </w:r>
      <w:r w:rsidR="00FF29DF">
        <w:rPr>
          <w:rFonts w:ascii="Times New Roman" w:hAnsi="Times New Roman" w:cs="Times New Roman"/>
          <w:b/>
          <w:color w:val="231F20"/>
        </w:rPr>
        <w:t xml:space="preserve">– </w:t>
      </w:r>
      <w:r w:rsidRPr="009C7C19">
        <w:rPr>
          <w:rFonts w:ascii="Times New Roman" w:hAnsi="Times New Roman" w:cs="Times New Roman"/>
          <w:b/>
          <w:color w:val="231F20"/>
        </w:rPr>
        <w:t xml:space="preserve">Orientação de </w:t>
      </w:r>
      <w:r w:rsidR="00FF29DF">
        <w:rPr>
          <w:rFonts w:ascii="Times New Roman" w:hAnsi="Times New Roman" w:cs="Times New Roman"/>
          <w:b/>
          <w:color w:val="231F20"/>
        </w:rPr>
        <w:t>a</w:t>
      </w:r>
      <w:r w:rsidRPr="009C7C19">
        <w:rPr>
          <w:rFonts w:ascii="Times New Roman" w:hAnsi="Times New Roman" w:cs="Times New Roman"/>
          <w:b/>
          <w:color w:val="231F20"/>
        </w:rPr>
        <w:t>plicação</w:t>
      </w:r>
    </w:p>
    <w:p w:rsidR="009C7C19" w:rsidRPr="00D70F3F" w:rsidRDefault="009C7C19" w:rsidP="00D70F3F">
      <w:pPr>
        <w:pStyle w:val="Heading11"/>
        <w:spacing w:before="0"/>
        <w:jc w:val="both"/>
        <w:rPr>
          <w:rFonts w:ascii="Times New Roman" w:hAnsi="Times New Roman" w:cs="Times New Roman"/>
          <w:b w:val="0"/>
          <w:bCs w:val="0"/>
        </w:rPr>
      </w:pPr>
    </w:p>
    <w:p w:rsidR="00895E21" w:rsidRDefault="00823060" w:rsidP="009C7C19">
      <w:pPr>
        <w:pStyle w:val="Heading31"/>
        <w:spacing w:before="0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Este Apêndice faz parte integrante </w:t>
      </w:r>
      <w:r w:rsidR="00D664C7" w:rsidRPr="00D70F3F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="00D664C7">
        <w:rPr>
          <w:rFonts w:ascii="Times New Roman" w:hAnsi="Times New Roman" w:cs="Times New Roman"/>
          <w:color w:val="231F20"/>
          <w:sz w:val="24"/>
          <w:szCs w:val="24"/>
        </w:rPr>
        <w:t>est</w:t>
      </w:r>
      <w:r w:rsidR="00D664C7" w:rsidRPr="00D70F3F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D664C7">
        <w:rPr>
          <w:rFonts w:ascii="Times New Roman" w:hAnsi="Times New Roman" w:cs="Times New Roman"/>
          <w:color w:val="231F20"/>
          <w:sz w:val="24"/>
          <w:szCs w:val="24"/>
        </w:rPr>
        <w:t xml:space="preserve"> Interpretação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 tem a mesma importância que as outras partes d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est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Interpretação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C7C19" w:rsidRPr="00D70F3F" w:rsidRDefault="009C7C19" w:rsidP="00D70F3F">
      <w:pPr>
        <w:pStyle w:val="Heading31"/>
        <w:spacing w:before="0"/>
        <w:ind w:left="106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95E21" w:rsidRPr="00D70F3F" w:rsidRDefault="00823060" w:rsidP="009C7C1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b/>
          <w:color w:val="231F20"/>
          <w:sz w:val="24"/>
          <w:szCs w:val="24"/>
        </w:rPr>
        <w:t>Mudanças em fatos e circunstâncias (</w:t>
      </w:r>
      <w:r w:rsidR="005B7CC1">
        <w:rPr>
          <w:rFonts w:ascii="Times New Roman" w:hAnsi="Times New Roman" w:cs="Times New Roman"/>
          <w:b/>
          <w:color w:val="231F20"/>
          <w:sz w:val="24"/>
          <w:szCs w:val="24"/>
        </w:rPr>
        <w:t>item</w:t>
      </w:r>
      <w:r w:rsidR="005B7CC1" w:rsidRPr="00D70F3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b/>
          <w:color w:val="231F20"/>
          <w:sz w:val="24"/>
          <w:szCs w:val="24"/>
        </w:rPr>
        <w:t>13)</w:t>
      </w:r>
    </w:p>
    <w:p w:rsidR="00895E21" w:rsidRPr="00D70F3F" w:rsidRDefault="00895E21" w:rsidP="00D70F3F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95E21" w:rsidRDefault="00823060" w:rsidP="009C7C19">
      <w:pPr>
        <w:pStyle w:val="Corpodetexto"/>
        <w:spacing w:before="0"/>
        <w:ind w:left="567" w:hanging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A1</w:t>
      </w:r>
      <w:r w:rsidR="009C7C1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Ao aplicar o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item</w:t>
      </w:r>
      <w:r w:rsidR="005B7CC1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13,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entidade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avaliar a relevância e o efeito d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mudança em fatos e circunstâncias ou de novas informações no context</w:t>
      </w:r>
      <w:r w:rsidR="009C7C19">
        <w:rPr>
          <w:rFonts w:ascii="Times New Roman" w:hAnsi="Times New Roman" w:cs="Times New Roman"/>
          <w:color w:val="231F20"/>
          <w:sz w:val="24"/>
          <w:szCs w:val="24"/>
        </w:rPr>
        <w:t xml:space="preserve">o de leis fiscais aplicáveis.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Por exemplo, um evento específico pode resultar na reavaliação d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julgamento ou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 xml:space="preserve">da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estimativa feitos para um tratamento fiscal, mas não para outro, se esses tratamentos fiscais estiverem sujeitos a diferentes leis fiscais.</w:t>
      </w:r>
    </w:p>
    <w:p w:rsidR="00D70F3F" w:rsidRPr="00D70F3F" w:rsidRDefault="00D70F3F" w:rsidP="00D70F3F">
      <w:pPr>
        <w:pStyle w:val="Corpodetexto"/>
        <w:tabs>
          <w:tab w:val="left" w:pos="1919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895E21" w:rsidRPr="00D70F3F" w:rsidRDefault="00823060" w:rsidP="009C7C19">
      <w:pPr>
        <w:pStyle w:val="Corpodetexto"/>
        <w:spacing w:before="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A2</w:t>
      </w:r>
      <w:r w:rsidR="009C7C1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Os exemplos abaixo de mudanças em fatos e circunstâncias ou </w:t>
      </w:r>
      <w:r w:rsidR="00C61298">
        <w:rPr>
          <w:rFonts w:ascii="Times New Roman" w:hAnsi="Times New Roman" w:cs="Times New Roman"/>
          <w:color w:val="231F20"/>
          <w:sz w:val="24"/>
          <w:szCs w:val="24"/>
        </w:rPr>
        <w:t xml:space="preserve">de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novas informações que, dependendo das circunstâncias, podem resultar na reavaliação d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julgamento ou </w:t>
      </w:r>
      <w:r w:rsidR="005B7CC1">
        <w:rPr>
          <w:rFonts w:ascii="Times New Roman" w:hAnsi="Times New Roman" w:cs="Times New Roman"/>
          <w:color w:val="231F20"/>
          <w:sz w:val="24"/>
          <w:szCs w:val="24"/>
        </w:rPr>
        <w:t xml:space="preserve">da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estimativa requerida por esta Interpretação incluem, </w:t>
      </w:r>
      <w:r w:rsidR="00C61298">
        <w:rPr>
          <w:rFonts w:ascii="Times New Roman" w:hAnsi="Times New Roman" w:cs="Times New Roman"/>
          <w:color w:val="231F20"/>
          <w:sz w:val="24"/>
          <w:szCs w:val="24"/>
        </w:rPr>
        <w:t xml:space="preserve">mas não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se </w:t>
      </w:r>
      <w:proofErr w:type="gramStart"/>
      <w:r w:rsidRPr="00D70F3F">
        <w:rPr>
          <w:rFonts w:ascii="Times New Roman" w:hAnsi="Times New Roman" w:cs="Times New Roman"/>
          <w:color w:val="231F20"/>
          <w:sz w:val="24"/>
          <w:szCs w:val="24"/>
        </w:rPr>
        <w:t>limita</w:t>
      </w:r>
      <w:r w:rsidR="00C61298">
        <w:rPr>
          <w:rFonts w:ascii="Times New Roman" w:hAnsi="Times New Roman" w:cs="Times New Roman"/>
          <w:color w:val="231F20"/>
          <w:sz w:val="24"/>
          <w:szCs w:val="24"/>
        </w:rPr>
        <w:t>m,</w:t>
      </w:r>
      <w:proofErr w:type="gramEnd"/>
      <w:r w:rsidR="00C61298">
        <w:rPr>
          <w:rFonts w:ascii="Times New Roman" w:hAnsi="Times New Roman" w:cs="Times New Roman"/>
          <w:color w:val="231F20"/>
          <w:sz w:val="24"/>
          <w:szCs w:val="24"/>
        </w:rPr>
        <w:t xml:space="preserve"> as seguintes situações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895E21" w:rsidRPr="00D70F3F" w:rsidRDefault="00823060" w:rsidP="008E1DDF">
      <w:pPr>
        <w:pStyle w:val="PargrafodaLista"/>
        <w:numPr>
          <w:ilvl w:val="1"/>
          <w:numId w:val="5"/>
        </w:numPr>
        <w:spacing w:after="120"/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exames ou ações por autoridade fiscal. Por exemplo:</w:t>
      </w:r>
    </w:p>
    <w:p w:rsidR="00895E21" w:rsidRPr="00D70F3F" w:rsidRDefault="00823060" w:rsidP="008E1DDF">
      <w:pPr>
        <w:pStyle w:val="PargrafodaLista"/>
        <w:numPr>
          <w:ilvl w:val="2"/>
          <w:numId w:val="5"/>
        </w:numPr>
        <w:spacing w:after="120"/>
        <w:ind w:left="1418" w:hanging="42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concordância ou discordância pela autoridade fiscal do tratamento fiscal ou de tratamento fiscal similar utilizado pela entidade;</w:t>
      </w:r>
    </w:p>
    <w:p w:rsidR="00895E21" w:rsidRPr="00D70F3F" w:rsidRDefault="00823060" w:rsidP="008E1DDF">
      <w:pPr>
        <w:pStyle w:val="PargrafodaLista"/>
        <w:numPr>
          <w:ilvl w:val="2"/>
          <w:numId w:val="5"/>
        </w:numPr>
        <w:spacing w:after="120"/>
        <w:ind w:left="1418" w:hanging="42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informações com as quais a autoridade fiscal concordou ou discordou em relação a tratamento fiscal similar utilizado por outra entidade; e</w:t>
      </w:r>
    </w:p>
    <w:p w:rsidR="00895E21" w:rsidRPr="00D70F3F" w:rsidRDefault="00823060" w:rsidP="008E1DDF">
      <w:pPr>
        <w:pStyle w:val="PargrafodaLista"/>
        <w:numPr>
          <w:ilvl w:val="2"/>
          <w:numId w:val="5"/>
        </w:numPr>
        <w:spacing w:after="120"/>
        <w:ind w:left="1418" w:hanging="42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informações sobre o valor recebido ou pago para liquidar um tratamento fiscal similar</w:t>
      </w:r>
      <w:r w:rsidR="009C7C19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895E21" w:rsidRPr="00D70F3F" w:rsidRDefault="00823060" w:rsidP="008E1DDF">
      <w:pPr>
        <w:pStyle w:val="PargrafodaLista"/>
        <w:numPr>
          <w:ilvl w:val="1"/>
          <w:numId w:val="5"/>
        </w:numPr>
        <w:spacing w:after="120"/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mudanças em regras estabelecidas p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ela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autoridade fiscal</w:t>
      </w:r>
      <w:r w:rsidR="009C7C19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895E21" w:rsidRPr="00D70F3F" w:rsidRDefault="00823060" w:rsidP="008E1DDF">
      <w:pPr>
        <w:pStyle w:val="PargrafodaLista"/>
        <w:numPr>
          <w:ilvl w:val="1"/>
          <w:numId w:val="5"/>
        </w:numPr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gramStart"/>
      <w:r w:rsidRPr="00D70F3F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gramEnd"/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extinção d</w:t>
      </w:r>
      <w:r w:rsidR="00C61298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direito de a autoridade fiscal examinar ou reexaminar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984ADA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tratamento fiscal.</w:t>
      </w:r>
    </w:p>
    <w:p w:rsidR="00D70F3F" w:rsidRPr="009C7C19" w:rsidRDefault="00D70F3F" w:rsidP="009C7C19">
      <w:pPr>
        <w:tabs>
          <w:tab w:val="left" w:pos="2487"/>
        </w:tabs>
        <w:rPr>
          <w:rFonts w:ascii="Times New Roman" w:eastAsia="Garamond" w:hAnsi="Times New Roman" w:cs="Times New Roman"/>
          <w:sz w:val="24"/>
          <w:szCs w:val="24"/>
        </w:rPr>
      </w:pPr>
    </w:p>
    <w:p w:rsidR="00895E21" w:rsidRDefault="00823060" w:rsidP="009C7C19">
      <w:pPr>
        <w:pStyle w:val="Corpodetexto"/>
        <w:spacing w:before="0"/>
        <w:ind w:left="567" w:hanging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A3</w:t>
      </w:r>
      <w:r w:rsidR="009C7C1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ab/>
        <w:t>É improvável que a ausência de concordância ou discordância com tratamento fiscal por autoridade fiscal, isoladamente, constitua mudança em fatos e circunstâncias ou novas informações que afetem os julgamentos e estimativas requeridos por esta Interpretação.</w:t>
      </w:r>
    </w:p>
    <w:p w:rsidR="00D70F3F" w:rsidRPr="00D70F3F" w:rsidRDefault="00D70F3F" w:rsidP="00D70F3F">
      <w:pPr>
        <w:pStyle w:val="Corpodetexto"/>
        <w:tabs>
          <w:tab w:val="left" w:pos="1919"/>
        </w:tabs>
        <w:spacing w:before="0"/>
        <w:ind w:left="1919"/>
        <w:jc w:val="both"/>
        <w:rPr>
          <w:rFonts w:ascii="Times New Roman" w:hAnsi="Times New Roman" w:cs="Times New Roman"/>
          <w:sz w:val="24"/>
          <w:szCs w:val="24"/>
        </w:rPr>
      </w:pPr>
    </w:p>
    <w:p w:rsidR="00895E21" w:rsidRPr="00D70F3F" w:rsidRDefault="00823060" w:rsidP="009C7C1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b/>
          <w:color w:val="231F20"/>
          <w:sz w:val="24"/>
          <w:szCs w:val="24"/>
        </w:rPr>
        <w:t>Divulgação</w:t>
      </w:r>
    </w:p>
    <w:p w:rsidR="00895E21" w:rsidRPr="00D70F3F" w:rsidRDefault="00895E21" w:rsidP="00D70F3F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95E21" w:rsidRPr="00D70F3F" w:rsidRDefault="00823060" w:rsidP="009C7C19">
      <w:pPr>
        <w:pStyle w:val="Corpodetexto"/>
        <w:spacing w:before="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A4</w:t>
      </w:r>
      <w:r w:rsidR="009C7C1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Quando há incerteza sobre tratamentos de 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="00B71051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3A2E12">
        <w:rPr>
          <w:rFonts w:ascii="Times New Roman" w:hAnsi="Times New Roman" w:cs="Times New Roman"/>
          <w:color w:val="231F20"/>
          <w:sz w:val="24"/>
          <w:szCs w:val="24"/>
        </w:rPr>
        <w:t xml:space="preserve"> sobre o lucro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, a entidade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determinar se deve divulgar:</w:t>
      </w:r>
    </w:p>
    <w:p w:rsidR="00895E21" w:rsidRPr="00D70F3F" w:rsidRDefault="00823060" w:rsidP="009C7C19">
      <w:pPr>
        <w:pStyle w:val="PargrafodaLista"/>
        <w:numPr>
          <w:ilvl w:val="0"/>
          <w:numId w:val="2"/>
        </w:numPr>
        <w:spacing w:after="120"/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julgamentos feitos ao determinar lucro tributável (prejuízo fiscal), base fiscal, prejuízos fiscais não utilizados, créditos fiscais não utilizados e alíquotas fiscais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aplicando o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item</w:t>
      </w:r>
      <w:r w:rsidR="00984ADA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122 d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CPC 26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; e</w:t>
      </w:r>
    </w:p>
    <w:p w:rsidR="00895E21" w:rsidRPr="00D70F3F" w:rsidRDefault="00823060" w:rsidP="009C7C19">
      <w:pPr>
        <w:pStyle w:val="PargrafodaLista"/>
        <w:numPr>
          <w:ilvl w:val="0"/>
          <w:numId w:val="2"/>
        </w:numPr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proofErr w:type="gramStart"/>
      <w:r w:rsidRPr="00D70F3F">
        <w:rPr>
          <w:rFonts w:ascii="Times New Roman" w:hAnsi="Times New Roman" w:cs="Times New Roman"/>
          <w:color w:val="231F20"/>
          <w:sz w:val="24"/>
          <w:szCs w:val="24"/>
        </w:rPr>
        <w:t>informações</w:t>
      </w:r>
      <w:proofErr w:type="gramEnd"/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sobre as premissas e </w:t>
      </w:r>
      <w:r w:rsidR="00C221F6">
        <w:rPr>
          <w:rFonts w:ascii="Times New Roman" w:hAnsi="Times New Roman" w:cs="Times New Roman"/>
          <w:color w:val="231F20"/>
          <w:sz w:val="24"/>
          <w:szCs w:val="24"/>
        </w:rPr>
        <w:t>estimativas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feitas ao determinar lucro tributável (prejuízo fiscal), base fiscal, prejuízos fiscais não utilizados, créditos fiscais não utilizados e alíquotas fiscais aplicando os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iten</w:t>
      </w:r>
      <w:r w:rsidR="00984ADA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s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125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129 d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o CPC 26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95E21" w:rsidRPr="00D70F3F" w:rsidRDefault="00895E21" w:rsidP="00D70F3F">
      <w:pPr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895E21" w:rsidRPr="00D70F3F" w:rsidRDefault="00823060" w:rsidP="009C7C19">
      <w:pPr>
        <w:pStyle w:val="Corpodetexto"/>
        <w:spacing w:before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A5</w:t>
      </w:r>
      <w:r w:rsidR="009C7C1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ab/>
        <w:t>Se a entidade conclui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que é provável que a autoridade fiscal aceitará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="00984ADA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tratamento fiscal incerto, a entidade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determinar se deve divulgar o efeito potencial da incerteza como contingência relacionada a </w:t>
      </w:r>
      <w:r w:rsidR="00DC725A">
        <w:rPr>
          <w:rFonts w:ascii="Times New Roman" w:hAnsi="Times New Roman" w:cs="Times New Roman"/>
          <w:color w:val="231F20"/>
          <w:sz w:val="24"/>
          <w:szCs w:val="24"/>
        </w:rPr>
        <w:t>tributo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aplicando o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item</w:t>
      </w:r>
      <w:r w:rsidR="00984ADA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88 d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A2E12" w:rsidRPr="009E738B">
        <w:rPr>
          <w:rFonts w:ascii="Times New Roman" w:hAnsi="Times New Roman" w:cs="Times New Roman"/>
          <w:color w:val="231F20"/>
          <w:sz w:val="24"/>
          <w:szCs w:val="24"/>
        </w:rPr>
        <w:t>CPC 32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95E21" w:rsidRDefault="00895E21" w:rsidP="00D70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F3F" w:rsidRDefault="00D70F3F" w:rsidP="00D70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E21" w:rsidRDefault="00823060" w:rsidP="009C7C19">
      <w:pPr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F29DF">
        <w:rPr>
          <w:rFonts w:ascii="Times New Roman" w:hAnsi="Times New Roman" w:cs="Times New Roman"/>
          <w:b/>
          <w:color w:val="231F20"/>
        </w:rPr>
        <w:t>Apêndice B</w:t>
      </w:r>
      <w:r w:rsidR="00FF29DF">
        <w:rPr>
          <w:rFonts w:ascii="Times New Roman" w:hAnsi="Times New Roman" w:cs="Times New Roman"/>
          <w:b/>
          <w:color w:val="231F20"/>
        </w:rPr>
        <w:t xml:space="preserve"> – </w:t>
      </w:r>
      <w:r w:rsidRPr="00D70F3F">
        <w:rPr>
          <w:rFonts w:ascii="Times New Roman" w:hAnsi="Times New Roman" w:cs="Times New Roman"/>
          <w:b/>
          <w:color w:val="231F20"/>
          <w:sz w:val="24"/>
          <w:szCs w:val="24"/>
        </w:rPr>
        <w:t>Data de vigência e transição</w:t>
      </w:r>
    </w:p>
    <w:p w:rsidR="00D70F3F" w:rsidRPr="00D70F3F" w:rsidRDefault="00D70F3F" w:rsidP="00D70F3F">
      <w:pPr>
        <w:ind w:left="106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95E21" w:rsidRDefault="00823060" w:rsidP="009C7C19">
      <w:pPr>
        <w:pStyle w:val="Heading31"/>
        <w:spacing w:before="0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Este Apêndice faz parte integrante d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est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Interpretação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e tem a mesma importância que as outras partes d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est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Interpretação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70F3F" w:rsidRPr="00D70F3F" w:rsidRDefault="00D70F3F" w:rsidP="00D70F3F">
      <w:pPr>
        <w:pStyle w:val="Heading31"/>
        <w:spacing w:before="0"/>
        <w:ind w:left="106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95E21" w:rsidRPr="00D70F3F" w:rsidRDefault="00823060" w:rsidP="009C7C1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b/>
          <w:color w:val="231F20"/>
          <w:sz w:val="24"/>
          <w:szCs w:val="24"/>
        </w:rPr>
        <w:t>Data de vigência</w:t>
      </w:r>
    </w:p>
    <w:p w:rsidR="00895E21" w:rsidRPr="00D70F3F" w:rsidRDefault="00895E21" w:rsidP="00D70F3F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95E21" w:rsidRDefault="00823060" w:rsidP="009C7C19">
      <w:pPr>
        <w:pStyle w:val="Corpodetexto"/>
        <w:spacing w:before="0"/>
        <w:ind w:left="567" w:hanging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B1</w:t>
      </w:r>
      <w:r w:rsidR="009C7C1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F454E">
        <w:rPr>
          <w:rFonts w:ascii="Times New Roman" w:hAnsi="Times New Roman" w:cs="Times New Roman"/>
          <w:color w:val="231F20"/>
          <w:sz w:val="24"/>
          <w:szCs w:val="24"/>
        </w:rPr>
        <w:t>vigência da presente Interpretação será dada pelos órgãos reguladores que a aprovarem, não obstante</w:t>
      </w:r>
      <w:r w:rsidR="00C221F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F454E">
        <w:rPr>
          <w:rFonts w:ascii="Times New Roman" w:hAnsi="Times New Roman" w:cs="Times New Roman"/>
          <w:color w:val="231F20"/>
          <w:sz w:val="24"/>
          <w:szCs w:val="24"/>
        </w:rPr>
        <w:t xml:space="preserve"> para atendimento às normas internacionais de contabilidade</w:t>
      </w:r>
      <w:r w:rsidR="00C221F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F454E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entidade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aplicar esta Interpretação </w:t>
      </w:r>
      <w:r w:rsidR="007940FB">
        <w:rPr>
          <w:rFonts w:ascii="Times New Roman" w:hAnsi="Times New Roman" w:cs="Times New Roman"/>
          <w:color w:val="231F20"/>
          <w:sz w:val="24"/>
          <w:szCs w:val="24"/>
        </w:rPr>
        <w:t>nos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relatórios anuais com início em, ou após, 1º de janeiro de 2019. </w:t>
      </w:r>
    </w:p>
    <w:p w:rsidR="00D70F3F" w:rsidRPr="00D70F3F" w:rsidRDefault="00D70F3F" w:rsidP="00D70F3F">
      <w:pPr>
        <w:pStyle w:val="Corpodetexto"/>
        <w:tabs>
          <w:tab w:val="left" w:pos="1919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895E21" w:rsidRPr="00D70F3F" w:rsidRDefault="00823060" w:rsidP="009C7C1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b/>
          <w:color w:val="231F20"/>
          <w:sz w:val="24"/>
          <w:szCs w:val="24"/>
        </w:rPr>
        <w:t>Transição</w:t>
      </w:r>
    </w:p>
    <w:p w:rsidR="00895E21" w:rsidRPr="00D70F3F" w:rsidRDefault="00895E21" w:rsidP="00D70F3F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95E21" w:rsidRPr="00D70F3F" w:rsidRDefault="00823060" w:rsidP="009C7C19">
      <w:pPr>
        <w:pStyle w:val="Corpodetexto"/>
        <w:spacing w:before="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B2</w:t>
      </w:r>
      <w:r w:rsidR="009C7C1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Na aplicação inicial, a entidade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aplicar esta Interpretação:</w:t>
      </w:r>
    </w:p>
    <w:p w:rsidR="00895E21" w:rsidRPr="00D70F3F" w:rsidRDefault="00823060" w:rsidP="009C7C19">
      <w:pPr>
        <w:pStyle w:val="PargrafodaLista"/>
        <w:numPr>
          <w:ilvl w:val="0"/>
          <w:numId w:val="1"/>
        </w:numPr>
        <w:spacing w:after="120"/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retrospectivamente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aplicando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o CPC 23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, se isso for possível sem o uso de fatos e conhecimentos posteriores; ou</w:t>
      </w:r>
    </w:p>
    <w:p w:rsidR="00895E21" w:rsidRPr="00D70F3F" w:rsidRDefault="00823060" w:rsidP="009C7C19">
      <w:pPr>
        <w:pStyle w:val="PargrafodaLista"/>
        <w:numPr>
          <w:ilvl w:val="0"/>
          <w:numId w:val="1"/>
        </w:numPr>
        <w:ind w:left="993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D70F3F">
        <w:rPr>
          <w:rFonts w:ascii="Times New Roman" w:hAnsi="Times New Roman" w:cs="Times New Roman"/>
          <w:color w:val="231F20"/>
          <w:sz w:val="24"/>
          <w:szCs w:val="24"/>
        </w:rPr>
        <w:t>retrospectivamente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 com o efeito cumulativo de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 xml:space="preserve">aplicar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inicialmente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est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a Interpretação reconhecida na data da aplicação inicial.   Se </w:t>
      </w:r>
      <w:r w:rsidR="00984ADA"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entidade escolher essa abordagem de transição, ela não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refazer as informações comparativas.  Em vez disso, a entidade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 xml:space="preserve">deve 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 xml:space="preserve">reconhecer o efeito cumulativo de aplicar inicialmente </w:t>
      </w:r>
      <w:r w:rsidR="00984ADA">
        <w:rPr>
          <w:rFonts w:ascii="Times New Roman" w:hAnsi="Times New Roman" w:cs="Times New Roman"/>
          <w:color w:val="231F20"/>
          <w:sz w:val="24"/>
          <w:szCs w:val="24"/>
        </w:rPr>
        <w:t>est</w:t>
      </w:r>
      <w:r w:rsidRPr="00D70F3F">
        <w:rPr>
          <w:rFonts w:ascii="Times New Roman" w:hAnsi="Times New Roman" w:cs="Times New Roman"/>
          <w:color w:val="231F20"/>
          <w:sz w:val="24"/>
          <w:szCs w:val="24"/>
        </w:rPr>
        <w:t>a Interpretação como ajuste ao saldo de abertura de lucros acumulados (ou outro componente do patrimônio líquido, conforme apropriado).  A data da aplicação inicial é o início do período de relatório anual em que a entidade aplica esta Interpretação pela primeira vez.</w:t>
      </w:r>
    </w:p>
    <w:p w:rsidR="00895E21" w:rsidRPr="00D70F3F" w:rsidRDefault="00895E21" w:rsidP="00D70F3F">
      <w:pPr>
        <w:pStyle w:val="Heading11"/>
        <w:spacing w:before="0"/>
        <w:ind w:left="559"/>
        <w:rPr>
          <w:rFonts w:ascii="Times New Roman" w:eastAsia="Garamond" w:hAnsi="Times New Roman" w:cs="Times New Roman"/>
        </w:rPr>
      </w:pPr>
    </w:p>
    <w:sectPr w:rsidR="00895E21" w:rsidRPr="00D70F3F" w:rsidSect="00D70F3F">
      <w:footerReference w:type="even" r:id="rId7"/>
      <w:footerReference w:type="default" r:id="rId8"/>
      <w:pgSz w:w="11900" w:h="16840"/>
      <w:pgMar w:top="1134" w:right="1134" w:bottom="1134" w:left="1134" w:header="1939" w:footer="18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05" w:rsidRDefault="008C2105" w:rsidP="00895E21">
      <w:r>
        <w:separator/>
      </w:r>
    </w:p>
  </w:endnote>
  <w:endnote w:type="continuationSeparator" w:id="0">
    <w:p w:rsidR="008C2105" w:rsidRDefault="008C2105" w:rsidP="0089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C1" w:rsidRDefault="00C55FD2">
    <w:pPr>
      <w:spacing w:line="14" w:lineRule="auto"/>
      <w:rPr>
        <w:sz w:val="20"/>
        <w:szCs w:val="20"/>
      </w:rPr>
    </w:pPr>
    <w:r w:rsidRPr="00C55F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0.95pt;margin-top:736pt;width:29pt;height:11pt;z-index:-8896;mso-position-horizontal-relative:page;mso-position-vertical-relative:page" filled="f" stroked="f">
          <v:textbox style="mso-next-textbox:#_x0000_s2052" inset="0,0,0,0">
            <w:txbxContent>
              <w:p w:rsidR="005B7CC1" w:rsidRPr="00D70F3F" w:rsidRDefault="005B7CC1" w:rsidP="00D70F3F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C55FD2">
      <w:pict>
        <v:shape id="_x0000_s2051" type="#_x0000_t202" style="position:absolute;margin-left:245.85pt;margin-top:736pt;width:78.1pt;height:11.3pt;z-index:-8872;mso-position-horizontal-relative:page;mso-position-vertical-relative:page" filled="f" stroked="f">
          <v:textbox style="mso-next-textbox:#_x0000_s2051" inset="0,0,0,0">
            <w:txbxContent>
              <w:p w:rsidR="005B7CC1" w:rsidRPr="00D70F3F" w:rsidRDefault="005B7CC1" w:rsidP="00D70F3F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C1" w:rsidRDefault="00C55FD2">
    <w:pPr>
      <w:spacing w:line="14" w:lineRule="auto"/>
      <w:rPr>
        <w:sz w:val="20"/>
        <w:szCs w:val="20"/>
      </w:rPr>
    </w:pPr>
    <w:r w:rsidRPr="00C55F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1.35pt;margin-top:736pt;width:78.1pt;height:11.3pt;z-index:-8848;mso-position-horizontal-relative:page;mso-position-vertical-relative:page" filled="f" stroked="f">
          <v:textbox style="mso-next-textbox:#_x0000_s2050" inset="0,0,0,0">
            <w:txbxContent>
              <w:p w:rsidR="005B7CC1" w:rsidRPr="00D70F3F" w:rsidRDefault="005B7CC1" w:rsidP="00D70F3F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C55FD2">
      <w:pict>
        <v:shape id="_x0000_s2049" type="#_x0000_t202" style="position:absolute;margin-left:456.35pt;margin-top:736pt;width:28pt;height:11pt;z-index:-8824;mso-position-horizontal-relative:page;mso-position-vertical-relative:page" filled="f" stroked="f">
          <v:textbox style="mso-next-textbox:#_x0000_s2049" inset="0,0,0,0">
            <w:txbxContent>
              <w:p w:rsidR="005B7CC1" w:rsidRPr="00D70F3F" w:rsidRDefault="005B7CC1" w:rsidP="00D70F3F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05" w:rsidRDefault="008C2105" w:rsidP="00895E21">
      <w:r>
        <w:separator/>
      </w:r>
    </w:p>
  </w:footnote>
  <w:footnote w:type="continuationSeparator" w:id="0">
    <w:p w:rsidR="008C2105" w:rsidRDefault="008C2105" w:rsidP="00895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738"/>
    <w:multiLevelType w:val="hybridMultilevel"/>
    <w:tmpl w:val="FA589B28"/>
    <w:lvl w:ilvl="0" w:tplc="D05E4C7C">
      <w:start w:val="1"/>
      <w:numFmt w:val="lowerLetter"/>
      <w:lvlText w:val="(%1)"/>
      <w:lvlJc w:val="left"/>
      <w:pPr>
        <w:ind w:left="2486" w:hanging="567"/>
      </w:pPr>
      <w:rPr>
        <w:rFonts w:ascii="Times New Roman" w:eastAsia="Garamond" w:hAnsi="Times New Roman" w:cs="Times New Roman" w:hint="default"/>
        <w:color w:val="231F20"/>
        <w:w w:val="99"/>
        <w:sz w:val="24"/>
        <w:szCs w:val="24"/>
      </w:rPr>
    </w:lvl>
    <w:lvl w:ilvl="1" w:tplc="17186BB6">
      <w:start w:val="1"/>
      <w:numFmt w:val="bullet"/>
      <w:lvlText w:val="•"/>
      <w:lvlJc w:val="left"/>
      <w:pPr>
        <w:ind w:left="3086" w:hanging="567"/>
      </w:pPr>
      <w:rPr>
        <w:rFonts w:hint="default"/>
      </w:rPr>
    </w:lvl>
    <w:lvl w:ilvl="2" w:tplc="B45E31BC">
      <w:start w:val="1"/>
      <w:numFmt w:val="bullet"/>
      <w:lvlText w:val="•"/>
      <w:lvlJc w:val="left"/>
      <w:pPr>
        <w:ind w:left="3692" w:hanging="567"/>
      </w:pPr>
      <w:rPr>
        <w:rFonts w:hint="default"/>
      </w:rPr>
    </w:lvl>
    <w:lvl w:ilvl="3" w:tplc="5EC4F6D2">
      <w:start w:val="1"/>
      <w:numFmt w:val="bullet"/>
      <w:lvlText w:val="•"/>
      <w:lvlJc w:val="left"/>
      <w:pPr>
        <w:ind w:left="4298" w:hanging="567"/>
      </w:pPr>
      <w:rPr>
        <w:rFonts w:hint="default"/>
      </w:rPr>
    </w:lvl>
    <w:lvl w:ilvl="4" w:tplc="8466B8A6">
      <w:start w:val="1"/>
      <w:numFmt w:val="bullet"/>
      <w:lvlText w:val="•"/>
      <w:lvlJc w:val="left"/>
      <w:pPr>
        <w:ind w:left="4904" w:hanging="567"/>
      </w:pPr>
      <w:rPr>
        <w:rFonts w:hint="default"/>
      </w:rPr>
    </w:lvl>
    <w:lvl w:ilvl="5" w:tplc="2AB013C2">
      <w:start w:val="1"/>
      <w:numFmt w:val="bullet"/>
      <w:lvlText w:val="•"/>
      <w:lvlJc w:val="left"/>
      <w:pPr>
        <w:ind w:left="5510" w:hanging="567"/>
      </w:pPr>
      <w:rPr>
        <w:rFonts w:hint="default"/>
      </w:rPr>
    </w:lvl>
    <w:lvl w:ilvl="6" w:tplc="4B8C946E">
      <w:start w:val="1"/>
      <w:numFmt w:val="bullet"/>
      <w:lvlText w:val="•"/>
      <w:lvlJc w:val="left"/>
      <w:pPr>
        <w:ind w:left="6116" w:hanging="567"/>
      </w:pPr>
      <w:rPr>
        <w:rFonts w:hint="default"/>
      </w:rPr>
    </w:lvl>
    <w:lvl w:ilvl="7" w:tplc="DDF215DA">
      <w:start w:val="1"/>
      <w:numFmt w:val="bullet"/>
      <w:lvlText w:val="•"/>
      <w:lvlJc w:val="left"/>
      <w:pPr>
        <w:ind w:left="6722" w:hanging="567"/>
      </w:pPr>
      <w:rPr>
        <w:rFonts w:hint="default"/>
      </w:rPr>
    </w:lvl>
    <w:lvl w:ilvl="8" w:tplc="AD9CDBF8">
      <w:start w:val="1"/>
      <w:numFmt w:val="bullet"/>
      <w:lvlText w:val="•"/>
      <w:lvlJc w:val="left"/>
      <w:pPr>
        <w:ind w:left="7328" w:hanging="567"/>
      </w:pPr>
      <w:rPr>
        <w:rFonts w:hint="default"/>
      </w:rPr>
    </w:lvl>
  </w:abstractNum>
  <w:abstractNum w:abstractNumId="1">
    <w:nsid w:val="23F11C15"/>
    <w:multiLevelType w:val="hybridMultilevel"/>
    <w:tmpl w:val="36B89EDE"/>
    <w:lvl w:ilvl="0" w:tplc="2A7432E0">
      <w:start w:val="1"/>
      <w:numFmt w:val="bullet"/>
      <w:lvlText w:val="●"/>
      <w:lvlJc w:val="left"/>
      <w:pPr>
        <w:ind w:left="1126" w:hanging="567"/>
      </w:pPr>
      <w:rPr>
        <w:rFonts w:ascii="Times New Roman" w:eastAsia="Times New Roman" w:hAnsi="Times New Roman" w:hint="default"/>
        <w:color w:val="231F20"/>
        <w:w w:val="99"/>
        <w:sz w:val="17"/>
        <w:szCs w:val="17"/>
      </w:rPr>
    </w:lvl>
    <w:lvl w:ilvl="1" w:tplc="1DE8C266">
      <w:start w:val="1"/>
      <w:numFmt w:val="bullet"/>
      <w:lvlText w:val="•"/>
      <w:lvlJc w:val="left"/>
      <w:pPr>
        <w:ind w:left="1862" w:hanging="567"/>
      </w:pPr>
      <w:rPr>
        <w:rFonts w:hint="default"/>
      </w:rPr>
    </w:lvl>
    <w:lvl w:ilvl="2" w:tplc="55F88F92">
      <w:start w:val="1"/>
      <w:numFmt w:val="bullet"/>
      <w:lvlText w:val="•"/>
      <w:lvlJc w:val="left"/>
      <w:pPr>
        <w:ind w:left="2604" w:hanging="567"/>
      </w:pPr>
      <w:rPr>
        <w:rFonts w:hint="default"/>
      </w:rPr>
    </w:lvl>
    <w:lvl w:ilvl="3" w:tplc="7F289E3E">
      <w:start w:val="1"/>
      <w:numFmt w:val="bullet"/>
      <w:lvlText w:val="•"/>
      <w:lvlJc w:val="left"/>
      <w:pPr>
        <w:ind w:left="3346" w:hanging="567"/>
      </w:pPr>
      <w:rPr>
        <w:rFonts w:hint="default"/>
      </w:rPr>
    </w:lvl>
    <w:lvl w:ilvl="4" w:tplc="4BA0A2A2">
      <w:start w:val="1"/>
      <w:numFmt w:val="bullet"/>
      <w:lvlText w:val="•"/>
      <w:lvlJc w:val="left"/>
      <w:pPr>
        <w:ind w:left="4088" w:hanging="567"/>
      </w:pPr>
      <w:rPr>
        <w:rFonts w:hint="default"/>
      </w:rPr>
    </w:lvl>
    <w:lvl w:ilvl="5" w:tplc="937A24E0">
      <w:start w:val="1"/>
      <w:numFmt w:val="bullet"/>
      <w:lvlText w:val="•"/>
      <w:lvlJc w:val="left"/>
      <w:pPr>
        <w:ind w:left="4830" w:hanging="567"/>
      </w:pPr>
      <w:rPr>
        <w:rFonts w:hint="default"/>
      </w:rPr>
    </w:lvl>
    <w:lvl w:ilvl="6" w:tplc="0D525268">
      <w:start w:val="1"/>
      <w:numFmt w:val="bullet"/>
      <w:lvlText w:val="•"/>
      <w:lvlJc w:val="left"/>
      <w:pPr>
        <w:ind w:left="5572" w:hanging="567"/>
      </w:pPr>
      <w:rPr>
        <w:rFonts w:hint="default"/>
      </w:rPr>
    </w:lvl>
    <w:lvl w:ilvl="7" w:tplc="CAB64D5A">
      <w:start w:val="1"/>
      <w:numFmt w:val="bullet"/>
      <w:lvlText w:val="•"/>
      <w:lvlJc w:val="left"/>
      <w:pPr>
        <w:ind w:left="6314" w:hanging="567"/>
      </w:pPr>
      <w:rPr>
        <w:rFonts w:hint="default"/>
      </w:rPr>
    </w:lvl>
    <w:lvl w:ilvl="8" w:tplc="0684389C">
      <w:start w:val="1"/>
      <w:numFmt w:val="bullet"/>
      <w:lvlText w:val="•"/>
      <w:lvlJc w:val="left"/>
      <w:pPr>
        <w:ind w:left="7056" w:hanging="567"/>
      </w:pPr>
      <w:rPr>
        <w:rFonts w:hint="default"/>
      </w:rPr>
    </w:lvl>
  </w:abstractNum>
  <w:abstractNum w:abstractNumId="2">
    <w:nsid w:val="27F6404B"/>
    <w:multiLevelType w:val="hybridMultilevel"/>
    <w:tmpl w:val="70CCD1AA"/>
    <w:lvl w:ilvl="0" w:tplc="1E8AE130">
      <w:start w:val="1"/>
      <w:numFmt w:val="lowerLetter"/>
      <w:lvlText w:val="(%1)"/>
      <w:lvlJc w:val="left"/>
      <w:pPr>
        <w:ind w:left="2486" w:hanging="567"/>
      </w:pPr>
      <w:rPr>
        <w:rFonts w:ascii="Times New Roman" w:eastAsia="Garamond" w:hAnsi="Times New Roman" w:cs="Times New Roman" w:hint="default"/>
        <w:color w:val="231F20"/>
        <w:w w:val="99"/>
        <w:sz w:val="24"/>
        <w:szCs w:val="24"/>
      </w:rPr>
    </w:lvl>
    <w:lvl w:ilvl="1" w:tplc="9FB67C36">
      <w:start w:val="1"/>
      <w:numFmt w:val="bullet"/>
      <w:lvlText w:val="•"/>
      <w:lvlJc w:val="left"/>
      <w:pPr>
        <w:ind w:left="3086" w:hanging="567"/>
      </w:pPr>
      <w:rPr>
        <w:rFonts w:hint="default"/>
      </w:rPr>
    </w:lvl>
    <w:lvl w:ilvl="2" w:tplc="91667A02">
      <w:start w:val="1"/>
      <w:numFmt w:val="bullet"/>
      <w:lvlText w:val="•"/>
      <w:lvlJc w:val="left"/>
      <w:pPr>
        <w:ind w:left="3692" w:hanging="567"/>
      </w:pPr>
      <w:rPr>
        <w:rFonts w:hint="default"/>
      </w:rPr>
    </w:lvl>
    <w:lvl w:ilvl="3" w:tplc="139243CE">
      <w:start w:val="1"/>
      <w:numFmt w:val="bullet"/>
      <w:lvlText w:val="•"/>
      <w:lvlJc w:val="left"/>
      <w:pPr>
        <w:ind w:left="4298" w:hanging="567"/>
      </w:pPr>
      <w:rPr>
        <w:rFonts w:hint="default"/>
      </w:rPr>
    </w:lvl>
    <w:lvl w:ilvl="4" w:tplc="8EA269CC">
      <w:start w:val="1"/>
      <w:numFmt w:val="bullet"/>
      <w:lvlText w:val="•"/>
      <w:lvlJc w:val="left"/>
      <w:pPr>
        <w:ind w:left="4904" w:hanging="567"/>
      </w:pPr>
      <w:rPr>
        <w:rFonts w:hint="default"/>
      </w:rPr>
    </w:lvl>
    <w:lvl w:ilvl="5" w:tplc="4496C334">
      <w:start w:val="1"/>
      <w:numFmt w:val="bullet"/>
      <w:lvlText w:val="•"/>
      <w:lvlJc w:val="left"/>
      <w:pPr>
        <w:ind w:left="5510" w:hanging="567"/>
      </w:pPr>
      <w:rPr>
        <w:rFonts w:hint="default"/>
      </w:rPr>
    </w:lvl>
    <w:lvl w:ilvl="6" w:tplc="3DDCA51E">
      <w:start w:val="1"/>
      <w:numFmt w:val="bullet"/>
      <w:lvlText w:val="•"/>
      <w:lvlJc w:val="left"/>
      <w:pPr>
        <w:ind w:left="6116" w:hanging="567"/>
      </w:pPr>
      <w:rPr>
        <w:rFonts w:hint="default"/>
      </w:rPr>
    </w:lvl>
    <w:lvl w:ilvl="7" w:tplc="DDDAA1C2">
      <w:start w:val="1"/>
      <w:numFmt w:val="bullet"/>
      <w:lvlText w:val="•"/>
      <w:lvlJc w:val="left"/>
      <w:pPr>
        <w:ind w:left="6722" w:hanging="567"/>
      </w:pPr>
      <w:rPr>
        <w:rFonts w:hint="default"/>
      </w:rPr>
    </w:lvl>
    <w:lvl w:ilvl="8" w:tplc="F8347B2C">
      <w:start w:val="1"/>
      <w:numFmt w:val="bullet"/>
      <w:lvlText w:val="•"/>
      <w:lvlJc w:val="left"/>
      <w:pPr>
        <w:ind w:left="7328" w:hanging="567"/>
      </w:pPr>
      <w:rPr>
        <w:rFonts w:hint="default"/>
      </w:rPr>
    </w:lvl>
  </w:abstractNum>
  <w:abstractNum w:abstractNumId="3">
    <w:nsid w:val="308D455B"/>
    <w:multiLevelType w:val="hybridMultilevel"/>
    <w:tmpl w:val="9634DC78"/>
    <w:lvl w:ilvl="0" w:tplc="4984DAAE">
      <w:start w:val="1"/>
      <w:numFmt w:val="decimal"/>
      <w:lvlText w:val="%1."/>
      <w:lvlJc w:val="left"/>
      <w:pPr>
        <w:ind w:left="1409" w:hanging="851"/>
        <w:jc w:val="right"/>
      </w:pPr>
      <w:rPr>
        <w:rFonts w:ascii="Times New Roman" w:eastAsiaTheme="minorHAnsi" w:hAnsi="Times New Roman" w:cs="Times New Roman"/>
        <w:color w:val="231F20"/>
        <w:w w:val="99"/>
        <w:sz w:val="24"/>
        <w:szCs w:val="24"/>
      </w:rPr>
    </w:lvl>
    <w:lvl w:ilvl="1" w:tplc="7A988714">
      <w:start w:val="1"/>
      <w:numFmt w:val="lowerLetter"/>
      <w:lvlText w:val="(%2)"/>
      <w:lvlJc w:val="left"/>
      <w:pPr>
        <w:ind w:left="1976" w:hanging="567"/>
      </w:pPr>
      <w:rPr>
        <w:rFonts w:ascii="Times New Roman" w:eastAsia="Garamond" w:hAnsi="Times New Roman" w:cs="Times New Roman" w:hint="default"/>
        <w:color w:val="231F20"/>
        <w:w w:val="99"/>
        <w:sz w:val="24"/>
        <w:szCs w:val="24"/>
      </w:rPr>
    </w:lvl>
    <w:lvl w:ilvl="2" w:tplc="7206E0F0">
      <w:start w:val="1"/>
      <w:numFmt w:val="lowerRoman"/>
      <w:lvlText w:val="(%3)"/>
      <w:lvlJc w:val="left"/>
      <w:pPr>
        <w:ind w:left="3053" w:hanging="567"/>
      </w:pPr>
      <w:rPr>
        <w:rFonts w:ascii="Times New Roman" w:eastAsia="Garamond" w:hAnsi="Times New Roman" w:cs="Times New Roman" w:hint="default"/>
        <w:color w:val="231F20"/>
        <w:w w:val="99"/>
        <w:sz w:val="24"/>
        <w:szCs w:val="24"/>
      </w:rPr>
    </w:lvl>
    <w:lvl w:ilvl="3" w:tplc="0EB0E2C0">
      <w:start w:val="1"/>
      <w:numFmt w:val="bullet"/>
      <w:lvlText w:val="•"/>
      <w:lvlJc w:val="left"/>
      <w:pPr>
        <w:ind w:left="3060" w:hanging="567"/>
      </w:pPr>
      <w:rPr>
        <w:rFonts w:hint="default"/>
      </w:rPr>
    </w:lvl>
    <w:lvl w:ilvl="4" w:tplc="61F69404">
      <w:start w:val="1"/>
      <w:numFmt w:val="bullet"/>
      <w:lvlText w:val="•"/>
      <w:lvlJc w:val="left"/>
      <w:pPr>
        <w:ind w:left="3842" w:hanging="567"/>
      </w:pPr>
      <w:rPr>
        <w:rFonts w:hint="default"/>
      </w:rPr>
    </w:lvl>
    <w:lvl w:ilvl="5" w:tplc="C90A171C">
      <w:start w:val="1"/>
      <w:numFmt w:val="bullet"/>
      <w:lvlText w:val="•"/>
      <w:lvlJc w:val="left"/>
      <w:pPr>
        <w:ind w:left="4625" w:hanging="567"/>
      </w:pPr>
      <w:rPr>
        <w:rFonts w:hint="default"/>
      </w:rPr>
    </w:lvl>
    <w:lvl w:ilvl="6" w:tplc="FC7CD646">
      <w:start w:val="1"/>
      <w:numFmt w:val="bullet"/>
      <w:lvlText w:val="•"/>
      <w:lvlJc w:val="left"/>
      <w:pPr>
        <w:ind w:left="5408" w:hanging="567"/>
      </w:pPr>
      <w:rPr>
        <w:rFonts w:hint="default"/>
      </w:rPr>
    </w:lvl>
    <w:lvl w:ilvl="7" w:tplc="DE085DC2">
      <w:start w:val="1"/>
      <w:numFmt w:val="bullet"/>
      <w:lvlText w:val="•"/>
      <w:lvlJc w:val="left"/>
      <w:pPr>
        <w:ind w:left="6191" w:hanging="567"/>
      </w:pPr>
      <w:rPr>
        <w:rFonts w:hint="default"/>
      </w:rPr>
    </w:lvl>
    <w:lvl w:ilvl="8" w:tplc="5BE27C18">
      <w:start w:val="1"/>
      <w:numFmt w:val="bullet"/>
      <w:lvlText w:val="•"/>
      <w:lvlJc w:val="left"/>
      <w:pPr>
        <w:ind w:left="6974" w:hanging="567"/>
      </w:pPr>
      <w:rPr>
        <w:rFonts w:hint="default"/>
      </w:rPr>
    </w:lvl>
  </w:abstractNum>
  <w:abstractNum w:abstractNumId="4">
    <w:nsid w:val="76557509"/>
    <w:multiLevelType w:val="hybridMultilevel"/>
    <w:tmpl w:val="9634DC78"/>
    <w:lvl w:ilvl="0" w:tplc="4984DAAE">
      <w:start w:val="1"/>
      <w:numFmt w:val="decimal"/>
      <w:lvlText w:val="%1."/>
      <w:lvlJc w:val="left"/>
      <w:pPr>
        <w:ind w:left="1409" w:hanging="851"/>
        <w:jc w:val="right"/>
      </w:pPr>
      <w:rPr>
        <w:rFonts w:ascii="Times New Roman" w:eastAsiaTheme="minorHAnsi" w:hAnsi="Times New Roman" w:cs="Times New Roman"/>
        <w:color w:val="231F20"/>
        <w:w w:val="99"/>
        <w:sz w:val="24"/>
        <w:szCs w:val="24"/>
      </w:rPr>
    </w:lvl>
    <w:lvl w:ilvl="1" w:tplc="7A988714">
      <w:start w:val="1"/>
      <w:numFmt w:val="lowerLetter"/>
      <w:lvlText w:val="(%2)"/>
      <w:lvlJc w:val="left"/>
      <w:pPr>
        <w:ind w:left="1976" w:hanging="567"/>
      </w:pPr>
      <w:rPr>
        <w:rFonts w:ascii="Times New Roman" w:eastAsia="Garamond" w:hAnsi="Times New Roman" w:cs="Times New Roman" w:hint="default"/>
        <w:color w:val="231F20"/>
        <w:w w:val="99"/>
        <w:sz w:val="24"/>
        <w:szCs w:val="24"/>
      </w:rPr>
    </w:lvl>
    <w:lvl w:ilvl="2" w:tplc="7206E0F0">
      <w:start w:val="1"/>
      <w:numFmt w:val="lowerRoman"/>
      <w:lvlText w:val="(%3)"/>
      <w:lvlJc w:val="left"/>
      <w:pPr>
        <w:ind w:left="3053" w:hanging="567"/>
      </w:pPr>
      <w:rPr>
        <w:rFonts w:ascii="Times New Roman" w:eastAsia="Garamond" w:hAnsi="Times New Roman" w:cs="Times New Roman" w:hint="default"/>
        <w:color w:val="231F20"/>
        <w:w w:val="99"/>
        <w:sz w:val="24"/>
        <w:szCs w:val="24"/>
      </w:rPr>
    </w:lvl>
    <w:lvl w:ilvl="3" w:tplc="0EB0E2C0">
      <w:start w:val="1"/>
      <w:numFmt w:val="bullet"/>
      <w:lvlText w:val="•"/>
      <w:lvlJc w:val="left"/>
      <w:pPr>
        <w:ind w:left="3060" w:hanging="567"/>
      </w:pPr>
      <w:rPr>
        <w:rFonts w:hint="default"/>
      </w:rPr>
    </w:lvl>
    <w:lvl w:ilvl="4" w:tplc="61F69404">
      <w:start w:val="1"/>
      <w:numFmt w:val="bullet"/>
      <w:lvlText w:val="•"/>
      <w:lvlJc w:val="left"/>
      <w:pPr>
        <w:ind w:left="3842" w:hanging="567"/>
      </w:pPr>
      <w:rPr>
        <w:rFonts w:hint="default"/>
      </w:rPr>
    </w:lvl>
    <w:lvl w:ilvl="5" w:tplc="C90A171C">
      <w:start w:val="1"/>
      <w:numFmt w:val="bullet"/>
      <w:lvlText w:val="•"/>
      <w:lvlJc w:val="left"/>
      <w:pPr>
        <w:ind w:left="4625" w:hanging="567"/>
      </w:pPr>
      <w:rPr>
        <w:rFonts w:hint="default"/>
      </w:rPr>
    </w:lvl>
    <w:lvl w:ilvl="6" w:tplc="FC7CD646">
      <w:start w:val="1"/>
      <w:numFmt w:val="bullet"/>
      <w:lvlText w:val="•"/>
      <w:lvlJc w:val="left"/>
      <w:pPr>
        <w:ind w:left="5408" w:hanging="567"/>
      </w:pPr>
      <w:rPr>
        <w:rFonts w:hint="default"/>
      </w:rPr>
    </w:lvl>
    <w:lvl w:ilvl="7" w:tplc="DE085DC2">
      <w:start w:val="1"/>
      <w:numFmt w:val="bullet"/>
      <w:lvlText w:val="•"/>
      <w:lvlJc w:val="left"/>
      <w:pPr>
        <w:ind w:left="6191" w:hanging="567"/>
      </w:pPr>
      <w:rPr>
        <w:rFonts w:hint="default"/>
      </w:rPr>
    </w:lvl>
    <w:lvl w:ilvl="8" w:tplc="5BE27C18">
      <w:start w:val="1"/>
      <w:numFmt w:val="bullet"/>
      <w:lvlText w:val="•"/>
      <w:lvlJc w:val="left"/>
      <w:pPr>
        <w:ind w:left="6974" w:hanging="56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son Arisa">
    <w15:presenceInfo w15:providerId="None" w15:userId="Edison Aris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95E21"/>
    <w:rsid w:val="00075B9D"/>
    <w:rsid w:val="000C4497"/>
    <w:rsid w:val="000F70EF"/>
    <w:rsid w:val="00136DEB"/>
    <w:rsid w:val="00374D8B"/>
    <w:rsid w:val="003A2E12"/>
    <w:rsid w:val="004F0906"/>
    <w:rsid w:val="005B7CC1"/>
    <w:rsid w:val="005F454E"/>
    <w:rsid w:val="006361BF"/>
    <w:rsid w:val="006D7A70"/>
    <w:rsid w:val="007940FB"/>
    <w:rsid w:val="007B291B"/>
    <w:rsid w:val="00823060"/>
    <w:rsid w:val="00895E21"/>
    <w:rsid w:val="008C2105"/>
    <w:rsid w:val="008E1DDF"/>
    <w:rsid w:val="009511B2"/>
    <w:rsid w:val="00972A68"/>
    <w:rsid w:val="009765D5"/>
    <w:rsid w:val="00984ADA"/>
    <w:rsid w:val="009A269C"/>
    <w:rsid w:val="009B4AF2"/>
    <w:rsid w:val="009C7C19"/>
    <w:rsid w:val="009E738B"/>
    <w:rsid w:val="00AA1697"/>
    <w:rsid w:val="00B71051"/>
    <w:rsid w:val="00BA09CD"/>
    <w:rsid w:val="00BB0ED6"/>
    <w:rsid w:val="00C221F6"/>
    <w:rsid w:val="00C55FD2"/>
    <w:rsid w:val="00C61298"/>
    <w:rsid w:val="00C86D23"/>
    <w:rsid w:val="00D64280"/>
    <w:rsid w:val="00D664C7"/>
    <w:rsid w:val="00D70F3F"/>
    <w:rsid w:val="00DC4546"/>
    <w:rsid w:val="00DC725A"/>
    <w:rsid w:val="00DE10D0"/>
    <w:rsid w:val="00E23440"/>
    <w:rsid w:val="00E7158F"/>
    <w:rsid w:val="00F03192"/>
    <w:rsid w:val="00F32133"/>
    <w:rsid w:val="00FE6540"/>
    <w:rsid w:val="00FF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5E21"/>
  </w:style>
  <w:style w:type="paragraph" w:styleId="Ttulo3">
    <w:name w:val="heading 3"/>
    <w:basedOn w:val="Normal"/>
    <w:link w:val="Ttulo3Char"/>
    <w:uiPriority w:val="9"/>
    <w:qFormat/>
    <w:rsid w:val="008E1DD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95E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1"/>
    <w:qFormat/>
    <w:rsid w:val="00895E21"/>
    <w:pPr>
      <w:spacing w:before="115"/>
      <w:ind w:left="559"/>
    </w:pPr>
    <w:rPr>
      <w:rFonts w:ascii="Arial" w:eastAsia="Arial" w:hAnsi="Arial"/>
      <w:b/>
      <w:bCs/>
      <w:sz w:val="16"/>
      <w:szCs w:val="16"/>
    </w:rPr>
  </w:style>
  <w:style w:type="paragraph" w:styleId="Corpodetexto">
    <w:name w:val="Body Text"/>
    <w:basedOn w:val="Normal"/>
    <w:uiPriority w:val="1"/>
    <w:qFormat/>
    <w:rsid w:val="00895E21"/>
    <w:pPr>
      <w:spacing w:before="100"/>
      <w:ind w:left="1920" w:hanging="851"/>
    </w:pPr>
    <w:rPr>
      <w:rFonts w:ascii="Garamond" w:eastAsia="Garamond" w:hAnsi="Garamond"/>
      <w:sz w:val="17"/>
      <w:szCs w:val="17"/>
    </w:rPr>
  </w:style>
  <w:style w:type="paragraph" w:customStyle="1" w:styleId="Heading11">
    <w:name w:val="Heading 11"/>
    <w:basedOn w:val="Normal"/>
    <w:uiPriority w:val="1"/>
    <w:qFormat/>
    <w:rsid w:val="00895E21"/>
    <w:pPr>
      <w:spacing w:before="68"/>
      <w:ind w:left="1069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895E21"/>
    <w:pPr>
      <w:spacing w:before="140"/>
      <w:ind w:left="1069"/>
      <w:outlineLvl w:val="2"/>
    </w:pPr>
    <w:rPr>
      <w:rFonts w:ascii="Arial" w:eastAsia="Arial" w:hAnsi="Arial"/>
      <w:b/>
      <w:bCs/>
    </w:rPr>
  </w:style>
  <w:style w:type="paragraph" w:customStyle="1" w:styleId="Heading31">
    <w:name w:val="Heading 31"/>
    <w:basedOn w:val="Normal"/>
    <w:uiPriority w:val="1"/>
    <w:qFormat/>
    <w:rsid w:val="00895E21"/>
    <w:pPr>
      <w:spacing w:before="123"/>
      <w:ind w:left="1126"/>
      <w:outlineLvl w:val="3"/>
    </w:pPr>
    <w:rPr>
      <w:rFonts w:ascii="Cambria" w:eastAsia="Cambria" w:hAnsi="Cambria"/>
      <w:i/>
      <w:sz w:val="18"/>
      <w:szCs w:val="18"/>
    </w:rPr>
  </w:style>
  <w:style w:type="paragraph" w:styleId="PargrafodaLista">
    <w:name w:val="List Paragraph"/>
    <w:basedOn w:val="Normal"/>
    <w:uiPriority w:val="1"/>
    <w:qFormat/>
    <w:rsid w:val="00895E21"/>
  </w:style>
  <w:style w:type="paragraph" w:customStyle="1" w:styleId="TableParagraph">
    <w:name w:val="Table Paragraph"/>
    <w:basedOn w:val="Normal"/>
    <w:uiPriority w:val="1"/>
    <w:qFormat/>
    <w:rsid w:val="00895E21"/>
  </w:style>
  <w:style w:type="paragraph" w:styleId="Textodebalo">
    <w:name w:val="Balloon Text"/>
    <w:basedOn w:val="Normal"/>
    <w:link w:val="TextodebaloChar"/>
    <w:uiPriority w:val="99"/>
    <w:semiHidden/>
    <w:unhideWhenUsed/>
    <w:rsid w:val="00E23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4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70F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0F3F"/>
  </w:style>
  <w:style w:type="paragraph" w:styleId="Rodap">
    <w:name w:val="footer"/>
    <w:basedOn w:val="Normal"/>
    <w:link w:val="RodapChar"/>
    <w:uiPriority w:val="99"/>
    <w:semiHidden/>
    <w:unhideWhenUsed/>
    <w:rsid w:val="00D70F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0F3F"/>
  </w:style>
  <w:style w:type="character" w:customStyle="1" w:styleId="Ttulo3Char">
    <w:name w:val="Título 3 Char"/>
    <w:basedOn w:val="Fontepargpadro"/>
    <w:link w:val="Ttulo3"/>
    <w:uiPriority w:val="9"/>
    <w:rsid w:val="008E1DDF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1797</Words>
  <Characters>9704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Master Traduções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Helio Corazza</dc:creator>
  <cp:lastModifiedBy>helio.corazza</cp:lastModifiedBy>
  <cp:revision>6</cp:revision>
  <cp:lastPrinted>2018-07-23T17:55:00Z</cp:lastPrinted>
  <dcterms:created xsi:type="dcterms:W3CDTF">2018-08-09T17:11:00Z</dcterms:created>
  <dcterms:modified xsi:type="dcterms:W3CDTF">2018-10-25T13:35:00Z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2018-06-10T00:00:00Z</vt:filetime>
  </property>
</Properties>
</file>