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36" w:rsidRPr="00FD4CC6" w:rsidRDefault="00A10A36" w:rsidP="00A10A36">
      <w:pPr>
        <w:widowControl w:val="0"/>
        <w:adjustRightInd w:val="0"/>
        <w:spacing w:after="0" w:line="240" w:lineRule="auto"/>
        <w:jc w:val="both"/>
        <w:textAlignment w:val="baseline"/>
        <w:rPr>
          <w:rFonts w:ascii="Arial" w:eastAsia="Times New Roman" w:hAnsi="Arial" w:cs="Arial"/>
          <w:b/>
          <w:lang w:eastAsia="pt-BR"/>
        </w:rPr>
      </w:pPr>
      <w:r w:rsidRPr="00FD4CC6">
        <w:rPr>
          <w:rFonts w:ascii="Arial" w:eastAsia="Times New Roman" w:hAnsi="Arial" w:cs="Arial"/>
          <w:b/>
          <w:lang w:eastAsia="pt-BR"/>
        </w:rPr>
        <w:t xml:space="preserve">NORMA BRASILEIRA DE CONTABILIDADE, NBC TSP </w:t>
      </w:r>
      <w:r>
        <w:rPr>
          <w:rFonts w:ascii="Arial" w:eastAsia="Times New Roman" w:hAnsi="Arial" w:cs="Arial"/>
          <w:b/>
          <w:lang w:eastAsia="pt-BR"/>
        </w:rPr>
        <w:t>29</w:t>
      </w:r>
      <w:r w:rsidRPr="00FD4CC6">
        <w:rPr>
          <w:rFonts w:ascii="Arial" w:eastAsia="Times New Roman" w:hAnsi="Arial" w:cs="Arial"/>
          <w:b/>
          <w:lang w:eastAsia="pt-BR"/>
        </w:rPr>
        <w:t>, DE xx DE xxxx DE 2020</w:t>
      </w:r>
    </w:p>
    <w:p w:rsidR="00A10A36" w:rsidRPr="00FD4CC6" w:rsidRDefault="00A10A36" w:rsidP="00A10A36">
      <w:pPr>
        <w:widowControl w:val="0"/>
        <w:adjustRightInd w:val="0"/>
        <w:spacing w:after="0" w:line="240" w:lineRule="auto"/>
        <w:jc w:val="center"/>
        <w:textAlignment w:val="baseline"/>
        <w:rPr>
          <w:rFonts w:ascii="Arial" w:eastAsia="Times New Roman" w:hAnsi="Arial" w:cs="Arial"/>
          <w:b/>
          <w:lang w:eastAsia="pt-BR"/>
        </w:rPr>
      </w:pPr>
    </w:p>
    <w:p w:rsidR="00A10A36" w:rsidRPr="00FD4CC6" w:rsidRDefault="00A10A36" w:rsidP="00A10A36">
      <w:pPr>
        <w:widowControl w:val="0"/>
        <w:adjustRightInd w:val="0"/>
        <w:spacing w:after="0" w:line="240" w:lineRule="auto"/>
        <w:jc w:val="center"/>
        <w:textAlignment w:val="baseline"/>
        <w:rPr>
          <w:rFonts w:ascii="Arial" w:eastAsia="Times New Roman" w:hAnsi="Arial" w:cs="Arial"/>
          <w:b/>
          <w:lang w:eastAsia="pt-BR"/>
        </w:rPr>
      </w:pPr>
    </w:p>
    <w:p w:rsidR="00A10A36" w:rsidRDefault="00A10A36" w:rsidP="00C44359">
      <w:pPr>
        <w:autoSpaceDE w:val="0"/>
        <w:autoSpaceDN w:val="0"/>
        <w:adjustRightInd w:val="0"/>
        <w:spacing w:after="0" w:line="240" w:lineRule="auto"/>
        <w:ind w:left="4962"/>
        <w:jc w:val="both"/>
        <w:rPr>
          <w:rFonts w:ascii="Arial" w:eastAsia="Times New Roman" w:hAnsi="Arial" w:cs="Arial"/>
          <w:lang w:eastAsia="pt-BR"/>
        </w:rPr>
      </w:pPr>
      <w:r w:rsidRPr="005A5256">
        <w:rPr>
          <w:rFonts w:ascii="Arial" w:eastAsia="Times New Roman" w:hAnsi="Arial" w:cs="Arial"/>
          <w:lang w:eastAsia="pt-BR"/>
        </w:rPr>
        <w:t xml:space="preserve">Aprova a NBC TSP </w:t>
      </w:r>
      <w:r>
        <w:rPr>
          <w:rFonts w:ascii="Arial" w:eastAsia="Times New Roman" w:hAnsi="Arial" w:cs="Arial"/>
          <w:lang w:eastAsia="pt-BR"/>
        </w:rPr>
        <w:t>29</w:t>
      </w:r>
      <w:r w:rsidRPr="005A5256">
        <w:rPr>
          <w:rFonts w:ascii="Arial" w:eastAsia="Times New Roman" w:hAnsi="Arial" w:cs="Arial"/>
          <w:lang w:eastAsia="pt-BR"/>
        </w:rPr>
        <w:t xml:space="preserve"> – </w:t>
      </w:r>
      <w:r w:rsidR="005C4A8E">
        <w:rPr>
          <w:rFonts w:ascii="Arial" w:eastAsia="Times New Roman" w:hAnsi="Arial" w:cs="Arial"/>
          <w:lang w:eastAsia="pt-BR"/>
        </w:rPr>
        <w:t xml:space="preserve">Divulgação de </w:t>
      </w:r>
      <w:r>
        <w:rPr>
          <w:rFonts w:ascii="Arial" w:eastAsia="Times New Roman" w:hAnsi="Arial" w:cs="Arial"/>
          <w:lang w:eastAsia="pt-BR"/>
        </w:rPr>
        <w:t>Informaç</w:t>
      </w:r>
      <w:r w:rsidR="005C4A8E">
        <w:rPr>
          <w:rFonts w:ascii="Arial" w:eastAsia="Times New Roman" w:hAnsi="Arial" w:cs="Arial"/>
          <w:lang w:eastAsia="pt-BR"/>
        </w:rPr>
        <w:t>ão Financeira do Setor Governo Geral</w:t>
      </w:r>
      <w:r>
        <w:rPr>
          <w:rFonts w:ascii="Arial" w:eastAsia="Times New Roman" w:hAnsi="Arial" w:cs="Arial"/>
          <w:lang w:eastAsia="pt-BR"/>
        </w:rPr>
        <w:t>.</w:t>
      </w:r>
    </w:p>
    <w:p w:rsidR="00A10A36" w:rsidRPr="00FD4CC6" w:rsidRDefault="00A10A36" w:rsidP="00A10A36">
      <w:pPr>
        <w:autoSpaceDE w:val="0"/>
        <w:autoSpaceDN w:val="0"/>
        <w:adjustRightInd w:val="0"/>
        <w:spacing w:after="0" w:line="240" w:lineRule="auto"/>
        <w:ind w:left="5245"/>
        <w:jc w:val="both"/>
        <w:rPr>
          <w:rFonts w:ascii="Arial" w:eastAsia="Times New Roman" w:hAnsi="Arial" w:cs="Arial"/>
          <w:b/>
          <w:lang w:eastAsia="pt-BR"/>
        </w:rPr>
      </w:pPr>
    </w:p>
    <w:p w:rsidR="00A10A36" w:rsidRPr="00FD4CC6" w:rsidRDefault="00A10A36" w:rsidP="00A10A36">
      <w:pPr>
        <w:widowControl w:val="0"/>
        <w:adjustRightInd w:val="0"/>
        <w:spacing w:after="0" w:line="240" w:lineRule="auto"/>
        <w:ind w:firstLine="708"/>
        <w:jc w:val="both"/>
        <w:textAlignment w:val="baseline"/>
        <w:rPr>
          <w:rFonts w:ascii="Arial" w:eastAsia="Times New Roman" w:hAnsi="Arial" w:cs="Arial"/>
        </w:rPr>
      </w:pPr>
    </w:p>
    <w:p w:rsidR="00A10A36" w:rsidRPr="00FD4CC6" w:rsidRDefault="00A10A36" w:rsidP="00A10A36">
      <w:pPr>
        <w:widowControl w:val="0"/>
        <w:adjustRightInd w:val="0"/>
        <w:spacing w:after="0" w:line="240" w:lineRule="auto"/>
        <w:ind w:firstLine="708"/>
        <w:jc w:val="both"/>
        <w:textAlignment w:val="baseline"/>
        <w:rPr>
          <w:rFonts w:ascii="Arial" w:eastAsia="Times New Roman" w:hAnsi="Arial" w:cs="Arial"/>
          <w:lang w:eastAsia="pt-BR"/>
        </w:rPr>
      </w:pPr>
      <w:r w:rsidRPr="00FD4CC6">
        <w:rPr>
          <w:rFonts w:ascii="Arial" w:eastAsia="Times New Roman" w:hAnsi="Arial" w:cs="Arial"/>
        </w:rPr>
        <w:t xml:space="preserve">O </w:t>
      </w:r>
      <w:r w:rsidRPr="00FD4CC6">
        <w:rPr>
          <w:rFonts w:ascii="Arial" w:eastAsia="Times New Roman" w:hAnsi="Arial" w:cs="Arial"/>
          <w:b/>
        </w:rPr>
        <w:t xml:space="preserve">CONSELHO FEDERAL DE CONTABILIDADE, </w:t>
      </w:r>
      <w:r w:rsidRPr="00FD4CC6">
        <w:rPr>
          <w:rFonts w:ascii="Arial" w:eastAsia="Times New Roman" w:hAnsi="Arial" w:cs="Arial"/>
        </w:rPr>
        <w:t xml:space="preserve">no exercício de suas atribuições legais e regimentais e com fundamento no disposto na alínea “f” do Art. 6º do Decreto-Lei n.º 9.295/1946, alterado pela Lei n.º 12.249/2010, alinhado com o processo de convergência das Normas Brasileiras de Contabilidade e conforme acordo firmado com a </w:t>
      </w:r>
      <w:r w:rsidRPr="00FD4CC6">
        <w:rPr>
          <w:rFonts w:ascii="Arial" w:eastAsia="Times New Roman" w:hAnsi="Arial" w:cs="Arial"/>
          <w:i/>
        </w:rPr>
        <w:t>International Federation of Accountants</w:t>
      </w:r>
      <w:r w:rsidRPr="00FD4CC6">
        <w:rPr>
          <w:rFonts w:ascii="Arial" w:eastAsia="Times New Roman" w:hAnsi="Arial" w:cs="Arial"/>
        </w:rPr>
        <w:t xml:space="preserve"> (Ifac) autorizando o CFC a traduzir, reproduzir e publicar as normas internacionais em formato eletrônico, faz saber que foi aprovada em seu Plenário a seguinte Norma Brasileira de Contabilidade (NBC), em consonância com a </w:t>
      </w:r>
      <w:r w:rsidRPr="00FD4CC6">
        <w:rPr>
          <w:rFonts w:ascii="Arial" w:eastAsia="Times New Roman" w:hAnsi="Arial" w:cs="Arial"/>
          <w:lang w:eastAsia="pt-BR"/>
        </w:rPr>
        <w:t xml:space="preserve">Ipsas </w:t>
      </w:r>
      <w:r>
        <w:rPr>
          <w:rFonts w:ascii="Arial" w:eastAsia="Times New Roman" w:hAnsi="Arial" w:cs="Arial"/>
          <w:lang w:eastAsia="pt-BR"/>
        </w:rPr>
        <w:t>22</w:t>
      </w:r>
      <w:r w:rsidRPr="00FD4CC6">
        <w:rPr>
          <w:rFonts w:ascii="Arial" w:eastAsia="Times New Roman" w:hAnsi="Arial" w:cs="Arial"/>
          <w:lang w:eastAsia="pt-BR"/>
        </w:rPr>
        <w:t xml:space="preserve"> – </w:t>
      </w:r>
      <w:r w:rsidR="005C4A8E">
        <w:rPr>
          <w:rFonts w:ascii="Arial" w:eastAsia="Times New Roman" w:hAnsi="Arial" w:cs="Arial"/>
          <w:i/>
          <w:lang w:eastAsia="pt-BR"/>
        </w:rPr>
        <w:t>Disclosure of Financial Information about the General Government Sector</w:t>
      </w:r>
      <w:r w:rsidRPr="00FD4CC6">
        <w:rPr>
          <w:rFonts w:ascii="Arial" w:eastAsia="Times New Roman" w:hAnsi="Arial" w:cs="Arial"/>
          <w:i/>
          <w:lang w:eastAsia="pt-BR"/>
        </w:rPr>
        <w:t>,</w:t>
      </w:r>
      <w:r w:rsidRPr="00FD4CC6">
        <w:rPr>
          <w:rFonts w:ascii="Arial" w:eastAsia="Times New Roman" w:hAnsi="Arial" w:cs="Arial"/>
          <w:lang w:eastAsia="pt-BR"/>
        </w:rPr>
        <w:t xml:space="preserve"> editada pelo </w:t>
      </w:r>
      <w:r w:rsidRPr="00FD4CC6">
        <w:rPr>
          <w:rFonts w:ascii="Arial" w:eastAsia="Times New Roman" w:hAnsi="Arial" w:cs="Arial"/>
          <w:i/>
          <w:lang w:eastAsia="pt-BR"/>
        </w:rPr>
        <w:t>International Public Sector Accounting Standards Board da International Federation of Accountants</w:t>
      </w:r>
      <w:r w:rsidRPr="00FD4CC6">
        <w:rPr>
          <w:rFonts w:ascii="Arial" w:eastAsia="Times New Roman" w:hAnsi="Arial" w:cs="Arial"/>
          <w:lang w:eastAsia="pt-BR"/>
        </w:rPr>
        <w:t xml:space="preserve"> (IPSASB/Ifac):</w:t>
      </w:r>
    </w:p>
    <w:p w:rsidR="00A10A36" w:rsidRDefault="00A10A36" w:rsidP="00A10A36">
      <w:pPr>
        <w:widowControl w:val="0"/>
        <w:adjustRightInd w:val="0"/>
        <w:spacing w:after="0" w:line="240" w:lineRule="auto"/>
        <w:jc w:val="both"/>
        <w:textAlignment w:val="baseline"/>
        <w:rPr>
          <w:rFonts w:ascii="Arial" w:eastAsia="Times New Roman" w:hAnsi="Arial" w:cs="Arial"/>
          <w:b/>
          <w:lang w:eastAsia="pt-BR"/>
        </w:rPr>
      </w:pPr>
    </w:p>
    <w:p w:rsidR="005C4A8E" w:rsidRPr="00FD4CC6" w:rsidRDefault="005C4A8E" w:rsidP="00A10A36">
      <w:pPr>
        <w:widowControl w:val="0"/>
        <w:adjustRightInd w:val="0"/>
        <w:spacing w:after="0" w:line="240" w:lineRule="auto"/>
        <w:jc w:val="both"/>
        <w:textAlignment w:val="baseline"/>
        <w:rPr>
          <w:rFonts w:ascii="Arial" w:eastAsia="Times New Roman" w:hAnsi="Arial" w:cs="Arial"/>
          <w:b/>
          <w:lang w:eastAsia="pt-BR"/>
        </w:rPr>
      </w:pPr>
    </w:p>
    <w:p w:rsidR="00A10A36" w:rsidRPr="00FD4CC6" w:rsidRDefault="00A10A36" w:rsidP="00A10A36">
      <w:pPr>
        <w:spacing w:after="0" w:line="240" w:lineRule="auto"/>
        <w:jc w:val="center"/>
        <w:rPr>
          <w:rFonts w:ascii="Arial" w:eastAsia="Times New Roman" w:hAnsi="Arial" w:cs="Arial"/>
          <w:b/>
          <w:lang w:eastAsia="pt-BR"/>
        </w:rPr>
      </w:pPr>
      <w:r w:rsidRPr="00FD4CC6">
        <w:rPr>
          <w:rFonts w:ascii="Arial" w:eastAsia="Times New Roman" w:hAnsi="Arial" w:cs="Arial"/>
          <w:b/>
          <w:lang w:eastAsia="pt-BR"/>
        </w:rPr>
        <w:t xml:space="preserve">NBC TSP </w:t>
      </w:r>
      <w:r>
        <w:rPr>
          <w:rFonts w:ascii="Arial" w:eastAsia="Times New Roman" w:hAnsi="Arial" w:cs="Arial"/>
          <w:b/>
          <w:lang w:eastAsia="pt-BR"/>
        </w:rPr>
        <w:t>2</w:t>
      </w:r>
      <w:r w:rsidR="005C4A8E">
        <w:rPr>
          <w:rFonts w:ascii="Arial" w:eastAsia="Times New Roman" w:hAnsi="Arial" w:cs="Arial"/>
          <w:b/>
          <w:lang w:eastAsia="pt-BR"/>
        </w:rPr>
        <w:t>9</w:t>
      </w:r>
      <w:r w:rsidRPr="00FD4CC6">
        <w:rPr>
          <w:rFonts w:ascii="Arial" w:eastAsia="Times New Roman" w:hAnsi="Arial" w:cs="Arial"/>
          <w:b/>
          <w:lang w:eastAsia="pt-BR"/>
        </w:rPr>
        <w:t xml:space="preserve"> – </w:t>
      </w:r>
      <w:r w:rsidR="005C4A8E" w:rsidRPr="005C4A8E">
        <w:rPr>
          <w:rFonts w:ascii="Arial" w:hAnsi="Arial" w:cs="Arial"/>
          <w:b/>
        </w:rPr>
        <w:t>DIVULGAÇÃO DE INFORMAÇÃO FINANCEIRA DO SETOR GOVERNO GERAL</w:t>
      </w:r>
    </w:p>
    <w:p w:rsidR="00A10A36" w:rsidRDefault="00A10A36" w:rsidP="00A10A36">
      <w:pPr>
        <w:autoSpaceDE w:val="0"/>
        <w:autoSpaceDN w:val="0"/>
        <w:adjustRightInd w:val="0"/>
        <w:spacing w:after="0" w:line="240" w:lineRule="auto"/>
        <w:jc w:val="both"/>
        <w:rPr>
          <w:rFonts w:ascii="Arial" w:hAnsi="Arial" w:cs="Arial"/>
        </w:rPr>
      </w:pPr>
    </w:p>
    <w:p w:rsidR="005C4A8E" w:rsidRPr="00FD4CC6" w:rsidRDefault="005C4A8E" w:rsidP="00A10A36">
      <w:pPr>
        <w:autoSpaceDE w:val="0"/>
        <w:autoSpaceDN w:val="0"/>
        <w:adjustRightInd w:val="0"/>
        <w:spacing w:after="0" w:line="240" w:lineRule="auto"/>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4"/>
        <w:gridCol w:w="1275"/>
      </w:tblGrid>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Sumário</w:t>
            </w:r>
          </w:p>
        </w:tc>
        <w:tc>
          <w:tcPr>
            <w:tcW w:w="1275"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Item</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Objetivo</w:t>
            </w:r>
          </w:p>
        </w:tc>
        <w:tc>
          <w:tcPr>
            <w:tcW w:w="1275"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1</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rPr>
                <w:rFonts w:ascii="Arial" w:eastAsia="Times New Roman" w:hAnsi="Arial" w:cs="Arial"/>
                <w:bCs/>
                <w:kern w:val="36"/>
                <w:lang w:eastAsia="pt-BR"/>
              </w:rPr>
            </w:pPr>
            <w:r w:rsidRPr="00FD4CC6">
              <w:rPr>
                <w:rFonts w:ascii="Arial" w:eastAsia="Times New Roman" w:hAnsi="Arial" w:cs="Arial"/>
                <w:bCs/>
                <w:kern w:val="36"/>
                <w:lang w:eastAsia="pt-BR"/>
              </w:rPr>
              <w:t>Alcance</w:t>
            </w:r>
          </w:p>
        </w:tc>
        <w:tc>
          <w:tcPr>
            <w:tcW w:w="1275" w:type="dxa"/>
            <w:tcBorders>
              <w:top w:val="single" w:sz="4" w:space="0" w:color="auto"/>
              <w:left w:val="single" w:sz="4" w:space="0" w:color="auto"/>
              <w:bottom w:val="single" w:sz="4" w:space="0" w:color="auto"/>
              <w:right w:val="single" w:sz="4" w:space="0" w:color="auto"/>
            </w:tcBorders>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2</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14</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A10A36" w:rsidRDefault="00A10A36" w:rsidP="00A10A36">
            <w:pPr>
              <w:spacing w:before="60" w:after="60" w:line="240" w:lineRule="auto"/>
              <w:ind w:left="318"/>
              <w:rPr>
                <w:rFonts w:ascii="Arial" w:eastAsia="Times New Roman" w:hAnsi="Arial" w:cs="Arial"/>
                <w:bCs/>
                <w:kern w:val="36"/>
                <w:lang w:eastAsia="pt-BR"/>
              </w:rPr>
            </w:pPr>
            <w:r w:rsidRPr="00A10A36">
              <w:rPr>
                <w:rFonts w:ascii="Arial" w:hAnsi="Arial" w:cs="Arial"/>
                <w:bCs/>
                <w:color w:val="000000"/>
              </w:rPr>
              <w:t>Informação por segmento</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7 – 8</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A10A36" w:rsidRDefault="00A10A36" w:rsidP="00A10A36">
            <w:pPr>
              <w:spacing w:before="60" w:after="60" w:line="240" w:lineRule="auto"/>
              <w:ind w:left="318"/>
              <w:rPr>
                <w:rFonts w:ascii="Arial" w:hAnsi="Arial" w:cs="Arial"/>
                <w:bCs/>
                <w:color w:val="000000"/>
              </w:rPr>
            </w:pPr>
            <w:r w:rsidRPr="00A10A36">
              <w:rPr>
                <w:rFonts w:ascii="Arial" w:hAnsi="Arial" w:cs="Arial"/>
                <w:bCs/>
                <w:color w:val="000000"/>
              </w:rPr>
              <w:t>Base estatística dos relatórios financeiros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9</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11</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A10A36" w:rsidRDefault="00A10A36" w:rsidP="00A10A36">
            <w:pPr>
              <w:spacing w:before="60" w:after="60" w:line="240" w:lineRule="auto"/>
              <w:ind w:left="318"/>
              <w:rPr>
                <w:rFonts w:ascii="Arial" w:eastAsia="Times New Roman" w:hAnsi="Arial" w:cs="Arial"/>
                <w:bCs/>
                <w:kern w:val="36"/>
                <w:lang w:eastAsia="pt-BR"/>
              </w:rPr>
            </w:pPr>
            <w:r w:rsidRPr="00A10A36">
              <w:rPr>
                <w:rFonts w:ascii="Arial" w:hAnsi="Arial" w:cs="Arial"/>
                <w:bCs/>
                <w:color w:val="000000"/>
              </w:rPr>
              <w:t>Política contábil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12 – 14</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A10A36" w:rsidRDefault="00A10A36" w:rsidP="00A10A36">
            <w:pPr>
              <w:spacing w:before="60" w:after="60" w:line="240" w:lineRule="auto"/>
              <w:ind w:left="34"/>
              <w:rPr>
                <w:rFonts w:ascii="Arial" w:eastAsia="Times New Roman" w:hAnsi="Arial" w:cs="Arial"/>
                <w:bCs/>
                <w:kern w:val="36"/>
                <w:lang w:eastAsia="pt-BR"/>
              </w:rPr>
            </w:pPr>
            <w:r w:rsidRPr="00A10A36">
              <w:rPr>
                <w:rFonts w:ascii="Arial" w:hAnsi="Arial" w:cs="Arial"/>
              </w:rPr>
              <w:t>Definições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1</w:t>
            </w:r>
            <w:r>
              <w:rPr>
                <w:rFonts w:ascii="Arial" w:eastAsia="Times New Roman" w:hAnsi="Arial" w:cs="Arial"/>
                <w:bCs/>
                <w:kern w:val="36"/>
                <w:lang w:eastAsia="pt-BR"/>
              </w:rPr>
              <w:t>5</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22</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A10A36" w:rsidRDefault="00A10A36" w:rsidP="00A10A36">
            <w:pPr>
              <w:spacing w:before="60" w:after="60" w:line="240" w:lineRule="auto"/>
              <w:ind w:left="318"/>
              <w:rPr>
                <w:rFonts w:ascii="Arial" w:eastAsia="Times New Roman" w:hAnsi="Arial" w:cs="Arial"/>
                <w:bCs/>
                <w:kern w:val="36"/>
                <w:lang w:eastAsia="pt-BR"/>
              </w:rPr>
            </w:pPr>
            <w:r w:rsidRPr="00A10A36">
              <w:rPr>
                <w:rFonts w:ascii="Arial" w:hAnsi="Arial" w:cs="Arial"/>
                <w:bCs/>
                <w:color w:val="000000"/>
              </w:rPr>
              <w:t>Setor Governo Geral (SGG)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17 – 22</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A10A36">
            <w:pPr>
              <w:spacing w:before="60" w:after="60" w:line="240" w:lineRule="auto"/>
              <w:ind w:left="601"/>
              <w:rPr>
                <w:rFonts w:ascii="Arial" w:eastAsia="Times New Roman" w:hAnsi="Arial" w:cs="Arial"/>
                <w:bCs/>
                <w:kern w:val="36"/>
                <w:lang w:eastAsia="pt-BR"/>
              </w:rPr>
            </w:pPr>
            <w:r w:rsidRPr="005C4A8E">
              <w:rPr>
                <w:rFonts w:ascii="Arial" w:hAnsi="Arial" w:cs="Arial"/>
                <w:iCs/>
                <w:color w:val="000000"/>
              </w:rPr>
              <w:t>Setor de empresas públicas financeiras (EPF)</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19</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5C4A8E">
            <w:pPr>
              <w:spacing w:before="60" w:after="60" w:line="240" w:lineRule="auto"/>
              <w:ind w:left="601"/>
              <w:rPr>
                <w:rFonts w:ascii="Arial" w:eastAsia="Times New Roman" w:hAnsi="Arial" w:cs="Arial"/>
                <w:bCs/>
                <w:kern w:val="36"/>
                <w:lang w:eastAsia="pt-BR"/>
              </w:rPr>
            </w:pPr>
            <w:r w:rsidRPr="005C4A8E">
              <w:rPr>
                <w:rFonts w:ascii="Arial" w:hAnsi="Arial" w:cs="Arial"/>
                <w:iCs/>
                <w:color w:val="000000"/>
              </w:rPr>
              <w:t>Setor de empresas públicas não financeiras (EPNF)</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A10A36">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20</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22</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5C4A8E">
            <w:pPr>
              <w:spacing w:before="60" w:after="60" w:line="240" w:lineRule="auto"/>
              <w:rPr>
                <w:rFonts w:ascii="Arial" w:eastAsia="Times New Roman" w:hAnsi="Arial" w:cs="Arial"/>
                <w:bCs/>
                <w:kern w:val="36"/>
                <w:lang w:eastAsia="pt-BR"/>
              </w:rPr>
            </w:pPr>
            <w:r w:rsidRPr="005C4A8E">
              <w:rPr>
                <w:rFonts w:ascii="Arial" w:hAnsi="Arial" w:cs="Arial"/>
                <w:bCs/>
                <w:color w:val="000000"/>
              </w:rPr>
              <w:t>Política contábil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5C4A8E">
            <w:pPr>
              <w:spacing w:before="60" w:after="60" w:line="240" w:lineRule="auto"/>
              <w:jc w:val="center"/>
              <w:rPr>
                <w:rFonts w:ascii="Arial" w:eastAsia="Times New Roman" w:hAnsi="Arial" w:cs="Arial"/>
                <w:bCs/>
                <w:kern w:val="36"/>
                <w:lang w:eastAsia="pt-BR"/>
              </w:rPr>
            </w:pPr>
            <w:r w:rsidRPr="00FD4CC6">
              <w:rPr>
                <w:rFonts w:ascii="Arial" w:eastAsia="Times New Roman" w:hAnsi="Arial" w:cs="Arial"/>
                <w:bCs/>
                <w:kern w:val="36"/>
                <w:lang w:eastAsia="pt-BR"/>
              </w:rPr>
              <w:t>2</w:t>
            </w:r>
            <w:r w:rsidR="005C4A8E">
              <w:rPr>
                <w:rFonts w:ascii="Arial" w:eastAsia="Times New Roman" w:hAnsi="Arial" w:cs="Arial"/>
                <w:bCs/>
                <w:kern w:val="36"/>
                <w:lang w:eastAsia="pt-BR"/>
              </w:rPr>
              <w:t>3</w:t>
            </w:r>
            <w:r w:rsidRPr="00FD4CC6">
              <w:rPr>
                <w:rFonts w:ascii="Arial" w:eastAsia="Times New Roman" w:hAnsi="Arial" w:cs="Arial"/>
                <w:bCs/>
                <w:kern w:val="36"/>
                <w:lang w:eastAsia="pt-BR"/>
              </w:rPr>
              <w:t xml:space="preserve"> – 3</w:t>
            </w:r>
            <w:r w:rsidR="005C4A8E">
              <w:rPr>
                <w:rFonts w:ascii="Arial" w:eastAsia="Times New Roman" w:hAnsi="Arial" w:cs="Arial"/>
                <w:bCs/>
                <w:kern w:val="36"/>
                <w:lang w:eastAsia="pt-BR"/>
              </w:rPr>
              <w:t>4</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5C4A8E">
            <w:pPr>
              <w:spacing w:before="60" w:after="60" w:line="240" w:lineRule="auto"/>
              <w:rPr>
                <w:rFonts w:ascii="Arial" w:eastAsia="Times New Roman" w:hAnsi="Arial" w:cs="Arial"/>
                <w:bCs/>
                <w:kern w:val="36"/>
                <w:lang w:eastAsia="pt-BR"/>
              </w:rPr>
            </w:pPr>
            <w:r w:rsidRPr="005C4A8E">
              <w:rPr>
                <w:rFonts w:ascii="Arial" w:hAnsi="Arial" w:cs="Arial"/>
              </w:rPr>
              <w:t>Divulgação</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5C4A8E">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3</w:t>
            </w:r>
            <w:r w:rsidR="005C4A8E">
              <w:rPr>
                <w:rFonts w:ascii="Arial" w:eastAsia="Times New Roman" w:hAnsi="Arial" w:cs="Arial"/>
                <w:bCs/>
                <w:kern w:val="36"/>
                <w:lang w:eastAsia="pt-BR"/>
              </w:rPr>
              <w:t>5</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4</w:t>
            </w:r>
            <w:r w:rsidR="005C4A8E">
              <w:rPr>
                <w:rFonts w:ascii="Arial" w:eastAsia="Times New Roman" w:hAnsi="Arial" w:cs="Arial"/>
                <w:bCs/>
                <w:kern w:val="36"/>
                <w:lang w:eastAsia="pt-BR"/>
              </w:rPr>
              <w:t>8</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A10A36">
            <w:pPr>
              <w:spacing w:before="60" w:after="60" w:line="240" w:lineRule="auto"/>
              <w:rPr>
                <w:rFonts w:ascii="Arial" w:eastAsia="Times New Roman" w:hAnsi="Arial" w:cs="Arial"/>
                <w:bCs/>
                <w:kern w:val="36"/>
                <w:lang w:eastAsia="pt-BR"/>
              </w:rPr>
            </w:pPr>
            <w:r w:rsidRPr="005C4A8E">
              <w:rPr>
                <w:rFonts w:ascii="Arial" w:hAnsi="Arial" w:cs="Arial"/>
              </w:rPr>
              <w:t>Conciliação com as demonstrações contábeis consolidadas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5C4A8E">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43</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4</w:t>
            </w:r>
            <w:r w:rsidR="005C4A8E">
              <w:rPr>
                <w:rFonts w:ascii="Arial" w:eastAsia="Times New Roman" w:hAnsi="Arial" w:cs="Arial"/>
                <w:bCs/>
                <w:kern w:val="36"/>
                <w:lang w:eastAsia="pt-BR"/>
              </w:rPr>
              <w:t>4</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5C4A8E" w:rsidRDefault="00A10A36" w:rsidP="00A10A36">
            <w:pPr>
              <w:spacing w:before="60" w:after="60" w:line="240" w:lineRule="auto"/>
              <w:rPr>
                <w:rFonts w:ascii="Arial" w:eastAsia="Times New Roman" w:hAnsi="Arial" w:cs="Arial"/>
                <w:bCs/>
                <w:kern w:val="36"/>
                <w:lang w:eastAsia="pt-BR"/>
              </w:rPr>
            </w:pPr>
            <w:r w:rsidRPr="005C4A8E">
              <w:rPr>
                <w:rFonts w:ascii="Arial" w:hAnsi="Arial" w:cs="Arial"/>
                <w:bCs/>
                <w:color w:val="000000"/>
              </w:rPr>
              <w:t>Conciliação com as bases estatísticas de relatórios financeiros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0A36" w:rsidRPr="00FD4CC6" w:rsidRDefault="00A10A36" w:rsidP="005C4A8E">
            <w:pPr>
              <w:spacing w:before="60" w:after="60" w:line="240" w:lineRule="auto"/>
              <w:jc w:val="center"/>
              <w:rPr>
                <w:rFonts w:ascii="Arial" w:eastAsia="Times New Roman" w:hAnsi="Arial" w:cs="Arial"/>
                <w:bCs/>
                <w:kern w:val="36"/>
                <w:lang w:eastAsia="pt-BR"/>
              </w:rPr>
            </w:pPr>
            <w:r>
              <w:rPr>
                <w:rFonts w:ascii="Arial" w:eastAsia="Times New Roman" w:hAnsi="Arial" w:cs="Arial"/>
                <w:bCs/>
                <w:kern w:val="36"/>
                <w:lang w:eastAsia="pt-BR"/>
              </w:rPr>
              <w:t>4</w:t>
            </w:r>
            <w:r w:rsidR="005C4A8E">
              <w:rPr>
                <w:rFonts w:ascii="Arial" w:eastAsia="Times New Roman" w:hAnsi="Arial" w:cs="Arial"/>
                <w:bCs/>
                <w:kern w:val="36"/>
                <w:lang w:eastAsia="pt-BR"/>
              </w:rPr>
              <w:t>5</w:t>
            </w:r>
            <w:r w:rsidRPr="00FD4CC6">
              <w:rPr>
                <w:rFonts w:ascii="Arial" w:eastAsia="Times New Roman" w:hAnsi="Arial" w:cs="Arial"/>
                <w:bCs/>
                <w:kern w:val="36"/>
                <w:lang w:eastAsia="pt-BR"/>
              </w:rPr>
              <w:t xml:space="preserve"> – </w:t>
            </w:r>
            <w:r>
              <w:rPr>
                <w:rFonts w:ascii="Arial" w:eastAsia="Times New Roman" w:hAnsi="Arial" w:cs="Arial"/>
                <w:bCs/>
                <w:kern w:val="36"/>
                <w:lang w:eastAsia="pt-BR"/>
              </w:rPr>
              <w:t>4</w:t>
            </w:r>
            <w:r w:rsidR="005C4A8E">
              <w:rPr>
                <w:rFonts w:ascii="Arial" w:eastAsia="Times New Roman" w:hAnsi="Arial" w:cs="Arial"/>
                <w:bCs/>
                <w:kern w:val="36"/>
                <w:lang w:eastAsia="pt-BR"/>
              </w:rPr>
              <w:t>8</w:t>
            </w:r>
          </w:p>
        </w:tc>
      </w:tr>
      <w:tr w:rsidR="00A10A36" w:rsidRPr="00FD4CC6" w:rsidTr="00A10A36">
        <w:tc>
          <w:tcPr>
            <w:tcW w:w="8364" w:type="dxa"/>
            <w:tcBorders>
              <w:top w:val="single" w:sz="4" w:space="0" w:color="auto"/>
              <w:left w:val="single" w:sz="4" w:space="0" w:color="auto"/>
              <w:bottom w:val="single" w:sz="4" w:space="0" w:color="auto"/>
              <w:right w:val="single" w:sz="4" w:space="0" w:color="auto"/>
            </w:tcBorders>
            <w:hideMark/>
          </w:tcPr>
          <w:p w:rsidR="00A10A36" w:rsidRPr="00256E71" w:rsidRDefault="00A10A36" w:rsidP="00A10A36">
            <w:pPr>
              <w:spacing w:before="60" w:after="60" w:line="240" w:lineRule="auto"/>
              <w:rPr>
                <w:rFonts w:ascii="Arial" w:hAnsi="Arial" w:cs="Arial"/>
              </w:rPr>
            </w:pPr>
            <w:r w:rsidRPr="00256E71">
              <w:rPr>
                <w:rFonts w:ascii="Arial" w:hAnsi="Arial" w:cs="Arial"/>
              </w:rPr>
              <w:t>Vigência</w:t>
            </w:r>
          </w:p>
        </w:tc>
        <w:tc>
          <w:tcPr>
            <w:tcW w:w="1275" w:type="dxa"/>
            <w:tcBorders>
              <w:top w:val="single" w:sz="4" w:space="0" w:color="auto"/>
              <w:left w:val="single" w:sz="4" w:space="0" w:color="auto"/>
              <w:bottom w:val="single" w:sz="4" w:space="0" w:color="auto"/>
              <w:right w:val="single" w:sz="4" w:space="0" w:color="auto"/>
            </w:tcBorders>
            <w:vAlign w:val="center"/>
          </w:tcPr>
          <w:p w:rsidR="00A10A36" w:rsidRDefault="00A10A36" w:rsidP="00A10A36">
            <w:pPr>
              <w:spacing w:before="60" w:after="60" w:line="240" w:lineRule="auto"/>
              <w:jc w:val="center"/>
              <w:rPr>
                <w:rFonts w:ascii="Arial" w:eastAsia="Times New Roman" w:hAnsi="Arial" w:cs="Arial"/>
                <w:bCs/>
                <w:kern w:val="36"/>
                <w:lang w:eastAsia="pt-BR"/>
              </w:rPr>
            </w:pPr>
          </w:p>
        </w:tc>
      </w:tr>
    </w:tbl>
    <w:p w:rsidR="00A10A36" w:rsidRPr="008E40BC" w:rsidRDefault="00A10A36" w:rsidP="00A10A36">
      <w:pPr>
        <w:autoSpaceDE w:val="0"/>
        <w:autoSpaceDN w:val="0"/>
        <w:adjustRightInd w:val="0"/>
        <w:spacing w:after="0" w:line="240" w:lineRule="auto"/>
        <w:jc w:val="both"/>
        <w:rPr>
          <w:rFonts w:ascii="Arial" w:hAnsi="Arial" w:cs="Arial"/>
        </w:rPr>
      </w:pPr>
    </w:p>
    <w:p w:rsidR="00A95BFA" w:rsidRDefault="00A95BFA" w:rsidP="00A95BFA">
      <w:pPr>
        <w:autoSpaceDE w:val="0"/>
        <w:autoSpaceDN w:val="0"/>
        <w:adjustRightInd w:val="0"/>
        <w:spacing w:after="0" w:line="240" w:lineRule="auto"/>
        <w:jc w:val="both"/>
        <w:rPr>
          <w:rFonts w:ascii="Arial" w:hAnsi="Arial" w:cs="Arial"/>
        </w:rPr>
      </w:pPr>
    </w:p>
    <w:p w:rsidR="005C4A8E" w:rsidRPr="00A95BFA" w:rsidRDefault="005C4A8E" w:rsidP="00A95BFA">
      <w:pPr>
        <w:autoSpaceDE w:val="0"/>
        <w:autoSpaceDN w:val="0"/>
        <w:adjustRightInd w:val="0"/>
        <w:spacing w:after="0" w:line="240" w:lineRule="auto"/>
        <w:jc w:val="both"/>
        <w:rPr>
          <w:rFonts w:ascii="Arial" w:hAnsi="Arial" w:cs="Arial"/>
        </w:rPr>
      </w:pPr>
    </w:p>
    <w:p w:rsidR="00A95BFA" w:rsidRPr="00A95BFA" w:rsidRDefault="00A95BFA" w:rsidP="00A95BFA">
      <w:pPr>
        <w:autoSpaceDE w:val="0"/>
        <w:autoSpaceDN w:val="0"/>
        <w:adjustRightInd w:val="0"/>
        <w:spacing w:after="0" w:line="240" w:lineRule="auto"/>
        <w:jc w:val="both"/>
        <w:rPr>
          <w:rFonts w:ascii="Arial" w:hAnsi="Arial" w:cs="Arial"/>
          <w:b/>
          <w:bCs/>
          <w:color w:val="000000"/>
        </w:rPr>
      </w:pPr>
      <w:r w:rsidRPr="00A95BFA">
        <w:rPr>
          <w:rFonts w:ascii="Arial" w:hAnsi="Arial" w:cs="Arial"/>
          <w:b/>
          <w:bCs/>
          <w:color w:val="000000"/>
        </w:rPr>
        <w:t xml:space="preserve">Objetivo </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 </w:t>
      </w:r>
      <w:r w:rsidRPr="00A95BFA">
        <w:rPr>
          <w:rFonts w:ascii="Arial" w:hAnsi="Arial" w:cs="Arial"/>
        </w:rPr>
        <w:tab/>
        <w:t>O objetivo desta Norma é estabelecer regras de divulgação para os governos que optem por apresentar informações sobre o Setor Governo Geral (SGG) em suas demonstrações contábeis consolidadas. A divulgação</w:t>
      </w:r>
      <w:r w:rsidR="005C4A8E" w:rsidRPr="00A95BFA">
        <w:rPr>
          <w:rFonts w:ascii="Arial" w:hAnsi="Arial" w:cs="Arial"/>
        </w:rPr>
        <w:t xml:space="preserve"> </w:t>
      </w:r>
      <w:r w:rsidRPr="00A95BFA">
        <w:rPr>
          <w:rFonts w:ascii="Arial" w:hAnsi="Arial" w:cs="Arial"/>
        </w:rPr>
        <w:t>de</w:t>
      </w:r>
      <w:r w:rsidR="005C4A8E" w:rsidRPr="00A95BFA">
        <w:rPr>
          <w:rFonts w:ascii="Arial" w:hAnsi="Arial" w:cs="Arial"/>
        </w:rPr>
        <w:t xml:space="preserve"> </w:t>
      </w:r>
      <w:r w:rsidRPr="00A95BFA">
        <w:rPr>
          <w:rFonts w:ascii="Arial" w:hAnsi="Arial" w:cs="Arial"/>
        </w:rPr>
        <w:t>informações adequadas sobre o SGG d</w:t>
      </w:r>
      <w:r w:rsidR="009E1014">
        <w:rPr>
          <w:rFonts w:ascii="Arial" w:hAnsi="Arial" w:cs="Arial"/>
        </w:rPr>
        <w:t>o</w:t>
      </w:r>
      <w:r w:rsidRPr="00A95BFA">
        <w:rPr>
          <w:rFonts w:ascii="Arial" w:hAnsi="Arial" w:cs="Arial"/>
        </w:rPr>
        <w:t xml:space="preserve"> governo pode aprimorar a transparência dos relatórios financeiros e proporcionar uma melhor compreensão do relacionamento entre as atividades de mercado e não de mercado do governo, e entre as demonstrações contábeis e as bases estatísticas de relatórios financeiros.</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b/>
          <w:bCs/>
          <w:color w:val="000000"/>
        </w:rPr>
      </w:pPr>
      <w:r w:rsidRPr="00A95BFA">
        <w:rPr>
          <w:rFonts w:ascii="Arial" w:hAnsi="Arial" w:cs="Arial"/>
          <w:b/>
          <w:bCs/>
          <w:color w:val="000000"/>
        </w:rPr>
        <w:lastRenderedPageBreak/>
        <w:t>Alcance</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b/>
          <w:bCs/>
          <w:color w:val="000000"/>
        </w:rPr>
      </w:pPr>
      <w:r w:rsidRPr="00A95BFA">
        <w:rPr>
          <w:rFonts w:ascii="Arial" w:hAnsi="Arial" w:cs="Arial"/>
          <w:b/>
        </w:rPr>
        <w:t xml:space="preserve">2. </w:t>
      </w:r>
      <w:r w:rsidRPr="00A95BFA">
        <w:rPr>
          <w:rFonts w:ascii="Arial" w:hAnsi="Arial" w:cs="Arial"/>
          <w:b/>
        </w:rPr>
        <w:tab/>
        <w:t>O governo que elabora e apresenta demonstrações contábeis consolidadas de acordo com o regime de competência e opta por divulgar informações financeiras do Setor Governo Geral deve fazer isto de acordo com as exigências desta Norma.</w:t>
      </w:r>
    </w:p>
    <w:p w:rsidR="00561E49" w:rsidRDefault="00561E49" w:rsidP="00561E49">
      <w:pPr>
        <w:autoSpaceDE w:val="0"/>
        <w:autoSpaceDN w:val="0"/>
        <w:adjustRightInd w:val="0"/>
        <w:spacing w:after="0" w:line="240" w:lineRule="auto"/>
        <w:ind w:left="567" w:hanging="567"/>
        <w:jc w:val="both"/>
        <w:rPr>
          <w:rFonts w:ascii="Arial" w:hAnsi="Arial" w:cs="Arial"/>
          <w:color w:val="000000"/>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color w:val="000000"/>
        </w:rPr>
        <w:t>3.</w:t>
      </w:r>
      <w:r w:rsidRPr="00A95BFA">
        <w:rPr>
          <w:rFonts w:ascii="Arial" w:hAnsi="Arial" w:cs="Arial"/>
        </w:rPr>
        <w:t xml:space="preserve"> </w:t>
      </w:r>
      <w:r w:rsidRPr="00A95BFA">
        <w:rPr>
          <w:rFonts w:ascii="Arial" w:hAnsi="Arial" w:cs="Arial"/>
        </w:rPr>
        <w:tab/>
        <w:t>Os governos obtêm recursos de tributos, transferências e de uma série de atividades de mercado e não de mercado para financiar suas atividades de prestação de serviços. Es</w:t>
      </w:r>
      <w:r w:rsidR="009E1014">
        <w:rPr>
          <w:rFonts w:ascii="Arial" w:hAnsi="Arial" w:cs="Arial"/>
        </w:rPr>
        <w:t>s</w:t>
      </w:r>
      <w:r w:rsidRPr="00A95BFA">
        <w:rPr>
          <w:rFonts w:ascii="Arial" w:hAnsi="Arial" w:cs="Arial"/>
        </w:rPr>
        <w:t>es atuam por meio de uma variedade de entidades para fornecer produtos e serviços para a sua população. Algumas entidades dependem primordialmente de dotações orçamentárias ou alocações de tributos ou de outras receitas governamentais para financiar suas atividades de prestação de serviços, mas podem também executar atividades geradoras de receitas adicionais que incluem, em alguns casos, a produção de bens e serviços para o mercado. Outras entidades podem gerar recursos primordialmente ou substancialmente dessas atividades.</w:t>
      </w:r>
    </w:p>
    <w:p w:rsidR="00561E49" w:rsidRDefault="00561E49" w:rsidP="00A95BFA">
      <w:pPr>
        <w:autoSpaceDE w:val="0"/>
        <w:autoSpaceDN w:val="0"/>
        <w:adjustRightInd w:val="0"/>
        <w:spacing w:after="0" w:line="240" w:lineRule="auto"/>
        <w:jc w:val="both"/>
        <w:rPr>
          <w:rFonts w:ascii="Arial" w:hAnsi="Arial" w:cs="Arial"/>
          <w:color w:val="000000"/>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color w:val="000000"/>
        </w:rPr>
        <w:t xml:space="preserve">4. </w:t>
      </w:r>
      <w:r w:rsidRPr="00A95BFA">
        <w:rPr>
          <w:rFonts w:ascii="Arial" w:hAnsi="Arial" w:cs="Arial"/>
          <w:color w:val="000000"/>
        </w:rPr>
        <w:tab/>
      </w:r>
      <w:r w:rsidRPr="00A95BFA">
        <w:rPr>
          <w:rFonts w:ascii="Arial" w:hAnsi="Arial" w:cs="Arial"/>
        </w:rPr>
        <w:t>As demonstrações contábeis d</w:t>
      </w:r>
      <w:r w:rsidR="006C6DAC">
        <w:rPr>
          <w:rFonts w:ascii="Arial" w:hAnsi="Arial" w:cs="Arial"/>
        </w:rPr>
        <w:t>o</w:t>
      </w:r>
      <w:r w:rsidRPr="00A95BFA">
        <w:rPr>
          <w:rFonts w:ascii="Arial" w:hAnsi="Arial" w:cs="Arial"/>
        </w:rPr>
        <w:t xml:space="preserve"> governo</w:t>
      </w:r>
      <w:r w:rsidR="006C6DAC">
        <w:rPr>
          <w:rFonts w:ascii="Arial" w:hAnsi="Arial" w:cs="Arial"/>
        </w:rPr>
        <w:t>,</w:t>
      </w:r>
      <w:r w:rsidRPr="00A95BFA">
        <w:rPr>
          <w:rFonts w:ascii="Arial" w:hAnsi="Arial" w:cs="Arial"/>
        </w:rPr>
        <w:t xml:space="preserve"> elaboradas de acordo com as NBCs TSP</w:t>
      </w:r>
      <w:r w:rsidR="006C6DAC">
        <w:rPr>
          <w:rFonts w:ascii="Arial" w:hAnsi="Arial" w:cs="Arial"/>
        </w:rPr>
        <w:t>,</w:t>
      </w:r>
      <w:r w:rsidRPr="00A95BFA">
        <w:rPr>
          <w:rFonts w:ascii="Arial" w:hAnsi="Arial" w:cs="Arial"/>
        </w:rPr>
        <w:t xml:space="preserve"> fornecem uma visão geral (a) dos ativos controlados e dos passivos incorridos pelo governo, (b) do custo dos serviços prestados por ele e (c) da tributação e de outras receitas geradas para financiar a prestação de tais serviços. As demonstrações contábeis d</w:t>
      </w:r>
      <w:r w:rsidR="006C6DAC">
        <w:rPr>
          <w:rFonts w:ascii="Arial" w:hAnsi="Arial" w:cs="Arial"/>
        </w:rPr>
        <w:t>o</w:t>
      </w:r>
      <w:r w:rsidRPr="00A95BFA">
        <w:rPr>
          <w:rFonts w:ascii="Arial" w:hAnsi="Arial" w:cs="Arial"/>
        </w:rPr>
        <w:t xml:space="preserve"> governo que presta serviços por meio de entidades controladas, dependentes</w:t>
      </w:r>
      <w:r w:rsidR="006C6DAC">
        <w:rPr>
          <w:rFonts w:ascii="Arial" w:hAnsi="Arial" w:cs="Arial"/>
        </w:rPr>
        <w:t>,</w:t>
      </w:r>
      <w:r w:rsidRPr="00A95BFA">
        <w:rPr>
          <w:rFonts w:ascii="Arial" w:hAnsi="Arial" w:cs="Arial"/>
        </w:rPr>
        <w:t xml:space="preserve"> ou não</w:t>
      </w:r>
      <w:r w:rsidR="006C6DAC">
        <w:rPr>
          <w:rFonts w:ascii="Arial" w:hAnsi="Arial" w:cs="Arial"/>
        </w:rPr>
        <w:t>,</w:t>
      </w:r>
      <w:r w:rsidRPr="00A95BFA">
        <w:rPr>
          <w:rFonts w:ascii="Arial" w:hAnsi="Arial" w:cs="Arial"/>
        </w:rPr>
        <w:t xml:space="preserve"> do orçamento do governo para financiar as suas atividades, são demonstrações contábeis consolidadas.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5. </w:t>
      </w:r>
      <w:r w:rsidRPr="00A95BFA">
        <w:rPr>
          <w:rFonts w:ascii="Arial" w:hAnsi="Arial" w:cs="Arial"/>
        </w:rPr>
        <w:tab/>
        <w:t>As demonstrações contábeis e os orçamentos do governo, ou dos seus setores, também podem ser divulgados de acordo com bases estatísticas de relatórios financeiros. Es</w:t>
      </w:r>
      <w:r w:rsidR="006C6DAC">
        <w:rPr>
          <w:rFonts w:ascii="Arial" w:hAnsi="Arial" w:cs="Arial"/>
        </w:rPr>
        <w:t>s</w:t>
      </w:r>
      <w:r w:rsidRPr="00A95BFA">
        <w:rPr>
          <w:rFonts w:ascii="Arial" w:hAnsi="Arial" w:cs="Arial"/>
        </w:rPr>
        <w:t xml:space="preserve">as bases refletem as exigências oriundas do </w:t>
      </w:r>
      <w:r w:rsidRPr="00A95BFA">
        <w:rPr>
          <w:rFonts w:ascii="Arial" w:hAnsi="Arial" w:cs="Arial"/>
          <w:i/>
        </w:rPr>
        <w:t>System of National Accounts</w:t>
      </w:r>
      <w:r w:rsidRPr="00A95BFA">
        <w:rPr>
          <w:rFonts w:ascii="Arial" w:hAnsi="Arial" w:cs="Arial"/>
        </w:rPr>
        <w:t xml:space="preserve"> de 1993 (SNA 93) elaborado pelas Nações Unidas e outras organizações internacionais (e suas atualizações). Essas bases estatísticas de relatórios financeiros se concentram no fornecimento de informações financeiras sobre o SGG. O SGG compreende entidades públicas que realizam atividades não de mercado e que dependem primordialmente de dotações orçamentárias ou alocações do orçamento do governo para financiar suas atividades de prestação de serviços (referidas doravante como entidades ou atividades não de mercado). As bases estatísticas de relatórios financeiros podem também fornecer informação sobre (a) o setor de empresas públicas</w:t>
      </w:r>
      <w:r w:rsidR="006C6DAC">
        <w:rPr>
          <w:rStyle w:val="Refdenotaderodap"/>
          <w:rFonts w:ascii="Arial" w:hAnsi="Arial" w:cs="Arial"/>
        </w:rPr>
        <w:footnoteReference w:id="1"/>
      </w:r>
      <w:r w:rsidRPr="00A95BFA">
        <w:rPr>
          <w:rFonts w:ascii="Arial" w:hAnsi="Arial" w:cs="Arial"/>
        </w:rPr>
        <w:t xml:space="preserve"> que se envolvem primordialmente em atividades de mercado (geralmente caracterizadas como Setor Empresas Públicas Financeiras </w:t>
      </w:r>
      <w:r w:rsidR="006C6DAC">
        <w:rPr>
          <w:rFonts w:ascii="Arial" w:hAnsi="Arial" w:cs="Arial"/>
        </w:rPr>
        <w:t>(</w:t>
      </w:r>
      <w:r w:rsidRPr="00A95BFA">
        <w:rPr>
          <w:rFonts w:ascii="Arial" w:hAnsi="Arial" w:cs="Arial"/>
        </w:rPr>
        <w:t>EPF</w:t>
      </w:r>
      <w:r w:rsidR="006C6DAC">
        <w:rPr>
          <w:rFonts w:ascii="Arial" w:hAnsi="Arial" w:cs="Arial"/>
        </w:rPr>
        <w:t>)</w:t>
      </w:r>
      <w:r w:rsidRPr="00A95BFA">
        <w:rPr>
          <w:rFonts w:ascii="Arial" w:hAnsi="Arial" w:cs="Arial"/>
          <w:b/>
          <w:bCs/>
          <w:color w:val="000000"/>
        </w:rPr>
        <w:t xml:space="preserve"> </w:t>
      </w:r>
      <w:r w:rsidRPr="00A95BFA">
        <w:rPr>
          <w:rFonts w:ascii="Arial" w:hAnsi="Arial" w:cs="Arial"/>
        </w:rPr>
        <w:t xml:space="preserve">e Setor Empresas Públicas não Financeiras </w:t>
      </w:r>
      <w:r w:rsidR="006C6DAC">
        <w:rPr>
          <w:rFonts w:ascii="Arial" w:hAnsi="Arial" w:cs="Arial"/>
        </w:rPr>
        <w:t>(</w:t>
      </w:r>
      <w:r w:rsidRPr="00A95BFA">
        <w:rPr>
          <w:rFonts w:ascii="Arial" w:hAnsi="Arial" w:cs="Arial"/>
        </w:rPr>
        <w:t>EPNF)</w:t>
      </w:r>
      <w:r w:rsidR="006C6DAC">
        <w:rPr>
          <w:rFonts w:ascii="Arial" w:hAnsi="Arial" w:cs="Arial"/>
        </w:rPr>
        <w:t>)</w:t>
      </w:r>
      <w:r w:rsidRPr="00A95BFA">
        <w:rPr>
          <w:rFonts w:ascii="Arial" w:hAnsi="Arial" w:cs="Arial"/>
        </w:rPr>
        <w:t xml:space="preserve"> e o setor público como um todo. As características principais dos setores de EPF e de EPNF estão descritas nos itens 19 e 20.</w:t>
      </w:r>
    </w:p>
    <w:p w:rsidR="00A95BFA" w:rsidRPr="00A95BFA" w:rsidRDefault="00A95BFA"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rPr>
        <w:t xml:space="preserve">6. </w:t>
      </w:r>
      <w:r w:rsidRPr="00A95BFA">
        <w:rPr>
          <w:rFonts w:ascii="Arial" w:hAnsi="Arial" w:cs="Arial"/>
        </w:rPr>
        <w:tab/>
        <w:t>As demonstrações contábeis consolidam somente entidades controladas e tal limitação não está presente nas bases estatísticas de relatórios financeiros. De acordo com as bases estatísticas de relatórios financeiros, combinam-se os SGG</w:t>
      </w:r>
      <w:r w:rsidR="006C6DAC">
        <w:rPr>
          <w:rFonts w:ascii="Arial" w:hAnsi="Arial" w:cs="Arial"/>
        </w:rPr>
        <w:t>s</w:t>
      </w:r>
      <w:r w:rsidRPr="00A95BFA">
        <w:rPr>
          <w:rFonts w:ascii="Arial" w:hAnsi="Arial" w:cs="Arial"/>
        </w:rPr>
        <w:t xml:space="preserve"> de todos os níveis de governo; assim, o SGG pode incluir unidades que as demonstrações contábeis não consolidam. Esta Norma desagrega as demonstrações contábeis consolidadas do governo. Portanto, proíbe a apresentação, como parte do SGG, de qualquer entidade não consolidada nas demonstrações contábeis dos governos.</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Informação por segmento</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7. </w:t>
      </w:r>
      <w:r w:rsidRPr="00A95BFA">
        <w:rPr>
          <w:rFonts w:ascii="Arial" w:hAnsi="Arial" w:cs="Arial"/>
        </w:rPr>
        <w:tab/>
        <w:t xml:space="preserve">A NBC TSP 28 </w:t>
      </w:r>
      <w:r w:rsidR="006C6DAC">
        <w:rPr>
          <w:rFonts w:ascii="Arial" w:hAnsi="Arial" w:cs="Arial"/>
        </w:rPr>
        <w:t xml:space="preserve">– Informações por Segmento </w:t>
      </w:r>
      <w:r w:rsidRPr="00A95BFA">
        <w:rPr>
          <w:rFonts w:ascii="Arial" w:hAnsi="Arial" w:cs="Arial"/>
        </w:rPr>
        <w:t>requer a divulgação de determinada informação sobre as atividades de prestação de serviços da entidade e os recursos alocados a essas atividades para fins de prestação de contas e responsabilização (</w:t>
      </w:r>
      <w:r w:rsidRPr="00A95BFA">
        <w:rPr>
          <w:rFonts w:ascii="Arial" w:hAnsi="Arial" w:cs="Arial"/>
          <w:i/>
          <w:iCs/>
        </w:rPr>
        <w:t>accountability</w:t>
      </w:r>
      <w:r w:rsidRPr="00A95BFA">
        <w:rPr>
          <w:rFonts w:ascii="Arial" w:hAnsi="Arial" w:cs="Arial"/>
        </w:rPr>
        <w:t xml:space="preserve">) e de tomada de decisão. Ao contrário dos setores apresentados sob as </w:t>
      </w:r>
      <w:r w:rsidRPr="00A95BFA">
        <w:rPr>
          <w:rFonts w:ascii="Arial" w:hAnsi="Arial" w:cs="Arial"/>
        </w:rPr>
        <w:lastRenderedPageBreak/>
        <w:t>bases estatísticas de relatórios financeiros, os segmentos divulgados</w:t>
      </w:r>
      <w:r w:rsidR="006C6DAC">
        <w:rPr>
          <w:rFonts w:ascii="Arial" w:hAnsi="Arial" w:cs="Arial"/>
        </w:rPr>
        <w:t>,</w:t>
      </w:r>
      <w:r w:rsidRPr="00A95BFA">
        <w:rPr>
          <w:rFonts w:ascii="Arial" w:hAnsi="Arial" w:cs="Arial"/>
        </w:rPr>
        <w:t xml:space="preserve"> de acordo com a NBC TSP 28</w:t>
      </w:r>
      <w:r w:rsidR="006C6DAC">
        <w:rPr>
          <w:rFonts w:ascii="Arial" w:hAnsi="Arial" w:cs="Arial"/>
        </w:rPr>
        <w:t>,</w:t>
      </w:r>
      <w:r w:rsidRPr="00A95BFA">
        <w:rPr>
          <w:rFonts w:ascii="Arial" w:hAnsi="Arial" w:cs="Arial"/>
        </w:rPr>
        <w:t xml:space="preserve"> não estão baseados na distinção entre atividades de mercado e não de mercado.</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8. </w:t>
      </w:r>
      <w:r w:rsidRPr="00A95BFA">
        <w:rPr>
          <w:rFonts w:ascii="Arial" w:hAnsi="Arial" w:cs="Arial"/>
        </w:rPr>
        <w:tab/>
        <w:t>A divulgação da informação sobre o SGG não substitui a necessidade de fazer divulgações de segmentos de acordo com NBC TSP 28. Isso porque a informação sobre o SGG, isoladamente, não fornece detalhes suficientes que permitam aos usuários avaliar o desempenho passado da entidade quanto ao alcance dos objetivos principais da prestação de serviços, quando esses objetivos são alcançados por meio de entidades diferentes das do SGG. Por exemplo, identificar o SGG como segmento não fornece informação sobre o desempenho do governo quanto ao alcance de seus objetivos relativos à telecomunicação, em que as empresas públicas ou as quase-corporações do governo prestam os serviços relativos àqueles objetivos. Uma vez que o SGG é somente um subconjunto do governo como um todo, informações importantes seriam omitidas se o governo não apresentasse a informação de segmentos em relação às suas demonstrações contábeis consolidadas.</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Base estatística dos relatórios financeiros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9. </w:t>
      </w:r>
      <w:r w:rsidRPr="00A95BFA">
        <w:rPr>
          <w:rFonts w:ascii="Arial" w:hAnsi="Arial" w:cs="Arial"/>
        </w:rPr>
        <w:tab/>
        <w:t>Os objetivos das demonstrações contábeis elaboradas de acordo com as NBCs TSP e daquelas elaboradas de acordo com bases estatísticas dos relatórios financeiros diferem em alguns aspectos. Os objetivos das demonstrações contábeis elaboradas</w:t>
      </w:r>
      <w:r w:rsidR="006C6DAC">
        <w:rPr>
          <w:rFonts w:ascii="Arial" w:hAnsi="Arial" w:cs="Arial"/>
        </w:rPr>
        <w:t>,</w:t>
      </w:r>
      <w:r w:rsidRPr="00A95BFA">
        <w:rPr>
          <w:rFonts w:ascii="Arial" w:hAnsi="Arial" w:cs="Arial"/>
        </w:rPr>
        <w:t xml:space="preserve"> de acordo com as NBCs TSP</w:t>
      </w:r>
      <w:r w:rsidR="006C6DAC">
        <w:rPr>
          <w:rFonts w:ascii="Arial" w:hAnsi="Arial" w:cs="Arial"/>
        </w:rPr>
        <w:t>,</w:t>
      </w:r>
      <w:r w:rsidRPr="00A95BFA">
        <w:rPr>
          <w:rFonts w:ascii="Arial" w:hAnsi="Arial" w:cs="Arial"/>
        </w:rPr>
        <w:t xml:space="preserve"> são fornecer informação útil à tomada de decisão e demonstrar a responsabilização e a prestação de contas da entidade quanto aos recursos confiados a ela e por ela controlados. A finalidade das demonstrações contábeis elaboradas de acordo com bases estatísticas de relatórios financeiros é fornecer informação apropriada para análise e avaliação da política fiscal, especialmente do desempenho do SGG e do setor público mais amplo de qualquer país. Além disso, embora as bases estatísticas de relatórios financeiros possam ser descritas em termos contábeis, elas podem divergir de maneira importante do sistema de contabilidade de onde se deriva a maioria das estatísticas sobre finanças públicas. Entretanto, as NBCs TSP e as bases estatísticas de relatórios financeiros também apresentam similaridades no tratamento de transações e eventos. Por exemplo, elas adotam o regime de competência, tratam de transações e eventos similares e, em alguns casos, requerem um tipo similar de estrutura de divulgação.</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10. </w:t>
      </w:r>
      <w:r w:rsidRPr="00A95BFA">
        <w:rPr>
          <w:rFonts w:ascii="Arial" w:hAnsi="Arial" w:cs="Arial"/>
        </w:rPr>
        <w:tab/>
        <w:t xml:space="preserve">A divulgação de informação apropriada sobre o SGG em demonstrações contábeis pode dar suporte e melhorar a tomada de decisão e a prestação de contas e </w:t>
      </w:r>
      <w:r w:rsidR="006C6DAC">
        <w:rPr>
          <w:rFonts w:ascii="Arial" w:hAnsi="Arial" w:cs="Arial"/>
        </w:rPr>
        <w:t xml:space="preserve">a </w:t>
      </w:r>
      <w:r w:rsidRPr="00A95BFA">
        <w:rPr>
          <w:rFonts w:ascii="Arial" w:hAnsi="Arial" w:cs="Arial"/>
        </w:rPr>
        <w:t>responsabilização aos usuários dessas demonstrações. Por exemplo, a divulgação de informação sobre o SGG é consistente com a transparência aprimorada gerada pelas informações financeiras e auxilia os usuários das demonstrações a terem uma melhor compreensão sobre:</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rPr>
        <w:t xml:space="preserve">(a) </w:t>
      </w:r>
      <w:r w:rsidRPr="00A95BFA">
        <w:rPr>
          <w:rFonts w:ascii="Arial" w:hAnsi="Arial" w:cs="Arial"/>
        </w:rPr>
        <w:tab/>
        <w:t>os recursos alocados para dar suporte às atividades de prestação de serviços pelo SGG e o desempenho do governo nessa prestação de serviços;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rPr>
        <w:t xml:space="preserve">(b) </w:t>
      </w:r>
      <w:r w:rsidRPr="00A95BFA">
        <w:rPr>
          <w:rFonts w:ascii="Arial" w:hAnsi="Arial" w:cs="Arial"/>
        </w:rPr>
        <w:tab/>
        <w:t>o relacionamento entre o SGG e o setor de empresas públicas, e o impacto que cada um tem no desempenho global.</w:t>
      </w:r>
    </w:p>
    <w:p w:rsidR="00561E49" w:rsidRDefault="00561E49" w:rsidP="00A95BFA">
      <w:pPr>
        <w:autoSpaceDE w:val="0"/>
        <w:autoSpaceDN w:val="0"/>
        <w:adjustRightInd w:val="0"/>
        <w:spacing w:after="0" w:line="240" w:lineRule="auto"/>
        <w:jc w:val="both"/>
        <w:rPr>
          <w:rFonts w:ascii="Arial" w:hAnsi="Arial" w:cs="Arial"/>
          <w:color w:val="000000"/>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color w:val="000000"/>
        </w:rPr>
        <w:t>11.</w:t>
      </w:r>
      <w:r w:rsidRPr="00A95BFA">
        <w:rPr>
          <w:rFonts w:ascii="Arial" w:hAnsi="Arial" w:cs="Arial"/>
        </w:rPr>
        <w:t xml:space="preserve"> </w:t>
      </w:r>
      <w:r w:rsidRPr="00A95BFA">
        <w:rPr>
          <w:rFonts w:ascii="Arial" w:hAnsi="Arial" w:cs="Arial"/>
        </w:rPr>
        <w:tab/>
        <w:t>No caso das demonstrações contábeis do governo elaboradas de acordo com bases estatísticas de relatórios financeiros e amplamente publicadas, a divulgação da informação sobre o SGG nas demonstrações contábeis gera uma ligação útil entre as demonstrações elaboradas de acordo com as NBCs TSP e aquelas elaboradas de acordo com bases estatísticas de relatórios financeiros. Isso auxilia os usuários a conciliarem as informações apresentadas nas demonstrações contábeis com as informações apresentadas nos relatórios estatísticos. A NBC TSP 13 – Apresentação de Informação Orçamentária nas Demonstrações Contábeis exige que as demonstrações contábeis incluam a comparação entre valores orçados e realizados em base comparável com aquela adotada no orçamento. Quando os orçamentos do governo são elaborados para o SGG e não para o governo como um todo, a informação financeira sobre o SGG divulgada de acordo com esta Norma será relevante para as comparações exigidas por aquela NBC TSP.</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Política contábil</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12. </w:t>
      </w:r>
      <w:r w:rsidRPr="00A95BFA">
        <w:rPr>
          <w:rFonts w:ascii="Arial" w:hAnsi="Arial" w:cs="Arial"/>
        </w:rPr>
        <w:tab/>
        <w:t xml:space="preserve">A NBC TSP 23 </w:t>
      </w:r>
      <w:r w:rsidR="006C6DAC">
        <w:rPr>
          <w:rFonts w:ascii="Arial" w:hAnsi="Arial" w:cs="Arial"/>
        </w:rPr>
        <w:t xml:space="preserve">– Políticas Contábeis, Mudança de Estimativa e Retificação de Erro </w:t>
      </w:r>
      <w:r w:rsidRPr="00A95BFA">
        <w:rPr>
          <w:rFonts w:ascii="Arial" w:hAnsi="Arial" w:cs="Arial"/>
        </w:rPr>
        <w:t>exige o desenvolvimento de políticas contábeis para assegurar que as demonstrações contábeis proporcionem informações que atendam a um conjunto de características qualitativas. A compilação e a apresentação dos dados do SGG que satisfaçam às características qualitativas da informação disponibilizada nas demonstrações contábeis e as exigências de auditoria a elas relacionadas podem se somar de modo significativo à carga de trabalho dos responsáveis pela elaboração das demonstrações contábeis e dos auditores e aumentar a complexidade das demonstrações contábeis. Portanto, esta Norma permite, mas não exige, a divulgação da informação sobre o SGG. A divulgação</w:t>
      </w:r>
      <w:r w:rsidR="00195327">
        <w:rPr>
          <w:rFonts w:ascii="Arial" w:hAnsi="Arial" w:cs="Arial"/>
        </w:rPr>
        <w:t>,</w:t>
      </w:r>
      <w:r w:rsidRPr="00A95BFA">
        <w:rPr>
          <w:rFonts w:ascii="Arial" w:hAnsi="Arial" w:cs="Arial"/>
        </w:rPr>
        <w:t xml:space="preserve"> ou não</w:t>
      </w:r>
      <w:r w:rsidR="00195327">
        <w:rPr>
          <w:rFonts w:ascii="Arial" w:hAnsi="Arial" w:cs="Arial"/>
        </w:rPr>
        <w:t>,</w:t>
      </w:r>
      <w:r w:rsidRPr="00A95BFA">
        <w:rPr>
          <w:rFonts w:ascii="Arial" w:hAnsi="Arial" w:cs="Arial"/>
        </w:rPr>
        <w:t xml:space="preserve"> da informação sobre o SGG nas demonstrações contábeis é determinada pelo governo ou por outra autoridade competente.</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13. </w:t>
      </w:r>
      <w:r w:rsidRPr="00A95BFA">
        <w:rPr>
          <w:rFonts w:ascii="Arial" w:hAnsi="Arial" w:cs="Arial"/>
        </w:rPr>
        <w:tab/>
        <w:t xml:space="preserve">Esta Norma exige que, quando as divulgações sobre o SGG sejam realizadas nas demonstrações contábeis, essas divulgações devem ser realizadas de acordo com as exigências prescritas nesta Norma. Isso assegura que a representação adequada do SGG seja realizada nas demonstrações contábeis e que as divulgações sobre o SGG satisfaçam </w:t>
      </w:r>
      <w:r w:rsidR="00195327">
        <w:rPr>
          <w:rFonts w:ascii="Arial" w:hAnsi="Arial" w:cs="Arial"/>
        </w:rPr>
        <w:t>à</w:t>
      </w:r>
      <w:r w:rsidRPr="00A95BFA">
        <w:rPr>
          <w:rFonts w:ascii="Arial" w:hAnsi="Arial" w:cs="Arial"/>
        </w:rPr>
        <w:t>s características qualitativas da informação contábil, incluindo a compreensibilidade, relevância, confiabilidade e comparabilidade.</w:t>
      </w:r>
    </w:p>
    <w:p w:rsidR="00A95BFA" w:rsidRPr="00A95BFA" w:rsidRDefault="00A95BFA"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color w:val="000000"/>
        </w:rPr>
        <w:t>14.</w:t>
      </w:r>
      <w:r w:rsidRPr="00A95BFA">
        <w:rPr>
          <w:rFonts w:ascii="Arial" w:hAnsi="Arial" w:cs="Arial"/>
        </w:rPr>
        <w:t xml:space="preserve"> </w:t>
      </w:r>
      <w:r w:rsidRPr="00A95BFA">
        <w:rPr>
          <w:rFonts w:ascii="Arial" w:hAnsi="Arial" w:cs="Arial"/>
        </w:rPr>
        <w:tab/>
        <w:t xml:space="preserve">As NBCs TSP geralmente se aplicam a todas as entidades do setor público. No entanto, só é possível divulgar uma representação significativa do SGG para </w:t>
      </w:r>
      <w:r w:rsidR="00195327">
        <w:rPr>
          <w:rFonts w:ascii="Arial" w:hAnsi="Arial" w:cs="Arial"/>
        </w:rPr>
        <w:t>o</w:t>
      </w:r>
      <w:r w:rsidR="00195327" w:rsidRPr="00A95BFA">
        <w:rPr>
          <w:rFonts w:ascii="Arial" w:hAnsi="Arial" w:cs="Arial"/>
        </w:rPr>
        <w:t xml:space="preserve"> </w:t>
      </w:r>
      <w:r w:rsidRPr="00A95BFA">
        <w:rPr>
          <w:rFonts w:ascii="Arial" w:hAnsi="Arial" w:cs="Arial"/>
        </w:rPr>
        <w:t xml:space="preserve">governo – e não para as suas entidades controladas individuais. Consequentemente, esta Norma especifica as exigências a serem aplicadas somente por governos que elaboram demonstrações contábeis consolidadas de acordo com o regime de competência, conforme definido pelas NBCs TSP. </w:t>
      </w:r>
    </w:p>
    <w:p w:rsidR="00A95BFA" w:rsidRDefault="00A95BFA" w:rsidP="00A95BFA">
      <w:pPr>
        <w:autoSpaceDE w:val="0"/>
        <w:autoSpaceDN w:val="0"/>
        <w:adjustRightInd w:val="0"/>
        <w:spacing w:after="0" w:line="240" w:lineRule="auto"/>
        <w:jc w:val="both"/>
        <w:rPr>
          <w:rFonts w:ascii="Arial" w:hAnsi="Arial" w:cs="Arial"/>
        </w:rPr>
      </w:pPr>
    </w:p>
    <w:p w:rsidR="00A10A36" w:rsidRPr="00A10A36" w:rsidRDefault="00A10A36" w:rsidP="00A95BFA">
      <w:pPr>
        <w:autoSpaceDE w:val="0"/>
        <w:autoSpaceDN w:val="0"/>
        <w:adjustRightInd w:val="0"/>
        <w:spacing w:after="0" w:line="240" w:lineRule="auto"/>
        <w:jc w:val="both"/>
        <w:rPr>
          <w:rFonts w:ascii="Arial" w:hAnsi="Arial" w:cs="Arial"/>
          <w:b/>
        </w:rPr>
      </w:pPr>
      <w:r w:rsidRPr="00A10A36">
        <w:rPr>
          <w:rFonts w:ascii="Arial" w:hAnsi="Arial" w:cs="Arial"/>
          <w:b/>
        </w:rPr>
        <w:t>Definições</w:t>
      </w:r>
    </w:p>
    <w:p w:rsidR="00A10A36" w:rsidRPr="00A95BFA" w:rsidRDefault="00A10A36"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t xml:space="preserve">15. </w:t>
      </w:r>
      <w:r w:rsidRPr="00A95BFA">
        <w:rPr>
          <w:rFonts w:ascii="Arial" w:hAnsi="Arial" w:cs="Arial"/>
          <w:b/>
        </w:rPr>
        <w:tab/>
        <w:t xml:space="preserve">O termo a seguir é utilizado nesta </w:t>
      </w:r>
      <w:r w:rsidR="00195327">
        <w:rPr>
          <w:rFonts w:ascii="Arial" w:hAnsi="Arial" w:cs="Arial"/>
          <w:b/>
        </w:rPr>
        <w:t>N</w:t>
      </w:r>
      <w:r w:rsidRPr="00A95BFA">
        <w:rPr>
          <w:rFonts w:ascii="Arial" w:hAnsi="Arial" w:cs="Arial"/>
          <w:b/>
        </w:rPr>
        <w:t>orma com o seguinte significado:</w:t>
      </w:r>
    </w:p>
    <w:p w:rsidR="00A95BFA" w:rsidRPr="00A95BFA" w:rsidRDefault="00A95BFA" w:rsidP="00561E49">
      <w:pPr>
        <w:autoSpaceDE w:val="0"/>
        <w:autoSpaceDN w:val="0"/>
        <w:adjustRightInd w:val="0"/>
        <w:spacing w:after="0" w:line="240" w:lineRule="auto"/>
        <w:ind w:left="567"/>
        <w:jc w:val="both"/>
        <w:rPr>
          <w:rFonts w:ascii="Arial" w:hAnsi="Arial" w:cs="Arial"/>
        </w:rPr>
      </w:pPr>
      <w:r w:rsidRPr="00A95BFA">
        <w:rPr>
          <w:rFonts w:ascii="Arial" w:hAnsi="Arial" w:cs="Arial"/>
          <w:b/>
          <w:u w:val="single"/>
        </w:rPr>
        <w:t>Setor Governo Geral</w:t>
      </w:r>
      <w:r w:rsidRPr="00A95BFA">
        <w:rPr>
          <w:rFonts w:ascii="Arial" w:hAnsi="Arial" w:cs="Arial"/>
          <w:b/>
        </w:rPr>
        <w:t xml:space="preserve"> compreende todas as entidades organizacionais do governo geral conforme definição contida nas bases estatísticas de relatórios financeiros.</w:t>
      </w:r>
    </w:p>
    <w:p w:rsidR="00A95BFA" w:rsidRPr="00A95BFA" w:rsidRDefault="00A95BFA"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16. </w:t>
      </w:r>
      <w:r w:rsidR="00561E49">
        <w:rPr>
          <w:rFonts w:ascii="Arial" w:hAnsi="Arial" w:cs="Arial"/>
        </w:rPr>
        <w:tab/>
      </w:r>
      <w:r w:rsidRPr="00A95BFA">
        <w:rPr>
          <w:rFonts w:ascii="Arial" w:hAnsi="Arial" w:cs="Arial"/>
        </w:rPr>
        <w:t>(Não convergido).</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Setor Governo Geral (SGG)</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17. </w:t>
      </w:r>
      <w:r w:rsidRPr="00A95BFA">
        <w:rPr>
          <w:rFonts w:ascii="Arial" w:hAnsi="Arial" w:cs="Arial"/>
        </w:rPr>
        <w:tab/>
        <w:t>Sob as bases estatísticas de relatórios financeiros, o setor público engloba o SGG, o Setor de Empresas Públicas Financeiras (EPF) e o Setor de Empresas Públicas Não Financeiras (EPNF). Subgrupos adicionais dentro des</w:t>
      </w:r>
      <w:r w:rsidR="00195327">
        <w:rPr>
          <w:rFonts w:ascii="Arial" w:hAnsi="Arial" w:cs="Arial"/>
        </w:rPr>
        <w:t>s</w:t>
      </w:r>
      <w:r w:rsidRPr="00A95BFA">
        <w:rPr>
          <w:rFonts w:ascii="Arial" w:hAnsi="Arial" w:cs="Arial"/>
        </w:rPr>
        <w:t xml:space="preserve">es </w:t>
      </w:r>
      <w:r w:rsidR="00195327">
        <w:rPr>
          <w:rFonts w:ascii="Arial" w:hAnsi="Arial" w:cs="Arial"/>
        </w:rPr>
        <w:t>s</w:t>
      </w:r>
      <w:r w:rsidRPr="00A95BFA">
        <w:rPr>
          <w:rFonts w:ascii="Arial" w:hAnsi="Arial" w:cs="Arial"/>
        </w:rPr>
        <w:t>etores podem ser identificados para fins de estatísticas analíticas.</w:t>
      </w:r>
    </w:p>
    <w:p w:rsidR="00561E49" w:rsidRDefault="00561E49" w:rsidP="00A95BFA">
      <w:pPr>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18. </w:t>
      </w:r>
      <w:r w:rsidRPr="00A95BFA">
        <w:rPr>
          <w:rFonts w:ascii="Arial" w:hAnsi="Arial" w:cs="Arial"/>
        </w:rPr>
        <w:tab/>
        <w:t xml:space="preserve">O SGG está definido no SNA 93 (e atualizações) como (a) todas as unidades de governo federal, estadual e municipal, (b) fundos de seguridade social em cada nível de governo e (c) entidades sem fins lucrativos e não de mercado controladas por unidades de governo. Sob as bases estatísticas de relatórios financeiros, o SGG abrange as operações centrais do governo e, normalmente, inclui as unidades governamentais que desempenham funções de governo como atividade primária. Desse modo, o financiamento destas entidades é oriundo principalmente de dotações ou de alocações de impostos, de dividendos de empresas estatais, </w:t>
      </w:r>
      <w:r w:rsidR="00195327">
        <w:rPr>
          <w:rFonts w:ascii="Arial" w:hAnsi="Arial" w:cs="Arial"/>
        </w:rPr>
        <w:t xml:space="preserve">de </w:t>
      </w:r>
      <w:r w:rsidRPr="00A95BFA">
        <w:rPr>
          <w:rFonts w:ascii="Arial" w:hAnsi="Arial" w:cs="Arial"/>
        </w:rPr>
        <w:t>outras receitas e empréstimos. O SGG geralmente inclui entidades</w:t>
      </w:r>
      <w:r w:rsidR="00195327">
        <w:rPr>
          <w:rFonts w:ascii="Arial" w:hAnsi="Arial" w:cs="Arial"/>
        </w:rPr>
        <w:t>,</w:t>
      </w:r>
      <w:r w:rsidRPr="00A95BFA">
        <w:rPr>
          <w:rFonts w:ascii="Arial" w:hAnsi="Arial" w:cs="Arial"/>
        </w:rPr>
        <w:t xml:space="preserve"> tais como ministérios, secretarias, tribunais, instituições educacionais públicas, unidades públicas de saúde e outros órgãos do governo. O SGG não inclui as EPF ou as EPNF. Para divulgação do SGG, é necessário assegurar-se de que as</w:t>
      </w:r>
      <w:r w:rsidR="005C4A8E" w:rsidRPr="00A95BFA">
        <w:rPr>
          <w:rFonts w:ascii="Arial" w:hAnsi="Arial" w:cs="Arial"/>
        </w:rPr>
        <w:t xml:space="preserve"> </w:t>
      </w:r>
      <w:r w:rsidRPr="00A95BFA">
        <w:rPr>
          <w:rFonts w:ascii="Arial" w:hAnsi="Arial" w:cs="Arial"/>
        </w:rPr>
        <w:t>informações sobre o SGG, incluídas nas demonstrações contábeis, sejam consistentes com a definição do SGG e com quaisquer interpretações adotadas para as bases estatísticas de relatórios financeiros.</w:t>
      </w:r>
    </w:p>
    <w:p w:rsidR="00561E49" w:rsidRDefault="00561E49" w:rsidP="00A95BFA">
      <w:pPr>
        <w:autoSpaceDE w:val="0"/>
        <w:autoSpaceDN w:val="0"/>
        <w:adjustRightInd w:val="0"/>
        <w:spacing w:after="0" w:line="240" w:lineRule="auto"/>
        <w:jc w:val="both"/>
        <w:rPr>
          <w:rFonts w:ascii="Arial" w:hAnsi="Arial" w:cs="Arial"/>
          <w:i/>
          <w:i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i/>
          <w:iCs/>
          <w:color w:val="000000"/>
        </w:rPr>
        <w:t xml:space="preserve">Setor de </w:t>
      </w:r>
      <w:r w:rsidR="00561E49" w:rsidRPr="00A95BFA">
        <w:rPr>
          <w:rFonts w:ascii="Arial" w:hAnsi="Arial" w:cs="Arial"/>
          <w:i/>
          <w:iCs/>
          <w:color w:val="000000"/>
        </w:rPr>
        <w:t xml:space="preserve">empresas públicas financeiras </w:t>
      </w:r>
      <w:r w:rsidRPr="00A95BFA">
        <w:rPr>
          <w:rFonts w:ascii="Arial" w:hAnsi="Arial" w:cs="Arial"/>
          <w:i/>
          <w:iCs/>
          <w:color w:val="000000"/>
        </w:rPr>
        <w:t>(EPF)</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rPr>
        <w:t xml:space="preserve">19. </w:t>
      </w:r>
      <w:r w:rsidRPr="00A95BFA">
        <w:rPr>
          <w:rFonts w:ascii="Arial" w:hAnsi="Arial" w:cs="Arial"/>
        </w:rPr>
        <w:tab/>
        <w:t>O setor de EPF engloba as corporações públicas financeiras controladas pelo governo, as quase-corporações e as instituições sem fins lucrativos envolvidas</w:t>
      </w:r>
      <w:r w:rsidR="00195327">
        <w:rPr>
          <w:rFonts w:ascii="Arial" w:hAnsi="Arial" w:cs="Arial"/>
        </w:rPr>
        <w:t>,</w:t>
      </w:r>
      <w:r w:rsidRPr="00A95BFA">
        <w:rPr>
          <w:rFonts w:ascii="Arial" w:hAnsi="Arial" w:cs="Arial"/>
        </w:rPr>
        <w:t xml:space="preserve"> principalmente</w:t>
      </w:r>
      <w:r w:rsidR="00195327">
        <w:rPr>
          <w:rFonts w:ascii="Arial" w:hAnsi="Arial" w:cs="Arial"/>
        </w:rPr>
        <w:t>,</w:t>
      </w:r>
      <w:r w:rsidRPr="00A95BFA">
        <w:rPr>
          <w:rFonts w:ascii="Arial" w:hAnsi="Arial" w:cs="Arial"/>
        </w:rPr>
        <w:t xml:space="preserve"> na intermediação financeira e na prestação de serviços financeiros para o mercado. São incluídos dentro desse setor os bancos controlados pelo governo, abrangendo também o Banco Central, bem como outras instituições financeiras do governo que operam em base de mercado.</w:t>
      </w:r>
    </w:p>
    <w:p w:rsidR="00561E49" w:rsidRDefault="00561E49" w:rsidP="00A95BFA">
      <w:pPr>
        <w:autoSpaceDE w:val="0"/>
        <w:autoSpaceDN w:val="0"/>
        <w:adjustRightInd w:val="0"/>
        <w:spacing w:after="0" w:line="240" w:lineRule="auto"/>
        <w:jc w:val="both"/>
        <w:rPr>
          <w:rFonts w:ascii="Arial" w:hAnsi="Arial" w:cs="Arial"/>
          <w:i/>
          <w:i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i/>
          <w:iCs/>
          <w:color w:val="000000"/>
        </w:rPr>
        <w:t xml:space="preserve">Setor de </w:t>
      </w:r>
      <w:r w:rsidR="00561E49" w:rsidRPr="00A95BFA">
        <w:rPr>
          <w:rFonts w:ascii="Arial" w:hAnsi="Arial" w:cs="Arial"/>
          <w:i/>
          <w:iCs/>
          <w:color w:val="000000"/>
        </w:rPr>
        <w:t xml:space="preserve">empresas públicas não financeiras </w:t>
      </w:r>
      <w:r w:rsidRPr="00A95BFA">
        <w:rPr>
          <w:rFonts w:ascii="Arial" w:hAnsi="Arial" w:cs="Arial"/>
          <w:i/>
          <w:iCs/>
          <w:color w:val="000000"/>
        </w:rPr>
        <w:t>(EPNF)</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20. </w:t>
      </w:r>
      <w:r w:rsidRPr="00A95BFA">
        <w:rPr>
          <w:rFonts w:ascii="Arial" w:hAnsi="Arial" w:cs="Arial"/>
        </w:rPr>
        <w:tab/>
        <w:t xml:space="preserve">O setor de EPNF engloba corporações públicas não financeiras controladas pelo governo, as quase-corporações e as instituições sem fins lucrativos que produzem bens ou serviços não financeiros para o mercado. São incluídas dentro desse setor entidades, tais como: empresas de utilidade </w:t>
      </w:r>
      <w:r w:rsidR="005C4A8E" w:rsidRPr="00A95BFA">
        <w:rPr>
          <w:rFonts w:ascii="Arial" w:hAnsi="Arial" w:cs="Arial"/>
        </w:rPr>
        <w:t>pública</w:t>
      </w:r>
      <w:r w:rsidRPr="00A95BFA">
        <w:rPr>
          <w:rFonts w:ascii="Arial" w:hAnsi="Arial" w:cs="Arial"/>
        </w:rPr>
        <w:t xml:space="preserve"> e outras entidades que comercializam produtos e serviços.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21. </w:t>
      </w:r>
      <w:r w:rsidRPr="00A95BFA">
        <w:rPr>
          <w:rFonts w:ascii="Arial" w:hAnsi="Arial" w:cs="Arial"/>
        </w:rPr>
        <w:tab/>
        <w:t>As bases estatísticas de relatórios financeiros definem:</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rPr>
        <w:t xml:space="preserve">(a) </w:t>
      </w:r>
      <w:r w:rsidRPr="00A95BFA">
        <w:rPr>
          <w:rFonts w:ascii="Arial" w:hAnsi="Arial" w:cs="Arial"/>
        </w:rPr>
        <w:tab/>
      </w:r>
      <w:r w:rsidR="00561E49">
        <w:rPr>
          <w:rFonts w:ascii="Arial" w:hAnsi="Arial" w:cs="Arial"/>
        </w:rPr>
        <w:t>c</w:t>
      </w:r>
      <w:r w:rsidRPr="00A95BFA">
        <w:rPr>
          <w:rFonts w:ascii="Arial" w:hAnsi="Arial" w:cs="Arial"/>
        </w:rPr>
        <w:t>orporações como pessoas jurídicas constituídas com a finalidade de produzir bens e serviços para o mercado;</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rPr>
        <w:t xml:space="preserve">(b) </w:t>
      </w:r>
      <w:r w:rsidRPr="00A95BFA">
        <w:rPr>
          <w:rFonts w:ascii="Arial" w:hAnsi="Arial" w:cs="Arial"/>
        </w:rPr>
        <w:tab/>
      </w:r>
      <w:r w:rsidR="00561E49">
        <w:rPr>
          <w:rFonts w:ascii="Arial" w:hAnsi="Arial" w:cs="Arial"/>
        </w:rPr>
        <w:t>q</w:t>
      </w:r>
      <w:r w:rsidRPr="00A95BFA">
        <w:rPr>
          <w:rFonts w:ascii="Arial" w:hAnsi="Arial" w:cs="Arial"/>
        </w:rPr>
        <w:t>uase-corporações como empreendimentos que não são formalmente constituídos ou não são estabelecidos legalmente como empresas, mas que funcionam como se fossem; e</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rPr>
        <w:t xml:space="preserve">(c) </w:t>
      </w:r>
      <w:r w:rsidRPr="00A95BFA">
        <w:rPr>
          <w:rFonts w:ascii="Arial" w:hAnsi="Arial" w:cs="Arial"/>
        </w:rPr>
        <w:tab/>
      </w:r>
      <w:r w:rsidR="00561E49">
        <w:rPr>
          <w:rFonts w:ascii="Arial" w:hAnsi="Arial" w:cs="Arial"/>
        </w:rPr>
        <w:t>i</w:t>
      </w:r>
      <w:r w:rsidRPr="00A95BFA">
        <w:rPr>
          <w:rFonts w:ascii="Arial" w:hAnsi="Arial" w:cs="Arial"/>
        </w:rPr>
        <w:t>nstituições sem fins lucrativos como pessoas jurídicas ou outro tipo de entidades que produzam ou distribuam produtos e serviços, mas que não gerem retorno financeiro para a entidade controladora.</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22. </w:t>
      </w:r>
      <w:r w:rsidRPr="00A95BFA">
        <w:rPr>
          <w:rFonts w:ascii="Arial" w:hAnsi="Arial" w:cs="Arial"/>
        </w:rPr>
        <w:tab/>
        <w:t xml:space="preserve">Entidades do setor público que operam em bases </w:t>
      </w:r>
      <w:r w:rsidR="005C4A8E" w:rsidRPr="00A95BFA">
        <w:rPr>
          <w:rFonts w:ascii="Arial" w:hAnsi="Arial" w:cs="Arial"/>
        </w:rPr>
        <w:t>comerciais possuem</w:t>
      </w:r>
      <w:r w:rsidRPr="00A95BFA">
        <w:rPr>
          <w:rFonts w:ascii="Arial" w:hAnsi="Arial" w:cs="Arial"/>
        </w:rPr>
        <w:t xml:space="preserve"> características similares </w:t>
      </w:r>
      <w:r w:rsidR="00195327">
        <w:rPr>
          <w:rFonts w:ascii="Arial" w:hAnsi="Arial" w:cs="Arial"/>
        </w:rPr>
        <w:t>à</w:t>
      </w:r>
      <w:r w:rsidRPr="00A95BFA">
        <w:rPr>
          <w:rFonts w:ascii="Arial" w:hAnsi="Arial" w:cs="Arial"/>
        </w:rPr>
        <w:t xml:space="preserve"> corporação pública ou </w:t>
      </w:r>
      <w:r w:rsidR="00195327">
        <w:rPr>
          <w:rFonts w:ascii="Arial" w:hAnsi="Arial" w:cs="Arial"/>
        </w:rPr>
        <w:t>à</w:t>
      </w:r>
      <w:r w:rsidRPr="00A95BFA">
        <w:rPr>
          <w:rFonts w:ascii="Arial" w:hAnsi="Arial" w:cs="Arial"/>
        </w:rPr>
        <w:t xml:space="preserve"> quase-corporação pública, conforme definição contida nas bases estatísticas de relatórios financeiros. No entanto, pode não haver mapeamento idêntico dessas entidades e dos setores de EPF e de EPNF. Por exemplo, uma entidade do setor público que opera em bases comerciais, não residente no País, não seria classificada como EPF ou EPNF.</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Política contábil</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t xml:space="preserve">23. </w:t>
      </w:r>
      <w:r w:rsidRPr="00A95BFA">
        <w:rPr>
          <w:rFonts w:ascii="Arial" w:hAnsi="Arial" w:cs="Arial"/>
          <w:b/>
        </w:rPr>
        <w:tab/>
        <w:t>A informação financeira sobre o SGG deve ser divulgada em conformidade com as políticas contábeis adotadas na elaboração e apresentação das demonstrações contábeis consolidadas do governo, exceto quanto às exigências dos itens 24 e 25.</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t xml:space="preserve">24. </w:t>
      </w:r>
      <w:r w:rsidRPr="00A95BFA">
        <w:rPr>
          <w:rFonts w:ascii="Arial" w:hAnsi="Arial" w:cs="Arial"/>
          <w:b/>
        </w:rPr>
        <w:tab/>
        <w:t xml:space="preserve">Ao apresentar informação financeira sobre o Setor Governo Geral, as entidades não devem aplicar as exigências da NBC TSP 17 </w:t>
      </w:r>
      <w:r w:rsidR="006C6DAC">
        <w:rPr>
          <w:rFonts w:ascii="Arial" w:hAnsi="Arial" w:cs="Arial"/>
          <w:b/>
        </w:rPr>
        <w:t xml:space="preserve">– Demonstrações Contábeis Consolidadas </w:t>
      </w:r>
      <w:r w:rsidRPr="00A95BFA">
        <w:rPr>
          <w:rFonts w:ascii="Arial" w:hAnsi="Arial" w:cs="Arial"/>
          <w:b/>
        </w:rPr>
        <w:t xml:space="preserve">em relação às entidades dos </w:t>
      </w:r>
      <w:r w:rsidR="00195327">
        <w:rPr>
          <w:rFonts w:ascii="Arial" w:hAnsi="Arial" w:cs="Arial"/>
          <w:b/>
        </w:rPr>
        <w:t>s</w:t>
      </w:r>
      <w:r w:rsidRPr="00A95BFA">
        <w:rPr>
          <w:rFonts w:ascii="Arial" w:hAnsi="Arial" w:cs="Arial"/>
          <w:b/>
        </w:rPr>
        <w:t>etores EPF e EPNF.</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t xml:space="preserve">25. </w:t>
      </w:r>
      <w:r w:rsidRPr="00A95BFA">
        <w:rPr>
          <w:rFonts w:ascii="Arial" w:hAnsi="Arial" w:cs="Arial"/>
          <w:b/>
        </w:rPr>
        <w:tab/>
        <w:t>O Setor Governo Geral deve reconhecer seu investimento nos setores de EPF e EPNF como ativo e contabilizá-lo pelo valor do patrimônio líquido das investidas.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26. </w:t>
      </w:r>
      <w:r w:rsidRPr="00A95BFA">
        <w:rPr>
          <w:rFonts w:ascii="Arial" w:hAnsi="Arial" w:cs="Arial"/>
        </w:rPr>
        <w:tab/>
        <w:t>Esta Norma reflete a perspectiva de que as demonstrações contábeis consolidadas do governo que opte por divulgar informação sobre o SGG devem ser segregadas para apresentar o SGG como um dos setores da entidade governamental que reporta. De acordo com essa perspectiva, esta Norma exige que as mesmas definições e as mesmas disposições sobre reconhecimento, mensuração e divulgação aplicadas na elaboração das demonstrações contábeis consolidadas também sejam aplicadas às divulgações do SGG, com uma exceção. A exceção é que as exigências da NBC TSP 17 não s</w:t>
      </w:r>
      <w:r w:rsidR="00195327">
        <w:rPr>
          <w:rFonts w:ascii="Arial" w:hAnsi="Arial" w:cs="Arial"/>
        </w:rPr>
        <w:t>ejam</w:t>
      </w:r>
      <w:r w:rsidRPr="00A95BFA">
        <w:rPr>
          <w:rFonts w:ascii="Arial" w:hAnsi="Arial" w:cs="Arial"/>
        </w:rPr>
        <w:t xml:space="preserve"> aplicadas no que concerne ao relacionamento do SGG com as entidades dos setores EPF e EPNF.</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27. </w:t>
      </w:r>
      <w:r w:rsidRPr="00A95BFA">
        <w:rPr>
          <w:rFonts w:ascii="Arial" w:hAnsi="Arial" w:cs="Arial"/>
        </w:rPr>
        <w:tab/>
        <w:t xml:space="preserve">A NBC TSP 17 exige que as entidades controladoras elaborem as demonstrações contábeis que consolidam as entidades controladas na base “linha-a-linha”. A NBC TSP 17 também contém uma discussão detalhada sobre o conceito de controle e a forma que ele se aplica </w:t>
      </w:r>
      <w:r w:rsidRPr="00A95BFA">
        <w:rPr>
          <w:rFonts w:ascii="Arial" w:hAnsi="Arial" w:cs="Arial"/>
        </w:rPr>
        <w:lastRenderedPageBreak/>
        <w:t>ao setor público e, adicionalmente, orientação quanto à determinação se existe controle para fins de elaboração e divulgação das demonstrações contábeis. De maneira consistente com as exigências da NBC TSP 17, as entidades nos setores de EPF e EPNF, conforme definidos nas bases estatísticas de relatórios financeiros (que são entidades controladas do governo)</w:t>
      </w:r>
      <w:r w:rsidR="00195327">
        <w:rPr>
          <w:rFonts w:ascii="Arial" w:hAnsi="Arial" w:cs="Arial"/>
        </w:rPr>
        <w:t>,</w:t>
      </w:r>
      <w:r w:rsidRPr="00A95BFA">
        <w:rPr>
          <w:rFonts w:ascii="Arial" w:hAnsi="Arial" w:cs="Arial"/>
        </w:rPr>
        <w:t xml:space="preserve"> são consolidadas nas demonstrações contábeis do governo.</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28. </w:t>
      </w:r>
      <w:r w:rsidRPr="00A95BFA">
        <w:rPr>
          <w:rFonts w:ascii="Arial" w:hAnsi="Arial" w:cs="Arial"/>
        </w:rPr>
        <w:tab/>
        <w:t>As demonstrações contábeis elaboradas de maneira consistente com as bases estatísticas de relatórios financeiros retratam o impacto do SGG no setor público como um todo e, no contexto da SNA 93 (e atualizações), na economia nacional. De acordo com esse enfoque, as bases estatísticas de relatórios financeiros exigem que as demonstrações contábeis do SGG apresentem as entidades do setor público fora desse setor como investimento em outros setores. Além disso, sob as bases estatísticas de relatórios financeiros, as transações do SGG com as entidades em outros setores não são eliminadas da demonstração das operações do governo ou de demonstração similar.</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29. </w:t>
      </w:r>
      <w:r w:rsidRPr="00A95BFA">
        <w:rPr>
          <w:rFonts w:ascii="Arial" w:hAnsi="Arial" w:cs="Arial"/>
        </w:rPr>
        <w:tab/>
        <w:t>A aplicação das exigências da NBC TSP 17 na consolidação do SGG resultaria na reapresentação das demonstrações contábeis consolidadas do governo, em vez das demonstrações contábeis do SGG.</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rPr>
        <w:t xml:space="preserve">30. </w:t>
      </w:r>
      <w:r w:rsidRPr="00A95BFA">
        <w:rPr>
          <w:rFonts w:ascii="Arial" w:hAnsi="Arial" w:cs="Arial"/>
        </w:rPr>
        <w:tab/>
        <w:t>Portanto, na divulgação da informação financeira sobre o SGG, os saldos e transações entre as entidades compreendidas no SGG devem ser eliminados de acordo com a NBC TSP 17. No entanto, os saldos e transações entre entidades do SGG e entidades de outros setores não são eliminados.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31. </w:t>
      </w:r>
      <w:r w:rsidRPr="00A95BFA">
        <w:rPr>
          <w:rFonts w:ascii="Arial" w:hAnsi="Arial" w:cs="Arial"/>
        </w:rPr>
        <w:tab/>
        <w:t xml:space="preserve">Esta Norma exige que o SGG reconheça seus investimentos nas entidades dos setores EPF ou EPNF pelo valor contábil do patrimônio líquido dessas entidades. Isso assegura que as divulgações do SGG reflitam a segregação da informação financeira apresentada nas demonstrações contábeis consolidadas do governo do qual é parte.  Consistente com o fato de que o SGG seja a desagregação das demonstrações consolidadas do governo, as mudanças no valor contábil do patrimônio líquido daquelas entidades </w:t>
      </w:r>
      <w:r w:rsidR="00195327">
        <w:rPr>
          <w:rFonts w:ascii="Arial" w:hAnsi="Arial" w:cs="Arial"/>
        </w:rPr>
        <w:t>devem ser</w:t>
      </w:r>
      <w:r w:rsidR="00195327" w:rsidRPr="00A95BFA">
        <w:rPr>
          <w:rFonts w:ascii="Arial" w:hAnsi="Arial" w:cs="Arial"/>
        </w:rPr>
        <w:t xml:space="preserve"> </w:t>
      </w:r>
      <w:r w:rsidRPr="00A95BFA">
        <w:rPr>
          <w:rFonts w:ascii="Arial" w:hAnsi="Arial" w:cs="Arial"/>
        </w:rPr>
        <w:t>reconhecidas da mesma maneira como nas demonstrações contábeis consolidadas do governo.</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32. </w:t>
      </w:r>
      <w:r w:rsidRPr="00A95BFA">
        <w:rPr>
          <w:rFonts w:ascii="Arial" w:hAnsi="Arial" w:cs="Arial"/>
        </w:rPr>
        <w:tab/>
        <w:t>As bases estatísticas de relatórios financeiros exigem que todos os ativos e passivos (exceto empréstimos) sejam reavaliados ao valor de mercado na data das demonstrações contábeis. As NBC</w:t>
      </w:r>
      <w:r w:rsidR="006C6DAC">
        <w:rPr>
          <w:rFonts w:ascii="Arial" w:hAnsi="Arial" w:cs="Arial"/>
        </w:rPr>
        <w:t>s</w:t>
      </w:r>
      <w:r w:rsidRPr="00A95BFA">
        <w:rPr>
          <w:rFonts w:ascii="Arial" w:hAnsi="Arial" w:cs="Arial"/>
        </w:rPr>
        <w:t xml:space="preserve"> TSP incluem diferentes exigências de mensuração e exigem ou permitem que o custo e valores correntes sejam utilizados para determinadas classes de ativos e passivos. Elas não exigem que todos os ativos e passivos sejam reavaliados ao valor de mercado. Portanto, a mensuração dos ativos e passivos na divulgação do SGG nas demonstrações contábeis, incluindo o investimento nos setores de EPF e EPNF, pode diferir da base de mensuração adotada nas bases estatísticas de relatórios financeiros.</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rPr>
        <w:t>33</w:t>
      </w:r>
      <w:r w:rsidR="00561E49">
        <w:rPr>
          <w:rFonts w:ascii="Arial" w:hAnsi="Arial" w:cs="Arial"/>
        </w:rPr>
        <w:t xml:space="preserve"> e 34</w:t>
      </w:r>
      <w:r w:rsidRPr="00A95BFA">
        <w:rPr>
          <w:rFonts w:ascii="Arial" w:hAnsi="Arial" w:cs="Arial"/>
        </w:rPr>
        <w:t>. (Não convergido</w:t>
      </w:r>
      <w:r w:rsidR="00561E49">
        <w:rPr>
          <w:rFonts w:ascii="Arial" w:hAnsi="Arial" w:cs="Arial"/>
        </w:rPr>
        <w:t>s</w:t>
      </w:r>
      <w:r w:rsidRPr="00A95BFA">
        <w:rPr>
          <w:rFonts w:ascii="Arial" w:hAnsi="Arial" w:cs="Arial"/>
        </w:rPr>
        <w:t>)</w:t>
      </w:r>
      <w:r w:rsidR="00561E49">
        <w:rPr>
          <w:rFonts w:ascii="Arial" w:hAnsi="Arial" w:cs="Arial"/>
        </w:rPr>
        <w:t>.</w:t>
      </w:r>
    </w:p>
    <w:p w:rsidR="00A95BFA" w:rsidRPr="00A95BFA" w:rsidRDefault="00A95BFA" w:rsidP="00A95BFA">
      <w:pPr>
        <w:autoSpaceDE w:val="0"/>
        <w:autoSpaceDN w:val="0"/>
        <w:adjustRightInd w:val="0"/>
        <w:spacing w:after="0" w:line="240" w:lineRule="auto"/>
        <w:jc w:val="both"/>
        <w:rPr>
          <w:rFonts w:ascii="Arial" w:hAnsi="Arial" w:cs="Arial"/>
        </w:rPr>
      </w:pPr>
    </w:p>
    <w:p w:rsidR="00A95BFA" w:rsidRDefault="00A95BFA" w:rsidP="00A95BFA">
      <w:pPr>
        <w:autoSpaceDE w:val="0"/>
        <w:autoSpaceDN w:val="0"/>
        <w:adjustRightInd w:val="0"/>
        <w:spacing w:after="0" w:line="240" w:lineRule="auto"/>
        <w:jc w:val="both"/>
        <w:rPr>
          <w:rFonts w:ascii="Arial" w:hAnsi="Arial" w:cs="Arial"/>
          <w:b/>
        </w:rPr>
      </w:pPr>
      <w:r w:rsidRPr="00A95BFA">
        <w:rPr>
          <w:rFonts w:ascii="Arial" w:hAnsi="Arial" w:cs="Arial"/>
          <w:b/>
        </w:rPr>
        <w:t>Divulgação</w:t>
      </w:r>
    </w:p>
    <w:p w:rsidR="00561E49" w:rsidRPr="00A95BFA" w:rsidRDefault="00561E49" w:rsidP="00A95BFA">
      <w:pPr>
        <w:autoSpaceDE w:val="0"/>
        <w:autoSpaceDN w:val="0"/>
        <w:adjustRightInd w:val="0"/>
        <w:spacing w:after="0" w:line="240" w:lineRule="auto"/>
        <w:jc w:val="both"/>
        <w:rPr>
          <w:rFonts w:ascii="Arial" w:hAnsi="Arial" w:cs="Arial"/>
        </w:rPr>
      </w:pPr>
    </w:p>
    <w:p w:rsidR="00A95BFA" w:rsidRPr="00A95BFA" w:rsidRDefault="00561E49" w:rsidP="00561E49">
      <w:pPr>
        <w:autoSpaceDE w:val="0"/>
        <w:autoSpaceDN w:val="0"/>
        <w:adjustRightInd w:val="0"/>
        <w:spacing w:after="0" w:line="240" w:lineRule="auto"/>
        <w:ind w:left="567" w:hanging="567"/>
        <w:jc w:val="both"/>
        <w:rPr>
          <w:rFonts w:ascii="Arial" w:hAnsi="Arial" w:cs="Arial"/>
        </w:rPr>
      </w:pPr>
      <w:r>
        <w:rPr>
          <w:rFonts w:ascii="Arial" w:hAnsi="Arial" w:cs="Arial"/>
          <w:b/>
        </w:rPr>
        <w:t>3</w:t>
      </w:r>
      <w:r w:rsidR="00A95BFA" w:rsidRPr="00A95BFA">
        <w:rPr>
          <w:rFonts w:ascii="Arial" w:hAnsi="Arial" w:cs="Arial"/>
          <w:b/>
        </w:rPr>
        <w:t xml:space="preserve">5. </w:t>
      </w:r>
      <w:r w:rsidR="00A95BFA" w:rsidRPr="00A95BFA">
        <w:rPr>
          <w:rFonts w:ascii="Arial" w:hAnsi="Arial" w:cs="Arial"/>
          <w:b/>
        </w:rPr>
        <w:tab/>
        <w:t>As divulgações feitas sobre o SGG devem incluir, pelo menos: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(a)</w:t>
      </w:r>
      <w:r w:rsidRPr="00A95BFA">
        <w:rPr>
          <w:rFonts w:ascii="Arial" w:hAnsi="Arial" w:cs="Arial"/>
          <w:b/>
        </w:rPr>
        <w:tab/>
        <w:t>ativos pelos principais grupos, demonstrando separadamente o investimento em outros setores;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(b) </w:t>
      </w:r>
      <w:r w:rsidRPr="00A95BFA">
        <w:rPr>
          <w:rFonts w:ascii="Arial" w:hAnsi="Arial" w:cs="Arial"/>
          <w:b/>
        </w:rPr>
        <w:tab/>
        <w:t>passivos pelos principais grupos;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(c) </w:t>
      </w:r>
      <w:r w:rsidRPr="00A95BFA">
        <w:rPr>
          <w:rFonts w:ascii="Arial" w:hAnsi="Arial" w:cs="Arial"/>
          <w:b/>
        </w:rPr>
        <w:tab/>
        <w:t>patrimônio líquido;</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(d) </w:t>
      </w:r>
      <w:r w:rsidRPr="00A95BFA">
        <w:rPr>
          <w:rFonts w:ascii="Arial" w:hAnsi="Arial" w:cs="Arial"/>
          <w:b/>
        </w:rPr>
        <w:tab/>
        <w:t>total de acréscimos e reduções decorrentes de reavaliação e outros itens de receita e despesa reconhecidos diretamente no patrimônio líquido;</w:t>
      </w:r>
    </w:p>
    <w:p w:rsidR="00A95BFA" w:rsidRPr="00A95BFA" w:rsidRDefault="00A95BFA" w:rsidP="00561E49">
      <w:pPr>
        <w:autoSpaceDE w:val="0"/>
        <w:autoSpaceDN w:val="0"/>
        <w:adjustRightInd w:val="0"/>
        <w:spacing w:after="0" w:line="240" w:lineRule="auto"/>
        <w:ind w:left="993" w:hanging="426"/>
        <w:jc w:val="both"/>
        <w:rPr>
          <w:rFonts w:ascii="Arial" w:hAnsi="Arial" w:cs="Arial"/>
          <w:b/>
        </w:rPr>
      </w:pPr>
      <w:r w:rsidRPr="00A95BFA">
        <w:rPr>
          <w:rFonts w:ascii="Arial" w:hAnsi="Arial" w:cs="Arial"/>
          <w:b/>
        </w:rPr>
        <w:t xml:space="preserve">(e) </w:t>
      </w:r>
      <w:r w:rsidRPr="00A95BFA">
        <w:rPr>
          <w:rFonts w:ascii="Arial" w:hAnsi="Arial" w:cs="Arial"/>
          <w:b/>
        </w:rPr>
        <w:tab/>
        <w:t xml:space="preserve">receitas pelos principais grupos; </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(f) </w:t>
      </w:r>
      <w:r w:rsidRPr="00A95BFA">
        <w:rPr>
          <w:rFonts w:ascii="Arial" w:hAnsi="Arial" w:cs="Arial"/>
          <w:b/>
        </w:rPr>
        <w:tab/>
        <w:t>despesas pelos principais grupos;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(g) </w:t>
      </w:r>
      <w:r w:rsidRPr="00A95BFA">
        <w:rPr>
          <w:rFonts w:ascii="Arial" w:hAnsi="Arial" w:cs="Arial"/>
          <w:b/>
        </w:rPr>
        <w:tab/>
        <w:t>resultado do período;</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t xml:space="preserve">(h) </w:t>
      </w:r>
      <w:r w:rsidRPr="00A95BFA">
        <w:rPr>
          <w:rFonts w:ascii="Arial" w:hAnsi="Arial" w:cs="Arial"/>
          <w:b/>
        </w:rPr>
        <w:tab/>
        <w:t>fluxos de caixa das atividades operacionais pelos principais grupos;</w:t>
      </w:r>
    </w:p>
    <w:p w:rsidR="00A95BFA" w:rsidRPr="00A95BFA" w:rsidRDefault="00A95BFA" w:rsidP="00561E49">
      <w:pPr>
        <w:autoSpaceDE w:val="0"/>
        <w:autoSpaceDN w:val="0"/>
        <w:adjustRightInd w:val="0"/>
        <w:spacing w:after="0" w:line="240" w:lineRule="auto"/>
        <w:ind w:left="993" w:hanging="426"/>
        <w:jc w:val="both"/>
        <w:rPr>
          <w:rFonts w:ascii="Arial" w:hAnsi="Arial" w:cs="Arial"/>
        </w:rPr>
      </w:pPr>
      <w:r w:rsidRPr="00A95BFA">
        <w:rPr>
          <w:rFonts w:ascii="Arial" w:hAnsi="Arial" w:cs="Arial"/>
          <w:b/>
        </w:rPr>
        <w:lastRenderedPageBreak/>
        <w:t xml:space="preserve">(i) </w:t>
      </w:r>
      <w:r w:rsidRPr="00A95BFA">
        <w:rPr>
          <w:rFonts w:ascii="Arial" w:hAnsi="Arial" w:cs="Arial"/>
          <w:b/>
        </w:rPr>
        <w:tab/>
        <w:t>fluxos de caixa das atividades de investimento; e</w:t>
      </w:r>
    </w:p>
    <w:p w:rsidR="00A95BFA" w:rsidRPr="00A95BFA" w:rsidRDefault="00A95BFA" w:rsidP="00561E49">
      <w:pPr>
        <w:autoSpaceDE w:val="0"/>
        <w:autoSpaceDN w:val="0"/>
        <w:adjustRightInd w:val="0"/>
        <w:spacing w:after="0" w:line="240" w:lineRule="auto"/>
        <w:ind w:left="993" w:hanging="426"/>
        <w:jc w:val="both"/>
        <w:rPr>
          <w:rFonts w:ascii="Arial" w:hAnsi="Arial" w:cs="Arial"/>
          <w:b/>
        </w:rPr>
      </w:pPr>
      <w:r w:rsidRPr="00A95BFA">
        <w:rPr>
          <w:rFonts w:ascii="Arial" w:hAnsi="Arial" w:cs="Arial"/>
          <w:b/>
        </w:rPr>
        <w:t xml:space="preserve">(j) </w:t>
      </w:r>
      <w:r w:rsidR="00561E49">
        <w:rPr>
          <w:rFonts w:ascii="Arial" w:hAnsi="Arial" w:cs="Arial"/>
          <w:b/>
        </w:rPr>
        <w:tab/>
      </w:r>
      <w:r w:rsidRPr="00A95BFA">
        <w:rPr>
          <w:rFonts w:ascii="Arial" w:hAnsi="Arial" w:cs="Arial"/>
          <w:b/>
        </w:rPr>
        <w:t>fluxos de caixa das atividades de financiamento.</w:t>
      </w:r>
    </w:p>
    <w:p w:rsidR="00A95BFA" w:rsidRPr="00A95BFA" w:rsidRDefault="00A95BFA" w:rsidP="00561E49">
      <w:pPr>
        <w:autoSpaceDE w:val="0"/>
        <w:autoSpaceDN w:val="0"/>
        <w:adjustRightInd w:val="0"/>
        <w:spacing w:after="0" w:line="240" w:lineRule="auto"/>
        <w:ind w:left="567"/>
        <w:jc w:val="both"/>
        <w:rPr>
          <w:rFonts w:ascii="Arial" w:hAnsi="Arial" w:cs="Arial"/>
        </w:rPr>
      </w:pPr>
      <w:r w:rsidRPr="00A95BFA">
        <w:rPr>
          <w:rFonts w:ascii="Arial" w:hAnsi="Arial" w:cs="Arial"/>
          <w:b/>
        </w:rPr>
        <w:t>A forma de apresentação das divulgações do SGG não deve ter mais destaque do que as demonstrações contábeis do governo, elaboradas de acordo com as NBCs TSP.</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36.</w:t>
      </w:r>
      <w:r w:rsidRPr="00A95BFA">
        <w:rPr>
          <w:rFonts w:ascii="Arial" w:hAnsi="Arial" w:cs="Arial"/>
        </w:rPr>
        <w:tab/>
        <w:t>A NBC TSP 11 – Apresentação das Demonstrações Contábeis identifica o conjunto completo de demonstrações contábeis (conforme o regime de competência)</w:t>
      </w:r>
      <w:r w:rsidR="00195327">
        <w:rPr>
          <w:rFonts w:ascii="Arial" w:hAnsi="Arial" w:cs="Arial"/>
        </w:rPr>
        <w:t>,</w:t>
      </w:r>
      <w:r w:rsidRPr="00A95BFA">
        <w:rPr>
          <w:rFonts w:ascii="Arial" w:hAnsi="Arial" w:cs="Arial"/>
        </w:rPr>
        <w:t xml:space="preserve"> tais como balanço patrimonial, demonstração do resultado, demonstração das mutações do patrimônio líquido, demonstração dos fluxos de caixa, políticas contábeis e notas explicativas às demonstrações contábeis.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37. </w:t>
      </w:r>
      <w:r w:rsidRPr="00A95BFA">
        <w:rPr>
          <w:rFonts w:ascii="Arial" w:hAnsi="Arial" w:cs="Arial"/>
        </w:rPr>
        <w:tab/>
        <w:t>Esta Norma exige a divulgação dos principais grupos de ativos, passivos, receitas, despesas e de fluxos de caixa refletidos nas demonstrações contábeis. Esta Norma não especifica a maneira como as divulgações do SGG devem ser realizadas. Os governos que optem por fazer divulgações do SGG de acordo com esta Norma podem fazer tais divulgações por meio de (a) divulgação de notas, (b) colunas em separado nas demonstrações contábeis ou (c) de outra forma considerada apropriada. No entanto, a forma de apresentação das divulgações do SGG não deve ter mais destaque do que as demonstrações contábeis consolidadas elaboradas de acordo com as NBCs TSP.</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38. </w:t>
      </w:r>
      <w:r w:rsidRPr="00A95BFA">
        <w:rPr>
          <w:rFonts w:ascii="Arial" w:hAnsi="Arial" w:cs="Arial"/>
        </w:rPr>
        <w:tab/>
        <w:t xml:space="preserve">Para auxiliar os usuários a compreender a relação da informação financeira apresentada sobre o SGG com as operações do governo, as bases estatísticas de relatórios financeiros exigem que as despesas totais do governo sejam desagregadas e divulgadas por grupo, baseadas tanto na natureza econômica das despesas, quanto pela </w:t>
      </w:r>
      <w:r w:rsidR="00195327">
        <w:rPr>
          <w:rFonts w:ascii="Arial" w:hAnsi="Arial" w:cs="Arial"/>
        </w:rPr>
        <w:t>C</w:t>
      </w:r>
      <w:r w:rsidRPr="00A95BFA">
        <w:rPr>
          <w:rFonts w:ascii="Arial" w:hAnsi="Arial" w:cs="Arial"/>
        </w:rPr>
        <w:t xml:space="preserve">lassificação </w:t>
      </w:r>
      <w:r w:rsidR="00195327">
        <w:rPr>
          <w:rFonts w:ascii="Arial" w:hAnsi="Arial" w:cs="Arial"/>
        </w:rPr>
        <w:t>por</w:t>
      </w:r>
      <w:r w:rsidR="00195327" w:rsidRPr="00A95BFA">
        <w:rPr>
          <w:rFonts w:ascii="Arial" w:hAnsi="Arial" w:cs="Arial"/>
        </w:rPr>
        <w:t xml:space="preserve"> </w:t>
      </w:r>
      <w:r w:rsidR="00195327">
        <w:rPr>
          <w:rFonts w:ascii="Arial" w:hAnsi="Arial" w:cs="Arial"/>
        </w:rPr>
        <w:t>F</w:t>
      </w:r>
      <w:r w:rsidRPr="00A95BFA">
        <w:rPr>
          <w:rFonts w:ascii="Arial" w:hAnsi="Arial" w:cs="Arial"/>
        </w:rPr>
        <w:t>unç</w:t>
      </w:r>
      <w:r w:rsidR="00195327">
        <w:rPr>
          <w:rFonts w:ascii="Arial" w:hAnsi="Arial" w:cs="Arial"/>
        </w:rPr>
        <w:t>ão</w:t>
      </w:r>
      <w:r w:rsidRPr="00A95BFA">
        <w:rPr>
          <w:rFonts w:ascii="Arial" w:hAnsi="Arial" w:cs="Arial"/>
        </w:rPr>
        <w:t xml:space="preserve"> de </w:t>
      </w:r>
      <w:r w:rsidR="00195327">
        <w:rPr>
          <w:rFonts w:ascii="Arial" w:hAnsi="Arial" w:cs="Arial"/>
        </w:rPr>
        <w:t>G</w:t>
      </w:r>
      <w:r w:rsidRPr="00A95BFA">
        <w:rPr>
          <w:rFonts w:ascii="Arial" w:hAnsi="Arial" w:cs="Arial"/>
        </w:rPr>
        <w:t xml:space="preserve">overno </w:t>
      </w:r>
      <w:r w:rsidR="00195327">
        <w:rPr>
          <w:rFonts w:ascii="Arial" w:hAnsi="Arial" w:cs="Arial"/>
        </w:rPr>
        <w:t>(</w:t>
      </w:r>
      <w:r w:rsidRPr="00A95BFA">
        <w:rPr>
          <w:rFonts w:ascii="Arial" w:hAnsi="Arial" w:cs="Arial"/>
        </w:rPr>
        <w:t>COFOG</w:t>
      </w:r>
      <w:r w:rsidR="00195327">
        <w:rPr>
          <w:rFonts w:ascii="Arial" w:hAnsi="Arial" w:cs="Arial"/>
        </w:rPr>
        <w:t>)</w:t>
      </w:r>
      <w:r w:rsidR="00195327">
        <w:rPr>
          <w:rStyle w:val="Refdenotaderodap"/>
          <w:rFonts w:ascii="Arial" w:hAnsi="Arial" w:cs="Arial"/>
        </w:rPr>
        <w:footnoteReference w:id="2"/>
      </w:r>
      <w:r w:rsidRPr="00A95BFA">
        <w:rPr>
          <w:rFonts w:ascii="Arial" w:hAnsi="Arial" w:cs="Arial"/>
        </w:rPr>
        <w:t xml:space="preserve"> . Esta Norma não exige nem proíbe as entidades de divulgarem a informação do SGG proveniente da apresentação da informação </w:t>
      </w:r>
      <w:r w:rsidR="005C4A8E" w:rsidRPr="00A95BFA">
        <w:rPr>
          <w:rFonts w:ascii="Arial" w:hAnsi="Arial" w:cs="Arial"/>
        </w:rPr>
        <w:t>desagregada</w:t>
      </w:r>
      <w:r w:rsidRPr="00A95BFA">
        <w:rPr>
          <w:rFonts w:ascii="Arial" w:hAnsi="Arial" w:cs="Arial"/>
        </w:rPr>
        <w:t xml:space="preserve"> do SGG classificada pela natureza econômica ou consistente com a COFOG. Em alguns casos, a COFOG adotada relativa à divulgação do SGG pode ser similar às classificações adotadas de acordo com a NBC TSP 28, para informações por segmento.</w:t>
      </w:r>
    </w:p>
    <w:p w:rsidR="00A95BFA" w:rsidRPr="00A95BFA" w:rsidRDefault="00A95BFA"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rPr>
        <w:t xml:space="preserve">39. </w:t>
      </w:r>
      <w:r w:rsidRPr="00A95BFA">
        <w:rPr>
          <w:rFonts w:ascii="Arial" w:hAnsi="Arial" w:cs="Arial"/>
        </w:rPr>
        <w:tab/>
        <w:t>As entidades também devem fazer todas as divulgações adicionais necessárias para que os usuários compreendam a natureza da informação apresentada.</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t xml:space="preserve">40. </w:t>
      </w:r>
      <w:r w:rsidRPr="00A95BFA">
        <w:rPr>
          <w:rFonts w:ascii="Arial" w:hAnsi="Arial" w:cs="Arial"/>
          <w:b/>
        </w:rPr>
        <w:tab/>
        <w:t>As entidades que elaboram divulgações do SGG devem divulgar as entidades controladas que são incluídas no SGG e quaisquer mudanças em relação ao período anterior, junto com uma explicação das razões pelas quais uma entidade que fora incluída previamente no SGG não é mais.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41. </w:t>
      </w:r>
      <w:r w:rsidRPr="00A95BFA">
        <w:rPr>
          <w:rFonts w:ascii="Arial" w:hAnsi="Arial" w:cs="Arial"/>
        </w:rPr>
        <w:tab/>
        <w:t>Esta Norma exige que as entidades que optem por divulgar a informação sobre o SGG divulguem uma lista das entidades controladas incluídas no SGG. A NBC TSP 17 exige que as entidades que elaboram demonstrações contábeis consolidadas divulguem uma lista das entidades controladas que são incluídas nas demonstrações contábeis consolidadas. As divulgações das entidades consolidadas nas demonstrações contábeis</w:t>
      </w:r>
      <w:r w:rsidR="00195327">
        <w:rPr>
          <w:rFonts w:ascii="Arial" w:hAnsi="Arial" w:cs="Arial"/>
        </w:rPr>
        <w:t>,</w:t>
      </w:r>
      <w:r w:rsidRPr="00A95BFA">
        <w:rPr>
          <w:rFonts w:ascii="Arial" w:hAnsi="Arial" w:cs="Arial"/>
        </w:rPr>
        <w:t xml:space="preserve"> de acordo com a NBC TSP 17</w:t>
      </w:r>
      <w:r w:rsidR="00195327">
        <w:rPr>
          <w:rFonts w:ascii="Arial" w:hAnsi="Arial" w:cs="Arial"/>
        </w:rPr>
        <w:t>,</w:t>
      </w:r>
      <w:r w:rsidRPr="00A95BFA">
        <w:rPr>
          <w:rFonts w:ascii="Arial" w:hAnsi="Arial" w:cs="Arial"/>
        </w:rPr>
        <w:t xml:space="preserve"> são incluídas no SGG e auxiliam os usuários a desenvolver a compreensão da relação entre a informação sobre o governo e o seu SGG e a entender melhor a própria informação do SGG.</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42. </w:t>
      </w:r>
      <w:r w:rsidRPr="00A95BFA">
        <w:rPr>
          <w:rFonts w:ascii="Arial" w:hAnsi="Arial" w:cs="Arial"/>
        </w:rPr>
        <w:tab/>
        <w:t>De modo similar, a divulgação das mudanças nas entidades controladas incluídas no SGG permite aos usuários monitorar o relacionamento entre as demonstrações contábeis consolidadas e a informação do SGG ao longo do tempo.</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rPr>
        <w:t>Conciliação com as demonstrações contábeis consolidadas</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b/>
        </w:rPr>
        <w:lastRenderedPageBreak/>
        <w:t xml:space="preserve">43. </w:t>
      </w:r>
      <w:r w:rsidRPr="00A95BFA">
        <w:rPr>
          <w:rFonts w:ascii="Arial" w:hAnsi="Arial" w:cs="Arial"/>
          <w:b/>
        </w:rPr>
        <w:tab/>
        <w:t>As divulgações do SGG devem ser conciliadas com as demonstrações contábeis consolidadas do governo, apresentando separadamente o valor do ajuste para cada item equivalente naquelas demonstrações contábeis.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color w:val="000000"/>
        </w:rPr>
      </w:pPr>
      <w:r w:rsidRPr="00A95BFA">
        <w:rPr>
          <w:rFonts w:ascii="Arial" w:hAnsi="Arial" w:cs="Arial"/>
        </w:rPr>
        <w:t xml:space="preserve">44. </w:t>
      </w:r>
      <w:r w:rsidRPr="00A95BFA">
        <w:rPr>
          <w:rFonts w:ascii="Arial" w:hAnsi="Arial" w:cs="Arial"/>
        </w:rPr>
        <w:tab/>
        <w:t>Esta Norma exige que os valores divulgados em relação ao SGG sejam conciliados com os seus valores equivalentes nas demonstrações contábeis consolidadas do governo. As entidades devem apresentar separadamente o ajuste no valor de investimento no ativo nos setores EPF e EPNF determinados</w:t>
      </w:r>
      <w:r w:rsidR="00195327">
        <w:rPr>
          <w:rFonts w:ascii="Arial" w:hAnsi="Arial" w:cs="Arial"/>
        </w:rPr>
        <w:t>,</w:t>
      </w:r>
      <w:r w:rsidRPr="00A95BFA">
        <w:rPr>
          <w:rFonts w:ascii="Arial" w:hAnsi="Arial" w:cs="Arial"/>
        </w:rPr>
        <w:t xml:space="preserve"> de acordo com o item 23, bem como os ajustes em cada um dos itens divulgados separadamente</w:t>
      </w:r>
      <w:r w:rsidR="00195327">
        <w:rPr>
          <w:rFonts w:ascii="Arial" w:hAnsi="Arial" w:cs="Arial"/>
        </w:rPr>
        <w:t>,</w:t>
      </w:r>
      <w:r w:rsidRPr="00A95BFA">
        <w:rPr>
          <w:rFonts w:ascii="Arial" w:hAnsi="Arial" w:cs="Arial"/>
        </w:rPr>
        <w:t xml:space="preserve"> de acordo com o item 35. Além disso, as entidades não são obrigadas, mas podem divulgar</w:t>
      </w:r>
      <w:r w:rsidR="00195327">
        <w:rPr>
          <w:rFonts w:ascii="Arial" w:hAnsi="Arial" w:cs="Arial"/>
        </w:rPr>
        <w:t>,</w:t>
      </w:r>
      <w:r w:rsidRPr="00A95BFA">
        <w:rPr>
          <w:rFonts w:ascii="Arial" w:hAnsi="Arial" w:cs="Arial"/>
        </w:rPr>
        <w:t xml:space="preserve"> separadamente</w:t>
      </w:r>
      <w:r w:rsidR="00195327">
        <w:rPr>
          <w:rFonts w:ascii="Arial" w:hAnsi="Arial" w:cs="Arial"/>
        </w:rPr>
        <w:t>,</w:t>
      </w:r>
      <w:r w:rsidRPr="00A95BFA">
        <w:rPr>
          <w:rFonts w:ascii="Arial" w:hAnsi="Arial" w:cs="Arial"/>
        </w:rPr>
        <w:t xml:space="preserve"> o valor de ajuste em cada item atribuível aos setores EPF e EPNF. Essa conciliação permite que o governo cumpra melhor suas obrigações referentes à responsabilização e prestação de contas por meio da demonstração do relacionamento entre os valores de cada item do SGG com o valor total daqueles itens do governo.</w:t>
      </w:r>
    </w:p>
    <w:p w:rsidR="00561E49" w:rsidRDefault="00561E49" w:rsidP="00A95BFA">
      <w:pPr>
        <w:autoSpaceDE w:val="0"/>
        <w:autoSpaceDN w:val="0"/>
        <w:adjustRightInd w:val="0"/>
        <w:spacing w:after="0" w:line="240" w:lineRule="auto"/>
        <w:jc w:val="both"/>
        <w:rPr>
          <w:rFonts w:ascii="Arial" w:hAnsi="Arial" w:cs="Arial"/>
          <w:b/>
          <w:bCs/>
          <w:color w:val="000000"/>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b/>
          <w:bCs/>
          <w:color w:val="000000"/>
        </w:rPr>
        <w:t>Conciliação com as bases estatísticas de relatórios financeiros</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45. </w:t>
      </w:r>
      <w:r w:rsidRPr="00A95BFA">
        <w:rPr>
          <w:rFonts w:ascii="Arial" w:hAnsi="Arial" w:cs="Arial"/>
        </w:rPr>
        <w:tab/>
        <w:t>As bases estatísticas de relatórios financeiros e as NBCs TSP apresentam muitas similaridades no tratamento de certas transações e eventos. Entretanto, também existem diferenças. Por exemplo, além das diferenças nas bases de mensuração de ativos e passivos destacados no item 32, as bases estatísticas de relatórios financeiros tratam dividendos como despesa, enquanto as NBCs TSP tratam como distribuição. As bases estatísticas de relatórios financeiros também fazem distinção entre transações e outros fluxos econômicos para a apresentação da informação financeira que não é refletida</w:t>
      </w:r>
      <w:r w:rsidR="00195327">
        <w:rPr>
          <w:rFonts w:ascii="Arial" w:hAnsi="Arial" w:cs="Arial"/>
        </w:rPr>
        <w:t>,</w:t>
      </w:r>
      <w:r w:rsidRPr="00A95BFA">
        <w:rPr>
          <w:rFonts w:ascii="Arial" w:hAnsi="Arial" w:cs="Arial"/>
        </w:rPr>
        <w:t xml:space="preserve"> normalmente</w:t>
      </w:r>
      <w:r w:rsidR="00195327">
        <w:rPr>
          <w:rFonts w:ascii="Arial" w:hAnsi="Arial" w:cs="Arial"/>
        </w:rPr>
        <w:t>,</w:t>
      </w:r>
      <w:r w:rsidRPr="00A95BFA">
        <w:rPr>
          <w:rFonts w:ascii="Arial" w:hAnsi="Arial" w:cs="Arial"/>
        </w:rPr>
        <w:t xml:space="preserve"> nas demonstrações contábeis consolidadas e que focam em medidas específicas relevantes para a análise da política fiscal, tais como empréstimos líquidos e aumento ou redução do caixa.</w:t>
      </w:r>
    </w:p>
    <w:p w:rsidR="00561E49" w:rsidRDefault="00561E49" w:rsidP="00A95BFA">
      <w:pPr>
        <w:autoSpaceDE w:val="0"/>
        <w:autoSpaceDN w:val="0"/>
        <w:adjustRightInd w:val="0"/>
        <w:spacing w:after="0" w:line="240" w:lineRule="auto"/>
        <w:jc w:val="both"/>
        <w:rPr>
          <w:rFonts w:ascii="Arial" w:hAnsi="Arial" w:cs="Arial"/>
        </w:rPr>
      </w:pPr>
    </w:p>
    <w:p w:rsidR="00A95BFA" w:rsidRPr="00A95BFA" w:rsidRDefault="00A95BFA" w:rsidP="00561E49">
      <w:pPr>
        <w:autoSpaceDE w:val="0"/>
        <w:autoSpaceDN w:val="0"/>
        <w:adjustRightInd w:val="0"/>
        <w:spacing w:after="0" w:line="240" w:lineRule="auto"/>
        <w:ind w:left="567" w:hanging="567"/>
        <w:jc w:val="both"/>
        <w:rPr>
          <w:rFonts w:ascii="Arial" w:hAnsi="Arial" w:cs="Arial"/>
        </w:rPr>
      </w:pPr>
      <w:r w:rsidRPr="00A95BFA">
        <w:rPr>
          <w:rFonts w:ascii="Arial" w:hAnsi="Arial" w:cs="Arial"/>
        </w:rPr>
        <w:t xml:space="preserve">46. </w:t>
      </w:r>
      <w:r w:rsidRPr="00A95BFA">
        <w:rPr>
          <w:rFonts w:ascii="Arial" w:hAnsi="Arial" w:cs="Arial"/>
        </w:rPr>
        <w:tab/>
        <w:t>Esta Norma não exige a conciliação das divulgações do SGG nas demonstrações contábeis consolidadas com as divulgações do SGG de acordo com as bases estatísticas de relatórios financeiros. Is</w:t>
      </w:r>
      <w:r w:rsidR="00195327">
        <w:rPr>
          <w:rFonts w:ascii="Arial" w:hAnsi="Arial" w:cs="Arial"/>
        </w:rPr>
        <w:t>s</w:t>
      </w:r>
      <w:r w:rsidRPr="00A95BFA">
        <w:rPr>
          <w:rFonts w:ascii="Arial" w:hAnsi="Arial" w:cs="Arial"/>
        </w:rPr>
        <w:t>o se deve às preocupações sobre a exequibilidade e a relação custo-benefício de tal exigência. Entretanto, a inclusão de tal conciliação pela divulgação por meio de notas explicativas não é proibida.</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A95BFA">
      <w:pPr>
        <w:autoSpaceDE w:val="0"/>
        <w:autoSpaceDN w:val="0"/>
        <w:adjustRightInd w:val="0"/>
        <w:spacing w:after="0" w:line="240" w:lineRule="auto"/>
        <w:jc w:val="both"/>
        <w:rPr>
          <w:rFonts w:ascii="Arial" w:hAnsi="Arial" w:cs="Arial"/>
        </w:rPr>
      </w:pPr>
      <w:r w:rsidRPr="00A95BFA">
        <w:rPr>
          <w:rFonts w:ascii="Arial" w:hAnsi="Arial" w:cs="Arial"/>
        </w:rPr>
        <w:t xml:space="preserve">47 </w:t>
      </w:r>
      <w:r w:rsidR="00561E49">
        <w:rPr>
          <w:rFonts w:ascii="Arial" w:hAnsi="Arial" w:cs="Arial"/>
        </w:rPr>
        <w:t>e</w:t>
      </w:r>
      <w:r w:rsidRPr="00A95BFA">
        <w:rPr>
          <w:rFonts w:ascii="Arial" w:hAnsi="Arial" w:cs="Arial"/>
        </w:rPr>
        <w:t xml:space="preserve"> 48. (Não convergidos).</w:t>
      </w:r>
    </w:p>
    <w:p w:rsidR="00561E49" w:rsidRDefault="00561E49" w:rsidP="00A95BFA">
      <w:pPr>
        <w:autoSpaceDE w:val="0"/>
        <w:autoSpaceDN w:val="0"/>
        <w:adjustRightInd w:val="0"/>
        <w:spacing w:after="0" w:line="240" w:lineRule="auto"/>
        <w:jc w:val="both"/>
        <w:rPr>
          <w:rFonts w:ascii="Arial" w:hAnsi="Arial" w:cs="Arial"/>
          <w:b/>
        </w:rPr>
      </w:pPr>
    </w:p>
    <w:p w:rsidR="00561E49" w:rsidRPr="00A95BFA" w:rsidRDefault="00561E49" w:rsidP="00561E49">
      <w:pPr>
        <w:autoSpaceDE w:val="0"/>
        <w:autoSpaceDN w:val="0"/>
        <w:adjustRightInd w:val="0"/>
        <w:spacing w:after="0" w:line="240" w:lineRule="auto"/>
        <w:jc w:val="both"/>
        <w:rPr>
          <w:rFonts w:ascii="Arial" w:hAnsi="Arial" w:cs="Arial"/>
          <w:b/>
        </w:rPr>
      </w:pPr>
      <w:r w:rsidRPr="00A95BFA">
        <w:rPr>
          <w:rFonts w:ascii="Arial" w:hAnsi="Arial" w:cs="Arial"/>
          <w:b/>
        </w:rPr>
        <w:t>Vigência</w:t>
      </w:r>
    </w:p>
    <w:p w:rsidR="00561E49" w:rsidRDefault="00561E49" w:rsidP="00A95BFA">
      <w:pPr>
        <w:autoSpaceDE w:val="0"/>
        <w:autoSpaceDN w:val="0"/>
        <w:adjustRightInd w:val="0"/>
        <w:spacing w:after="0" w:line="240" w:lineRule="auto"/>
        <w:jc w:val="both"/>
        <w:rPr>
          <w:rFonts w:ascii="Arial" w:hAnsi="Arial" w:cs="Arial"/>
          <w:b/>
        </w:rPr>
      </w:pPr>
    </w:p>
    <w:p w:rsidR="00A95BFA" w:rsidRPr="00A95BFA" w:rsidRDefault="00A95BFA" w:rsidP="00A10A36">
      <w:pPr>
        <w:autoSpaceDE w:val="0"/>
        <w:autoSpaceDN w:val="0"/>
        <w:adjustRightInd w:val="0"/>
        <w:spacing w:after="0" w:line="240" w:lineRule="auto"/>
        <w:ind w:left="567"/>
        <w:jc w:val="both"/>
        <w:rPr>
          <w:rFonts w:ascii="Arial" w:hAnsi="Arial" w:cs="Arial"/>
        </w:rPr>
      </w:pPr>
      <w:r w:rsidRPr="00A95BFA">
        <w:rPr>
          <w:rFonts w:ascii="Arial" w:hAnsi="Arial" w:cs="Arial"/>
          <w:b/>
        </w:rPr>
        <w:t xml:space="preserve">Esta </w:t>
      </w:r>
      <w:r w:rsidR="00195327">
        <w:rPr>
          <w:rFonts w:ascii="Arial" w:hAnsi="Arial" w:cs="Arial"/>
          <w:b/>
        </w:rPr>
        <w:t>N</w:t>
      </w:r>
      <w:r w:rsidRPr="00A95BFA">
        <w:rPr>
          <w:rFonts w:ascii="Arial" w:hAnsi="Arial" w:cs="Arial"/>
          <w:b/>
        </w:rPr>
        <w:t>orma deve ser aplicada nas entidades do setor público a partir de 1º de janeiro de 2021</w:t>
      </w:r>
      <w:bookmarkStart w:id="0" w:name="_GoBack"/>
      <w:bookmarkEnd w:id="0"/>
      <w:r w:rsidRPr="00A95BFA">
        <w:rPr>
          <w:rFonts w:ascii="Arial" w:hAnsi="Arial" w:cs="Arial"/>
          <w:b/>
        </w:rPr>
        <w:t>, salvo na existência de algum normativo em âmbito nacional que estabeleça prazos específicos – casos em que estes prevalecem.</w:t>
      </w:r>
    </w:p>
    <w:p w:rsidR="00A10A36" w:rsidRDefault="00A10A36" w:rsidP="00A10A36">
      <w:pPr>
        <w:widowControl w:val="0"/>
        <w:adjustRightInd w:val="0"/>
        <w:spacing w:after="0" w:line="240" w:lineRule="auto"/>
        <w:jc w:val="right"/>
        <w:textAlignment w:val="baseline"/>
        <w:rPr>
          <w:rFonts w:ascii="Arial" w:eastAsia="Times New Roman" w:hAnsi="Arial" w:cs="Arial"/>
          <w:lang w:eastAsia="pt-BR"/>
        </w:rPr>
      </w:pPr>
    </w:p>
    <w:p w:rsidR="00A10A36" w:rsidRDefault="00A10A36" w:rsidP="00A10A36">
      <w:pPr>
        <w:widowControl w:val="0"/>
        <w:adjustRightInd w:val="0"/>
        <w:spacing w:after="0" w:line="240" w:lineRule="auto"/>
        <w:jc w:val="right"/>
        <w:textAlignment w:val="baseline"/>
        <w:rPr>
          <w:rFonts w:ascii="Arial" w:eastAsia="Times New Roman" w:hAnsi="Arial" w:cs="Arial"/>
          <w:lang w:eastAsia="pt-BR"/>
        </w:rPr>
      </w:pPr>
    </w:p>
    <w:p w:rsidR="00A10A36" w:rsidRPr="002539D8" w:rsidRDefault="00A10A36" w:rsidP="00A10A36">
      <w:pPr>
        <w:widowControl w:val="0"/>
        <w:adjustRightInd w:val="0"/>
        <w:spacing w:after="0" w:line="240" w:lineRule="auto"/>
        <w:jc w:val="right"/>
        <w:textAlignment w:val="baseline"/>
        <w:rPr>
          <w:rFonts w:ascii="Arial" w:eastAsia="Times New Roman" w:hAnsi="Arial" w:cs="Arial"/>
          <w:lang w:eastAsia="pt-BR"/>
        </w:rPr>
      </w:pPr>
      <w:r w:rsidRPr="002539D8">
        <w:rPr>
          <w:rFonts w:ascii="Arial" w:eastAsia="Times New Roman" w:hAnsi="Arial" w:cs="Arial"/>
          <w:lang w:eastAsia="pt-BR"/>
        </w:rPr>
        <w:t xml:space="preserve">Brasília, </w:t>
      </w:r>
      <w:r>
        <w:rPr>
          <w:rFonts w:ascii="Arial" w:eastAsia="Times New Roman" w:hAnsi="Arial" w:cs="Arial"/>
          <w:lang w:eastAsia="pt-BR"/>
        </w:rPr>
        <w:t>xx</w:t>
      </w:r>
      <w:r w:rsidRPr="002539D8">
        <w:rPr>
          <w:rFonts w:ascii="Arial" w:eastAsia="Times New Roman" w:hAnsi="Arial" w:cs="Arial"/>
          <w:lang w:eastAsia="pt-BR"/>
        </w:rPr>
        <w:t xml:space="preserve"> de </w:t>
      </w:r>
      <w:r>
        <w:rPr>
          <w:rFonts w:ascii="Arial" w:eastAsia="Times New Roman" w:hAnsi="Arial" w:cs="Arial"/>
          <w:lang w:eastAsia="pt-BR"/>
        </w:rPr>
        <w:t>xxxx</w:t>
      </w:r>
      <w:r w:rsidRPr="002539D8">
        <w:rPr>
          <w:rFonts w:ascii="Arial" w:eastAsia="Times New Roman" w:hAnsi="Arial" w:cs="Arial"/>
          <w:lang w:eastAsia="pt-BR"/>
        </w:rPr>
        <w:t xml:space="preserve"> de 20</w:t>
      </w:r>
      <w:r>
        <w:rPr>
          <w:rFonts w:ascii="Arial" w:eastAsia="Times New Roman" w:hAnsi="Arial" w:cs="Arial"/>
          <w:lang w:eastAsia="pt-BR"/>
        </w:rPr>
        <w:t>20</w:t>
      </w:r>
      <w:r w:rsidRPr="002539D8">
        <w:rPr>
          <w:rFonts w:ascii="Arial" w:eastAsia="Times New Roman" w:hAnsi="Arial" w:cs="Arial"/>
          <w:lang w:eastAsia="pt-BR"/>
        </w:rPr>
        <w:t>.</w:t>
      </w:r>
    </w:p>
    <w:p w:rsidR="00A10A36" w:rsidRPr="002539D8" w:rsidRDefault="00A10A36" w:rsidP="00A10A36">
      <w:pPr>
        <w:widowControl w:val="0"/>
        <w:adjustRightInd w:val="0"/>
        <w:spacing w:after="0" w:line="240" w:lineRule="auto"/>
        <w:jc w:val="center"/>
        <w:textAlignment w:val="baseline"/>
        <w:rPr>
          <w:rFonts w:ascii="Arial" w:eastAsia="Times New Roman" w:hAnsi="Arial" w:cs="Arial"/>
          <w:lang w:eastAsia="pt-BR"/>
        </w:rPr>
      </w:pPr>
    </w:p>
    <w:p w:rsidR="00A10A36" w:rsidRDefault="00A10A36" w:rsidP="00A10A36">
      <w:pPr>
        <w:widowControl w:val="0"/>
        <w:adjustRightInd w:val="0"/>
        <w:spacing w:after="0" w:line="240" w:lineRule="auto"/>
        <w:jc w:val="center"/>
        <w:textAlignment w:val="baseline"/>
        <w:rPr>
          <w:rFonts w:ascii="Arial" w:eastAsia="Times New Roman" w:hAnsi="Arial" w:cs="Arial"/>
          <w:lang w:eastAsia="pt-BR"/>
        </w:rPr>
      </w:pPr>
    </w:p>
    <w:p w:rsidR="00A10A36" w:rsidRPr="002539D8" w:rsidRDefault="00A10A36" w:rsidP="00A10A36">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Contador Zulmir Ivânio Breda</w:t>
      </w:r>
    </w:p>
    <w:p w:rsidR="00A10A36" w:rsidRPr="002539D8" w:rsidRDefault="00A10A36" w:rsidP="00A10A36">
      <w:pPr>
        <w:widowControl w:val="0"/>
        <w:adjustRightInd w:val="0"/>
        <w:spacing w:after="0" w:line="240" w:lineRule="auto"/>
        <w:jc w:val="center"/>
        <w:textAlignment w:val="baseline"/>
        <w:rPr>
          <w:rFonts w:ascii="Arial" w:eastAsia="Times New Roman" w:hAnsi="Arial" w:cs="Arial"/>
          <w:lang w:eastAsia="pt-BR"/>
        </w:rPr>
      </w:pPr>
      <w:r w:rsidRPr="002539D8">
        <w:rPr>
          <w:rFonts w:ascii="Arial" w:eastAsia="Times New Roman" w:hAnsi="Arial" w:cs="Arial"/>
          <w:lang w:eastAsia="pt-BR"/>
        </w:rPr>
        <w:t>Presidente</w:t>
      </w:r>
    </w:p>
    <w:p w:rsidR="00A10A36" w:rsidRPr="002539D8" w:rsidRDefault="00A10A36" w:rsidP="00A10A36">
      <w:pPr>
        <w:widowControl w:val="0"/>
        <w:adjustRightInd w:val="0"/>
        <w:spacing w:after="0" w:line="240" w:lineRule="auto"/>
        <w:jc w:val="center"/>
        <w:textAlignment w:val="baseline"/>
        <w:rPr>
          <w:rFonts w:ascii="Arial" w:eastAsia="Times New Roman" w:hAnsi="Arial" w:cs="Arial"/>
          <w:lang w:eastAsia="pt-BR"/>
        </w:rPr>
      </w:pPr>
    </w:p>
    <w:p w:rsidR="00A10A36" w:rsidRDefault="00A10A36" w:rsidP="00A10A36">
      <w:pPr>
        <w:autoSpaceDE w:val="0"/>
        <w:autoSpaceDN w:val="0"/>
        <w:adjustRightInd w:val="0"/>
        <w:spacing w:after="0" w:line="240" w:lineRule="auto"/>
        <w:jc w:val="both"/>
        <w:rPr>
          <w:rFonts w:ascii="Arial" w:eastAsia="Times New Roman" w:hAnsi="Arial" w:cs="Arial"/>
          <w:lang w:eastAsia="pt-BR"/>
        </w:rPr>
      </w:pPr>
    </w:p>
    <w:p w:rsidR="00F25391" w:rsidRPr="00A95BFA" w:rsidRDefault="00A10A36" w:rsidP="00F25391">
      <w:pPr>
        <w:autoSpaceDE w:val="0"/>
        <w:autoSpaceDN w:val="0"/>
        <w:adjustRightInd w:val="0"/>
        <w:spacing w:after="0" w:line="240" w:lineRule="auto"/>
        <w:jc w:val="both"/>
        <w:rPr>
          <w:rFonts w:ascii="Times New Roman" w:hAnsi="Times New Roman" w:cs="Times New Roman"/>
          <w:sz w:val="24"/>
          <w:szCs w:val="24"/>
        </w:rPr>
      </w:pPr>
      <w:r w:rsidRPr="002539D8">
        <w:rPr>
          <w:rFonts w:ascii="Arial" w:eastAsia="Times New Roman" w:hAnsi="Arial" w:cs="Arial"/>
          <w:lang w:eastAsia="pt-BR"/>
        </w:rPr>
        <w:t xml:space="preserve">Ata CFC n.º </w:t>
      </w:r>
      <w:r>
        <w:rPr>
          <w:rFonts w:ascii="Arial" w:eastAsia="Times New Roman" w:hAnsi="Arial" w:cs="Arial"/>
          <w:lang w:eastAsia="pt-BR"/>
        </w:rPr>
        <w:t>1.06x</w:t>
      </w:r>
      <w:r w:rsidRPr="002539D8">
        <w:rPr>
          <w:rFonts w:ascii="Arial" w:eastAsia="Times New Roman" w:hAnsi="Arial" w:cs="Arial"/>
          <w:lang w:eastAsia="pt-BR"/>
        </w:rPr>
        <w:t>.</w:t>
      </w:r>
    </w:p>
    <w:sectPr w:rsidR="00F25391" w:rsidRPr="00A95BFA" w:rsidSect="00A95BFA">
      <w:headerReference w:type="even" r:id="rId8"/>
      <w:headerReference w:type="default" r:id="rId9"/>
      <w:headerReference w:type="first" r:id="rId10"/>
      <w:pgSz w:w="11906" w:h="16838"/>
      <w:pgMar w:top="1134" w:right="1134" w:bottom="1134" w:left="1134" w:header="709" w:footer="17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51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51030" w16cid:durableId="220758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60" w:rsidRDefault="006E1F60" w:rsidP="008C5A95">
      <w:pPr>
        <w:spacing w:after="0" w:line="240" w:lineRule="auto"/>
      </w:pPr>
      <w:r>
        <w:separator/>
      </w:r>
    </w:p>
  </w:endnote>
  <w:endnote w:type="continuationSeparator" w:id="0">
    <w:p w:rsidR="006E1F60" w:rsidRDefault="006E1F60" w:rsidP="008C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60" w:rsidRDefault="006E1F60" w:rsidP="008C5A95">
      <w:pPr>
        <w:spacing w:after="0" w:line="240" w:lineRule="auto"/>
      </w:pPr>
      <w:r>
        <w:separator/>
      </w:r>
    </w:p>
  </w:footnote>
  <w:footnote w:type="continuationSeparator" w:id="0">
    <w:p w:rsidR="006E1F60" w:rsidRDefault="006E1F60" w:rsidP="008C5A95">
      <w:pPr>
        <w:spacing w:after="0" w:line="240" w:lineRule="auto"/>
      </w:pPr>
      <w:r>
        <w:continuationSeparator/>
      </w:r>
    </w:p>
  </w:footnote>
  <w:footnote w:id="1">
    <w:p w:rsidR="006E1F60" w:rsidRPr="006C6DAC" w:rsidRDefault="006E1F60" w:rsidP="006C6DAC">
      <w:pPr>
        <w:pStyle w:val="Textodenotaderodap"/>
        <w:jc w:val="both"/>
        <w:rPr>
          <w:rFonts w:ascii="Arial" w:hAnsi="Arial" w:cs="Arial"/>
          <w:sz w:val="18"/>
          <w:szCs w:val="18"/>
        </w:rPr>
      </w:pPr>
      <w:r w:rsidRPr="006C6DAC">
        <w:rPr>
          <w:rStyle w:val="Refdenotaderodap"/>
          <w:rFonts w:ascii="Arial" w:hAnsi="Arial" w:cs="Arial"/>
          <w:sz w:val="18"/>
          <w:szCs w:val="18"/>
        </w:rPr>
        <w:footnoteRef/>
      </w:r>
      <w:r w:rsidRPr="006C6DAC">
        <w:rPr>
          <w:rFonts w:ascii="Arial" w:hAnsi="Arial" w:cs="Arial"/>
          <w:sz w:val="18"/>
          <w:szCs w:val="18"/>
        </w:rPr>
        <w:t xml:space="preserve"> </w:t>
      </w:r>
      <w:r w:rsidRPr="006C6DAC">
        <w:rPr>
          <w:rFonts w:ascii="Arial" w:hAnsi="Arial" w:cs="Arial"/>
          <w:i/>
          <w:iCs/>
          <w:sz w:val="18"/>
          <w:szCs w:val="18"/>
        </w:rPr>
        <w:t xml:space="preserve">O conceito de empresa pública empregado nesta </w:t>
      </w:r>
      <w:r>
        <w:rPr>
          <w:rFonts w:ascii="Arial" w:hAnsi="Arial" w:cs="Arial"/>
          <w:i/>
          <w:iCs/>
          <w:sz w:val="18"/>
          <w:szCs w:val="18"/>
        </w:rPr>
        <w:t>N</w:t>
      </w:r>
      <w:r w:rsidRPr="006C6DAC">
        <w:rPr>
          <w:rFonts w:ascii="Arial" w:hAnsi="Arial" w:cs="Arial"/>
          <w:i/>
          <w:iCs/>
          <w:sz w:val="18"/>
          <w:szCs w:val="18"/>
        </w:rPr>
        <w:t>orma não corresponde ao conceito de empresa pública do Decreto-Lei n</w:t>
      </w:r>
      <w:r>
        <w:rPr>
          <w:rFonts w:ascii="Arial" w:hAnsi="Arial" w:cs="Arial"/>
          <w:i/>
          <w:iCs/>
          <w:sz w:val="18"/>
          <w:szCs w:val="18"/>
        </w:rPr>
        <w:t>.</w:t>
      </w:r>
      <w:r w:rsidRPr="006C6DAC">
        <w:rPr>
          <w:rFonts w:ascii="Arial" w:hAnsi="Arial" w:cs="Arial"/>
          <w:i/>
          <w:iCs/>
          <w:sz w:val="18"/>
          <w:szCs w:val="18"/>
        </w:rPr>
        <w:t>º 200, de 25 de fevereiro de 1967, ou seja, não é necessariamente a empresa cujo capital social pertence integralmente ao governo que a controla, mas abrange as demais empresas estatais, como as sociedades de economia mista (conceituadas no mesmo Decreto-Lei)</w:t>
      </w:r>
      <w:r w:rsidRPr="006C6DAC">
        <w:rPr>
          <w:rFonts w:ascii="Arial" w:hAnsi="Arial" w:cs="Arial"/>
          <w:i/>
          <w:iCs/>
          <w:color w:val="000000"/>
          <w:sz w:val="18"/>
          <w:szCs w:val="18"/>
          <w:shd w:val="clear" w:color="auto" w:fill="FFFFFF"/>
        </w:rPr>
        <w:t>.</w:t>
      </w:r>
    </w:p>
  </w:footnote>
  <w:footnote w:id="2">
    <w:p w:rsidR="006E1F60" w:rsidRPr="00342CD9" w:rsidRDefault="006E1F60" w:rsidP="00195327">
      <w:pPr>
        <w:pStyle w:val="Textodenotaderodap"/>
        <w:jc w:val="both"/>
        <w:rPr>
          <w:rFonts w:ascii="Arial" w:hAnsi="Arial" w:cs="Arial"/>
          <w:sz w:val="18"/>
          <w:szCs w:val="18"/>
        </w:rPr>
      </w:pPr>
      <w:r w:rsidRPr="00342CD9">
        <w:rPr>
          <w:rStyle w:val="Refdenotaderodap"/>
          <w:rFonts w:ascii="Arial" w:hAnsi="Arial" w:cs="Arial"/>
          <w:sz w:val="18"/>
          <w:szCs w:val="18"/>
        </w:rPr>
        <w:footnoteRef/>
      </w:r>
      <w:r w:rsidRPr="00342CD9">
        <w:rPr>
          <w:rFonts w:ascii="Arial" w:hAnsi="Arial" w:cs="Arial"/>
          <w:sz w:val="18"/>
          <w:szCs w:val="18"/>
        </w:rPr>
        <w:t xml:space="preserve"> </w:t>
      </w:r>
      <w:r w:rsidRPr="00342CD9">
        <w:rPr>
          <w:rFonts w:ascii="Arial" w:hAnsi="Arial" w:cs="Arial"/>
          <w:i/>
          <w:iCs/>
          <w:sz w:val="18"/>
          <w:szCs w:val="18"/>
        </w:rPr>
        <w:t>COFOG é a Classificação por Função de Governo (COFOG - Classification of Functions of Government) da Organização para a Cooperação e Desenvolvimento Econômico (OCDE). É uma classificação detalhada das funções de governo ou objetivos socioeconômicos, como saúde, educação, proteção social e defesa.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0" w:rsidRDefault="002E0EF4">
    <w:pPr>
      <w:pStyle w:val="Cabealho"/>
    </w:pPr>
    <w:r>
      <w:rPr>
        <w:noProof/>
      </w:rPr>
      <w:pict>
        <v:shapetype id="_x0000_t202" coordsize="21600,21600" o:spt="202" path="m,l,21600r21600,l21600,xe">
          <v:stroke joinstyle="miter"/>
          <v:path gradientshapeok="t" o:connecttype="rect"/>
        </v:shapetype>
        <v:shape id="WordArt 2" o:spid="_x0000_s2051" type="#_x0000_t202" style="position:absolute;margin-left:0;margin-top:0;width:599.4pt;height:179.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" o:allowincell="f" filled="f" stroked="f">
          <o:lock v:ext="edit" shapetype="t"/>
          <v:textbox style="mso-fit-shape-to-text:t">
            <w:txbxContent>
              <w:p w:rsidR="006E1F60" w:rsidRDefault="006E1F60" w:rsidP="00AF1BCF">
                <w:pPr>
                  <w:jc w:val="center"/>
                  <w:rPr>
                    <w:sz w:val="24"/>
                    <w:szCs w:val="24"/>
                  </w:rPr>
                </w:pPr>
                <w:r>
                  <w:rPr>
                    <w:rFonts w:ascii="Calibri" w:hAnsi="Calibri"/>
                    <w:color w:val="A6A6A6" w:themeColor="background1" w:themeShade="A6"/>
                    <w:sz w:val="2"/>
                    <w:szCs w:val="2"/>
                  </w:rPr>
                  <w:t>MINUTA M1</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0" w:rsidRDefault="002E0EF4">
    <w:pPr>
      <w:pStyle w:val="Cabealho"/>
    </w:pPr>
    <w:r>
      <w:rPr>
        <w:noProof/>
      </w:rPr>
      <w:pict>
        <v:shapetype id="_x0000_t202" coordsize="21600,21600" o:spt="202" path="m,l,21600r21600,l21600,xe">
          <v:stroke joinstyle="miter"/>
          <v:path gradientshapeok="t" o:connecttype="rect"/>
        </v:shapetype>
        <v:shape id="WordArt 3" o:spid="_x0000_s2050" type="#_x0000_t202" style="position:absolute;margin-left:0;margin-top:0;width:599.4pt;height:1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" o:allowincell="f" filled="f" stroked="f">
          <o:lock v:ext="edit" shapetype="t"/>
          <v:textbox style="mso-fit-shape-to-text:t">
            <w:txbxContent>
              <w:p w:rsidR="006E1F60" w:rsidRDefault="006E1F60" w:rsidP="00AF1BCF">
                <w:pPr>
                  <w:jc w:val="center"/>
                  <w:rPr>
                    <w:sz w:val="24"/>
                    <w:szCs w:val="24"/>
                  </w:rPr>
                </w:pPr>
                <w:r>
                  <w:rPr>
                    <w:rFonts w:ascii="Calibri" w:hAnsi="Calibri"/>
                    <w:color w:val="A6A6A6" w:themeColor="background1" w:themeShade="A6"/>
                    <w:sz w:val="2"/>
                    <w:szCs w:val="2"/>
                  </w:rPr>
                  <w:t>MINUTA M1</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0" w:rsidRDefault="002E0EF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9.4pt;height:179.8pt;rotation:315;z-index:-251657728;mso-position-horizontal:center;mso-position-horizontal-relative:margin;mso-position-vertical:center;mso-position-vertical-relative:margin" o:allowincell="f" fillcolor="#a5a5a5 [2092]" stroked="f">
          <v:fill opacity=".5"/>
          <v:textpath style="font-family:&quot;Calibri&quot;;font-size:1pt" string="MINUTA M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B0"/>
    <w:multiLevelType w:val="hybridMultilevel"/>
    <w:tmpl w:val="29AE86DC"/>
    <w:lvl w:ilvl="0" w:tplc="19D0B124">
      <w:start w:val="1"/>
      <w:numFmt w:val="lowerLetter"/>
      <w:lvlText w:val="(%1)"/>
      <w:lvlJc w:val="left"/>
      <w:pPr>
        <w:ind w:left="175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3F9063D"/>
    <w:multiLevelType w:val="hybridMultilevel"/>
    <w:tmpl w:val="A1BE9D48"/>
    <w:lvl w:ilvl="0" w:tplc="862E2C22">
      <w:start w:val="1"/>
      <w:numFmt w:val="lowerLetter"/>
      <w:lvlText w:val="(%1)"/>
      <w:lvlJc w:val="left"/>
      <w:pPr>
        <w:tabs>
          <w:tab w:val="num" w:pos="1353"/>
        </w:tabs>
        <w:ind w:left="1353"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5CA524D"/>
    <w:multiLevelType w:val="hybridMultilevel"/>
    <w:tmpl w:val="3F3E9F36"/>
    <w:lvl w:ilvl="0" w:tplc="6A106F5C">
      <w:start w:val="43"/>
      <w:numFmt w:val="decimal"/>
      <w:lvlText w:val="%1."/>
      <w:lvlJc w:val="left"/>
      <w:pPr>
        <w:ind w:left="1987" w:hanging="548"/>
      </w:pPr>
      <w:rPr>
        <w:spacing w:val="-1"/>
        <w:w w:val="99"/>
        <w:u w:val="single" w:color="000000"/>
        <w:lang w:val="en-US" w:eastAsia="en-US" w:bidi="en-US"/>
      </w:rPr>
    </w:lvl>
    <w:lvl w:ilvl="1" w:tplc="A2F03B48">
      <w:start w:val="1"/>
      <w:numFmt w:val="lowerLetter"/>
      <w:lvlText w:val="(%2)"/>
      <w:lvlJc w:val="left"/>
      <w:pPr>
        <w:ind w:left="2534" w:hanging="548"/>
      </w:pPr>
      <w:rPr>
        <w:rFonts w:ascii="Arial" w:eastAsia="Arial" w:hAnsi="Arial" w:cs="Arial" w:hint="default"/>
        <w:spacing w:val="-1"/>
        <w:w w:val="99"/>
        <w:sz w:val="20"/>
        <w:szCs w:val="20"/>
        <w:lang w:val="en-US" w:eastAsia="en-US" w:bidi="en-US"/>
      </w:rPr>
    </w:lvl>
    <w:lvl w:ilvl="2" w:tplc="843C62BE">
      <w:numFmt w:val="bullet"/>
      <w:lvlText w:val="•"/>
      <w:lvlJc w:val="left"/>
      <w:pPr>
        <w:ind w:left="3573" w:hanging="548"/>
      </w:pPr>
      <w:rPr>
        <w:lang w:val="en-US" w:eastAsia="en-US" w:bidi="en-US"/>
      </w:rPr>
    </w:lvl>
    <w:lvl w:ilvl="3" w:tplc="A860F912">
      <w:numFmt w:val="bullet"/>
      <w:lvlText w:val="•"/>
      <w:lvlJc w:val="left"/>
      <w:pPr>
        <w:ind w:left="4606" w:hanging="548"/>
      </w:pPr>
      <w:rPr>
        <w:lang w:val="en-US" w:eastAsia="en-US" w:bidi="en-US"/>
      </w:rPr>
    </w:lvl>
    <w:lvl w:ilvl="4" w:tplc="C112865C">
      <w:numFmt w:val="bullet"/>
      <w:lvlText w:val="•"/>
      <w:lvlJc w:val="left"/>
      <w:pPr>
        <w:ind w:left="5640" w:hanging="548"/>
      </w:pPr>
      <w:rPr>
        <w:lang w:val="en-US" w:eastAsia="en-US" w:bidi="en-US"/>
      </w:rPr>
    </w:lvl>
    <w:lvl w:ilvl="5" w:tplc="E5266E44">
      <w:numFmt w:val="bullet"/>
      <w:lvlText w:val="•"/>
      <w:lvlJc w:val="left"/>
      <w:pPr>
        <w:ind w:left="6673" w:hanging="548"/>
      </w:pPr>
      <w:rPr>
        <w:lang w:val="en-US" w:eastAsia="en-US" w:bidi="en-US"/>
      </w:rPr>
    </w:lvl>
    <w:lvl w:ilvl="6" w:tplc="81B43752">
      <w:numFmt w:val="bullet"/>
      <w:lvlText w:val="•"/>
      <w:lvlJc w:val="left"/>
      <w:pPr>
        <w:ind w:left="7706" w:hanging="548"/>
      </w:pPr>
      <w:rPr>
        <w:lang w:val="en-US" w:eastAsia="en-US" w:bidi="en-US"/>
      </w:rPr>
    </w:lvl>
    <w:lvl w:ilvl="7" w:tplc="8FDED60C">
      <w:numFmt w:val="bullet"/>
      <w:lvlText w:val="•"/>
      <w:lvlJc w:val="left"/>
      <w:pPr>
        <w:ind w:left="8740" w:hanging="548"/>
      </w:pPr>
      <w:rPr>
        <w:lang w:val="en-US" w:eastAsia="en-US" w:bidi="en-US"/>
      </w:rPr>
    </w:lvl>
    <w:lvl w:ilvl="8" w:tplc="1DFEE9F0">
      <w:numFmt w:val="bullet"/>
      <w:lvlText w:val="•"/>
      <w:lvlJc w:val="left"/>
      <w:pPr>
        <w:ind w:left="9773" w:hanging="548"/>
      </w:pPr>
      <w:rPr>
        <w:lang w:val="en-US" w:eastAsia="en-US" w:bidi="en-US"/>
      </w:rPr>
    </w:lvl>
  </w:abstractNum>
  <w:abstractNum w:abstractNumId="3">
    <w:nsid w:val="066F6E43"/>
    <w:multiLevelType w:val="hybridMultilevel"/>
    <w:tmpl w:val="9C4CBE0A"/>
    <w:lvl w:ilvl="0" w:tplc="3DFC418E">
      <w:start w:val="1"/>
      <w:numFmt w:val="lowerLetter"/>
      <w:lvlText w:val="(%1)"/>
      <w:lvlJc w:val="left"/>
      <w:pPr>
        <w:ind w:left="2534" w:hanging="548"/>
      </w:pPr>
      <w:rPr>
        <w:rFonts w:ascii="Arial" w:eastAsia="Arial" w:hAnsi="Arial" w:cs="Arial" w:hint="default"/>
        <w:spacing w:val="-1"/>
        <w:w w:val="99"/>
        <w:sz w:val="20"/>
        <w:szCs w:val="20"/>
        <w:lang w:val="en-US" w:eastAsia="en-US" w:bidi="en-US"/>
      </w:rPr>
    </w:lvl>
    <w:lvl w:ilvl="1" w:tplc="7A7A03DC">
      <w:start w:val="1"/>
      <w:numFmt w:val="lowerRoman"/>
      <w:lvlText w:val="(%2)"/>
      <w:lvlJc w:val="left"/>
      <w:pPr>
        <w:ind w:left="3081" w:hanging="548"/>
      </w:pPr>
      <w:rPr>
        <w:spacing w:val="-1"/>
        <w:w w:val="99"/>
        <w:u w:val="single" w:color="000000"/>
        <w:lang w:val="en-US" w:eastAsia="en-US" w:bidi="en-US"/>
      </w:rPr>
    </w:lvl>
    <w:lvl w:ilvl="2" w:tplc="8A3A5DC8">
      <w:numFmt w:val="bullet"/>
      <w:lvlText w:val="•"/>
      <w:lvlJc w:val="left"/>
      <w:pPr>
        <w:ind w:left="4053" w:hanging="548"/>
      </w:pPr>
      <w:rPr>
        <w:lang w:val="en-US" w:eastAsia="en-US" w:bidi="en-US"/>
      </w:rPr>
    </w:lvl>
    <w:lvl w:ilvl="3" w:tplc="1BAA87BC">
      <w:numFmt w:val="bullet"/>
      <w:lvlText w:val="•"/>
      <w:lvlJc w:val="left"/>
      <w:pPr>
        <w:ind w:left="5026" w:hanging="548"/>
      </w:pPr>
      <w:rPr>
        <w:lang w:val="en-US" w:eastAsia="en-US" w:bidi="en-US"/>
      </w:rPr>
    </w:lvl>
    <w:lvl w:ilvl="4" w:tplc="A6104876">
      <w:numFmt w:val="bullet"/>
      <w:lvlText w:val="•"/>
      <w:lvlJc w:val="left"/>
      <w:pPr>
        <w:ind w:left="6000" w:hanging="548"/>
      </w:pPr>
      <w:rPr>
        <w:lang w:val="en-US" w:eastAsia="en-US" w:bidi="en-US"/>
      </w:rPr>
    </w:lvl>
    <w:lvl w:ilvl="5" w:tplc="3A60F576">
      <w:numFmt w:val="bullet"/>
      <w:lvlText w:val="•"/>
      <w:lvlJc w:val="left"/>
      <w:pPr>
        <w:ind w:left="6973" w:hanging="548"/>
      </w:pPr>
      <w:rPr>
        <w:lang w:val="en-US" w:eastAsia="en-US" w:bidi="en-US"/>
      </w:rPr>
    </w:lvl>
    <w:lvl w:ilvl="6" w:tplc="7BC0E2C6">
      <w:numFmt w:val="bullet"/>
      <w:lvlText w:val="•"/>
      <w:lvlJc w:val="left"/>
      <w:pPr>
        <w:ind w:left="7946" w:hanging="548"/>
      </w:pPr>
      <w:rPr>
        <w:lang w:val="en-US" w:eastAsia="en-US" w:bidi="en-US"/>
      </w:rPr>
    </w:lvl>
    <w:lvl w:ilvl="7" w:tplc="87E0FC16">
      <w:numFmt w:val="bullet"/>
      <w:lvlText w:val="•"/>
      <w:lvlJc w:val="left"/>
      <w:pPr>
        <w:ind w:left="8920" w:hanging="548"/>
      </w:pPr>
      <w:rPr>
        <w:lang w:val="en-US" w:eastAsia="en-US" w:bidi="en-US"/>
      </w:rPr>
    </w:lvl>
    <w:lvl w:ilvl="8" w:tplc="933C0B6A">
      <w:numFmt w:val="bullet"/>
      <w:lvlText w:val="•"/>
      <w:lvlJc w:val="left"/>
      <w:pPr>
        <w:ind w:left="9893" w:hanging="548"/>
      </w:pPr>
      <w:rPr>
        <w:lang w:val="en-US" w:eastAsia="en-US" w:bidi="en-US"/>
      </w:rPr>
    </w:lvl>
  </w:abstractNum>
  <w:abstractNum w:abstractNumId="4">
    <w:nsid w:val="06FF1A9A"/>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AD12540"/>
    <w:multiLevelType w:val="hybridMultilevel"/>
    <w:tmpl w:val="67AA4A54"/>
    <w:lvl w:ilvl="0" w:tplc="DF28AA94">
      <w:start w:val="1"/>
      <w:numFmt w:val="lowerLetter"/>
      <w:lvlText w:val="(%1)"/>
      <w:lvlJc w:val="left"/>
      <w:pPr>
        <w:ind w:left="2534" w:hanging="548"/>
      </w:pPr>
      <w:rPr>
        <w:spacing w:val="-1"/>
        <w:w w:val="99"/>
        <w:u w:val="single" w:color="000000"/>
        <w:lang w:val="en-US" w:eastAsia="en-US" w:bidi="en-US"/>
      </w:rPr>
    </w:lvl>
    <w:lvl w:ilvl="1" w:tplc="59209176">
      <w:numFmt w:val="bullet"/>
      <w:lvlText w:val="•"/>
      <w:lvlJc w:val="left"/>
      <w:pPr>
        <w:ind w:left="3470" w:hanging="548"/>
      </w:pPr>
      <w:rPr>
        <w:lang w:val="en-US" w:eastAsia="en-US" w:bidi="en-US"/>
      </w:rPr>
    </w:lvl>
    <w:lvl w:ilvl="2" w:tplc="E1760EA8">
      <w:numFmt w:val="bullet"/>
      <w:lvlText w:val="•"/>
      <w:lvlJc w:val="left"/>
      <w:pPr>
        <w:ind w:left="4400" w:hanging="548"/>
      </w:pPr>
      <w:rPr>
        <w:lang w:val="en-US" w:eastAsia="en-US" w:bidi="en-US"/>
      </w:rPr>
    </w:lvl>
    <w:lvl w:ilvl="3" w:tplc="BF5CCAF0">
      <w:numFmt w:val="bullet"/>
      <w:lvlText w:val="•"/>
      <w:lvlJc w:val="left"/>
      <w:pPr>
        <w:ind w:left="5330" w:hanging="548"/>
      </w:pPr>
      <w:rPr>
        <w:lang w:val="en-US" w:eastAsia="en-US" w:bidi="en-US"/>
      </w:rPr>
    </w:lvl>
    <w:lvl w:ilvl="4" w:tplc="18C4845E">
      <w:numFmt w:val="bullet"/>
      <w:lvlText w:val="•"/>
      <w:lvlJc w:val="left"/>
      <w:pPr>
        <w:ind w:left="6260" w:hanging="548"/>
      </w:pPr>
      <w:rPr>
        <w:lang w:val="en-US" w:eastAsia="en-US" w:bidi="en-US"/>
      </w:rPr>
    </w:lvl>
    <w:lvl w:ilvl="5" w:tplc="A2CAC530">
      <w:numFmt w:val="bullet"/>
      <w:lvlText w:val="•"/>
      <w:lvlJc w:val="left"/>
      <w:pPr>
        <w:ind w:left="7190" w:hanging="548"/>
      </w:pPr>
      <w:rPr>
        <w:lang w:val="en-US" w:eastAsia="en-US" w:bidi="en-US"/>
      </w:rPr>
    </w:lvl>
    <w:lvl w:ilvl="6" w:tplc="4E8A88A6">
      <w:numFmt w:val="bullet"/>
      <w:lvlText w:val="•"/>
      <w:lvlJc w:val="left"/>
      <w:pPr>
        <w:ind w:left="8120" w:hanging="548"/>
      </w:pPr>
      <w:rPr>
        <w:lang w:val="en-US" w:eastAsia="en-US" w:bidi="en-US"/>
      </w:rPr>
    </w:lvl>
    <w:lvl w:ilvl="7" w:tplc="BF06032C">
      <w:numFmt w:val="bullet"/>
      <w:lvlText w:val="•"/>
      <w:lvlJc w:val="left"/>
      <w:pPr>
        <w:ind w:left="9050" w:hanging="548"/>
      </w:pPr>
      <w:rPr>
        <w:lang w:val="en-US" w:eastAsia="en-US" w:bidi="en-US"/>
      </w:rPr>
    </w:lvl>
    <w:lvl w:ilvl="8" w:tplc="06BCC83C">
      <w:numFmt w:val="bullet"/>
      <w:lvlText w:val="•"/>
      <w:lvlJc w:val="left"/>
      <w:pPr>
        <w:ind w:left="9980" w:hanging="548"/>
      </w:pPr>
      <w:rPr>
        <w:lang w:val="en-US" w:eastAsia="en-US" w:bidi="en-US"/>
      </w:rPr>
    </w:lvl>
  </w:abstractNum>
  <w:abstractNum w:abstractNumId="6">
    <w:nsid w:val="0B1F4C84"/>
    <w:multiLevelType w:val="hybridMultilevel"/>
    <w:tmpl w:val="3D348634"/>
    <w:lvl w:ilvl="0" w:tplc="F8D0F894">
      <w:start w:val="1"/>
      <w:numFmt w:val="lowerLetter"/>
      <w:lvlText w:val="(%1)"/>
      <w:lvlJc w:val="left"/>
      <w:pPr>
        <w:ind w:left="2534" w:hanging="548"/>
      </w:pPr>
      <w:rPr>
        <w:spacing w:val="-1"/>
        <w:w w:val="99"/>
        <w:u w:val="single" w:color="000000"/>
        <w:lang w:val="en-US" w:eastAsia="en-US" w:bidi="en-US"/>
      </w:rPr>
    </w:lvl>
    <w:lvl w:ilvl="1" w:tplc="F4ECA8A8">
      <w:numFmt w:val="bullet"/>
      <w:lvlText w:val="•"/>
      <w:lvlJc w:val="left"/>
      <w:pPr>
        <w:ind w:left="3470" w:hanging="548"/>
      </w:pPr>
      <w:rPr>
        <w:lang w:val="en-US" w:eastAsia="en-US" w:bidi="en-US"/>
      </w:rPr>
    </w:lvl>
    <w:lvl w:ilvl="2" w:tplc="CD26C562">
      <w:numFmt w:val="bullet"/>
      <w:lvlText w:val="•"/>
      <w:lvlJc w:val="left"/>
      <w:pPr>
        <w:ind w:left="4400" w:hanging="548"/>
      </w:pPr>
      <w:rPr>
        <w:lang w:val="en-US" w:eastAsia="en-US" w:bidi="en-US"/>
      </w:rPr>
    </w:lvl>
    <w:lvl w:ilvl="3" w:tplc="EAF2D02E">
      <w:numFmt w:val="bullet"/>
      <w:lvlText w:val="•"/>
      <w:lvlJc w:val="left"/>
      <w:pPr>
        <w:ind w:left="5330" w:hanging="548"/>
      </w:pPr>
      <w:rPr>
        <w:lang w:val="en-US" w:eastAsia="en-US" w:bidi="en-US"/>
      </w:rPr>
    </w:lvl>
    <w:lvl w:ilvl="4" w:tplc="EEB67D4A">
      <w:numFmt w:val="bullet"/>
      <w:lvlText w:val="•"/>
      <w:lvlJc w:val="left"/>
      <w:pPr>
        <w:ind w:left="6260" w:hanging="548"/>
      </w:pPr>
      <w:rPr>
        <w:lang w:val="en-US" w:eastAsia="en-US" w:bidi="en-US"/>
      </w:rPr>
    </w:lvl>
    <w:lvl w:ilvl="5" w:tplc="F7E233F4">
      <w:numFmt w:val="bullet"/>
      <w:lvlText w:val="•"/>
      <w:lvlJc w:val="left"/>
      <w:pPr>
        <w:ind w:left="7190" w:hanging="548"/>
      </w:pPr>
      <w:rPr>
        <w:lang w:val="en-US" w:eastAsia="en-US" w:bidi="en-US"/>
      </w:rPr>
    </w:lvl>
    <w:lvl w:ilvl="6" w:tplc="A046427A">
      <w:numFmt w:val="bullet"/>
      <w:lvlText w:val="•"/>
      <w:lvlJc w:val="left"/>
      <w:pPr>
        <w:ind w:left="8120" w:hanging="548"/>
      </w:pPr>
      <w:rPr>
        <w:lang w:val="en-US" w:eastAsia="en-US" w:bidi="en-US"/>
      </w:rPr>
    </w:lvl>
    <w:lvl w:ilvl="7" w:tplc="AE50C29C">
      <w:numFmt w:val="bullet"/>
      <w:lvlText w:val="•"/>
      <w:lvlJc w:val="left"/>
      <w:pPr>
        <w:ind w:left="9050" w:hanging="548"/>
      </w:pPr>
      <w:rPr>
        <w:lang w:val="en-US" w:eastAsia="en-US" w:bidi="en-US"/>
      </w:rPr>
    </w:lvl>
    <w:lvl w:ilvl="8" w:tplc="7EDC215C">
      <w:numFmt w:val="bullet"/>
      <w:lvlText w:val="•"/>
      <w:lvlJc w:val="left"/>
      <w:pPr>
        <w:ind w:left="9980" w:hanging="548"/>
      </w:pPr>
      <w:rPr>
        <w:lang w:val="en-US" w:eastAsia="en-US" w:bidi="en-US"/>
      </w:rPr>
    </w:lvl>
  </w:abstractNum>
  <w:abstractNum w:abstractNumId="7">
    <w:nsid w:val="0B6C5240"/>
    <w:multiLevelType w:val="hybridMultilevel"/>
    <w:tmpl w:val="5F0256D2"/>
    <w:lvl w:ilvl="0" w:tplc="623C1B30">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0C4E443F"/>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0D5E745B"/>
    <w:multiLevelType w:val="hybridMultilevel"/>
    <w:tmpl w:val="44DAB84E"/>
    <w:lvl w:ilvl="0" w:tplc="9C667222">
      <w:start w:val="1"/>
      <w:numFmt w:val="lowerRoman"/>
      <w:lvlText w:val="(%1) "/>
      <w:lvlJc w:val="center"/>
      <w:pPr>
        <w:tabs>
          <w:tab w:val="num" w:pos="1920"/>
        </w:tabs>
        <w:ind w:left="1920" w:hanging="360"/>
      </w:pPr>
      <w:rPr>
        <w:lang w:val="pt-BR"/>
      </w:rPr>
    </w:lvl>
    <w:lvl w:ilvl="1" w:tplc="36DCEFFC">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19A643C"/>
    <w:multiLevelType w:val="hybridMultilevel"/>
    <w:tmpl w:val="5E600C00"/>
    <w:lvl w:ilvl="0" w:tplc="B2D41B2A">
      <w:start w:val="2"/>
      <w:numFmt w:val="lowerLetter"/>
      <w:lvlText w:val="(%1)"/>
      <w:lvlJc w:val="left"/>
      <w:pPr>
        <w:ind w:left="2534" w:hanging="548"/>
      </w:pPr>
      <w:rPr>
        <w:spacing w:val="-1"/>
        <w:w w:val="99"/>
        <w:u w:val="single" w:color="000000"/>
        <w:lang w:val="en-US" w:eastAsia="en-US" w:bidi="en-US"/>
      </w:rPr>
    </w:lvl>
    <w:lvl w:ilvl="1" w:tplc="814CAE26">
      <w:start w:val="1"/>
      <w:numFmt w:val="lowerRoman"/>
      <w:lvlText w:val="(%2)"/>
      <w:lvlJc w:val="left"/>
      <w:pPr>
        <w:ind w:left="3081" w:hanging="548"/>
      </w:pPr>
      <w:rPr>
        <w:spacing w:val="-1"/>
        <w:w w:val="99"/>
        <w:u w:val="single" w:color="000000"/>
        <w:lang w:val="en-US" w:eastAsia="en-US" w:bidi="en-US"/>
      </w:rPr>
    </w:lvl>
    <w:lvl w:ilvl="2" w:tplc="85EE99E4">
      <w:numFmt w:val="bullet"/>
      <w:lvlText w:val="•"/>
      <w:lvlJc w:val="left"/>
      <w:pPr>
        <w:ind w:left="4053" w:hanging="548"/>
      </w:pPr>
      <w:rPr>
        <w:lang w:val="en-US" w:eastAsia="en-US" w:bidi="en-US"/>
      </w:rPr>
    </w:lvl>
    <w:lvl w:ilvl="3" w:tplc="43AA274A">
      <w:numFmt w:val="bullet"/>
      <w:lvlText w:val="•"/>
      <w:lvlJc w:val="left"/>
      <w:pPr>
        <w:ind w:left="5026" w:hanging="548"/>
      </w:pPr>
      <w:rPr>
        <w:lang w:val="en-US" w:eastAsia="en-US" w:bidi="en-US"/>
      </w:rPr>
    </w:lvl>
    <w:lvl w:ilvl="4" w:tplc="9336E61A">
      <w:numFmt w:val="bullet"/>
      <w:lvlText w:val="•"/>
      <w:lvlJc w:val="left"/>
      <w:pPr>
        <w:ind w:left="6000" w:hanging="548"/>
      </w:pPr>
      <w:rPr>
        <w:lang w:val="en-US" w:eastAsia="en-US" w:bidi="en-US"/>
      </w:rPr>
    </w:lvl>
    <w:lvl w:ilvl="5" w:tplc="0BFE62AA">
      <w:numFmt w:val="bullet"/>
      <w:lvlText w:val="•"/>
      <w:lvlJc w:val="left"/>
      <w:pPr>
        <w:ind w:left="6973" w:hanging="548"/>
      </w:pPr>
      <w:rPr>
        <w:lang w:val="en-US" w:eastAsia="en-US" w:bidi="en-US"/>
      </w:rPr>
    </w:lvl>
    <w:lvl w:ilvl="6" w:tplc="AE8CBAAE">
      <w:numFmt w:val="bullet"/>
      <w:lvlText w:val="•"/>
      <w:lvlJc w:val="left"/>
      <w:pPr>
        <w:ind w:left="7946" w:hanging="548"/>
      </w:pPr>
      <w:rPr>
        <w:lang w:val="en-US" w:eastAsia="en-US" w:bidi="en-US"/>
      </w:rPr>
    </w:lvl>
    <w:lvl w:ilvl="7" w:tplc="396EB23A">
      <w:numFmt w:val="bullet"/>
      <w:lvlText w:val="•"/>
      <w:lvlJc w:val="left"/>
      <w:pPr>
        <w:ind w:left="8920" w:hanging="548"/>
      </w:pPr>
      <w:rPr>
        <w:lang w:val="en-US" w:eastAsia="en-US" w:bidi="en-US"/>
      </w:rPr>
    </w:lvl>
    <w:lvl w:ilvl="8" w:tplc="C9462F6E">
      <w:numFmt w:val="bullet"/>
      <w:lvlText w:val="•"/>
      <w:lvlJc w:val="left"/>
      <w:pPr>
        <w:ind w:left="9893" w:hanging="548"/>
      </w:pPr>
      <w:rPr>
        <w:lang w:val="en-US" w:eastAsia="en-US" w:bidi="en-US"/>
      </w:rPr>
    </w:lvl>
  </w:abstractNum>
  <w:abstractNum w:abstractNumId="11">
    <w:nsid w:val="12241F2A"/>
    <w:multiLevelType w:val="hybridMultilevel"/>
    <w:tmpl w:val="92F89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24642CF"/>
    <w:multiLevelType w:val="hybridMultilevel"/>
    <w:tmpl w:val="51BAC544"/>
    <w:lvl w:ilvl="0" w:tplc="254644AE">
      <w:start w:val="1"/>
      <w:numFmt w:val="decimal"/>
      <w:lvlText w:val="%1."/>
      <w:lvlJc w:val="left"/>
      <w:pPr>
        <w:ind w:left="96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2FA38CE"/>
    <w:multiLevelType w:val="hybridMultilevel"/>
    <w:tmpl w:val="F33CEE32"/>
    <w:lvl w:ilvl="0" w:tplc="8414879C">
      <w:start w:val="1"/>
      <w:numFmt w:val="lowerLetter"/>
      <w:lvlText w:val="(%1)"/>
      <w:lvlJc w:val="left"/>
      <w:pPr>
        <w:ind w:left="2767" w:hanging="783"/>
      </w:pPr>
      <w:rPr>
        <w:rFonts w:ascii="Arial" w:eastAsia="Arial" w:hAnsi="Arial" w:cs="Arial" w:hint="default"/>
        <w:spacing w:val="-1"/>
        <w:w w:val="99"/>
        <w:sz w:val="20"/>
        <w:szCs w:val="20"/>
        <w:lang w:val="en-US" w:eastAsia="en-US" w:bidi="en-US"/>
      </w:rPr>
    </w:lvl>
    <w:lvl w:ilvl="1" w:tplc="1114A984">
      <w:numFmt w:val="bullet"/>
      <w:lvlText w:val="•"/>
      <w:lvlJc w:val="left"/>
      <w:pPr>
        <w:ind w:left="3668" w:hanging="783"/>
      </w:pPr>
      <w:rPr>
        <w:lang w:val="en-US" w:eastAsia="en-US" w:bidi="en-US"/>
      </w:rPr>
    </w:lvl>
    <w:lvl w:ilvl="2" w:tplc="A6B84CC0">
      <w:numFmt w:val="bullet"/>
      <w:lvlText w:val="•"/>
      <w:lvlJc w:val="left"/>
      <w:pPr>
        <w:ind w:left="4576" w:hanging="783"/>
      </w:pPr>
      <w:rPr>
        <w:lang w:val="en-US" w:eastAsia="en-US" w:bidi="en-US"/>
      </w:rPr>
    </w:lvl>
    <w:lvl w:ilvl="3" w:tplc="B8FE664C">
      <w:numFmt w:val="bullet"/>
      <w:lvlText w:val="•"/>
      <w:lvlJc w:val="left"/>
      <w:pPr>
        <w:ind w:left="5484" w:hanging="783"/>
      </w:pPr>
      <w:rPr>
        <w:lang w:val="en-US" w:eastAsia="en-US" w:bidi="en-US"/>
      </w:rPr>
    </w:lvl>
    <w:lvl w:ilvl="4" w:tplc="F06AA5C6">
      <w:numFmt w:val="bullet"/>
      <w:lvlText w:val="•"/>
      <w:lvlJc w:val="left"/>
      <w:pPr>
        <w:ind w:left="6392" w:hanging="783"/>
      </w:pPr>
      <w:rPr>
        <w:lang w:val="en-US" w:eastAsia="en-US" w:bidi="en-US"/>
      </w:rPr>
    </w:lvl>
    <w:lvl w:ilvl="5" w:tplc="0ED8BF8C">
      <w:numFmt w:val="bullet"/>
      <w:lvlText w:val="•"/>
      <w:lvlJc w:val="left"/>
      <w:pPr>
        <w:ind w:left="7300" w:hanging="783"/>
      </w:pPr>
      <w:rPr>
        <w:lang w:val="en-US" w:eastAsia="en-US" w:bidi="en-US"/>
      </w:rPr>
    </w:lvl>
    <w:lvl w:ilvl="6" w:tplc="DA9896FE">
      <w:numFmt w:val="bullet"/>
      <w:lvlText w:val="•"/>
      <w:lvlJc w:val="left"/>
      <w:pPr>
        <w:ind w:left="8208" w:hanging="783"/>
      </w:pPr>
      <w:rPr>
        <w:lang w:val="en-US" w:eastAsia="en-US" w:bidi="en-US"/>
      </w:rPr>
    </w:lvl>
    <w:lvl w:ilvl="7" w:tplc="28A48D16">
      <w:numFmt w:val="bullet"/>
      <w:lvlText w:val="•"/>
      <w:lvlJc w:val="left"/>
      <w:pPr>
        <w:ind w:left="9116" w:hanging="783"/>
      </w:pPr>
      <w:rPr>
        <w:lang w:val="en-US" w:eastAsia="en-US" w:bidi="en-US"/>
      </w:rPr>
    </w:lvl>
    <w:lvl w:ilvl="8" w:tplc="22DA830C">
      <w:numFmt w:val="bullet"/>
      <w:lvlText w:val="•"/>
      <w:lvlJc w:val="left"/>
      <w:pPr>
        <w:ind w:left="10024" w:hanging="783"/>
      </w:pPr>
      <w:rPr>
        <w:lang w:val="en-US" w:eastAsia="en-US" w:bidi="en-US"/>
      </w:rPr>
    </w:lvl>
  </w:abstractNum>
  <w:abstractNum w:abstractNumId="14">
    <w:nsid w:val="1309670C"/>
    <w:multiLevelType w:val="hybridMultilevel"/>
    <w:tmpl w:val="A1BE9D48"/>
    <w:lvl w:ilvl="0" w:tplc="862E2C22">
      <w:start w:val="1"/>
      <w:numFmt w:val="lowerLetter"/>
      <w:lvlText w:val="(%1)"/>
      <w:lvlJc w:val="left"/>
      <w:pPr>
        <w:tabs>
          <w:tab w:val="num" w:pos="1353"/>
        </w:tabs>
        <w:ind w:left="1353"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1428080D"/>
    <w:multiLevelType w:val="hybridMultilevel"/>
    <w:tmpl w:val="26923C84"/>
    <w:lvl w:ilvl="0" w:tplc="03CCFE72">
      <w:start w:val="1"/>
      <w:numFmt w:val="lowerLetter"/>
      <w:lvlText w:val="(%1)"/>
      <w:lvlJc w:val="left"/>
      <w:pPr>
        <w:ind w:left="2534" w:hanging="548"/>
      </w:pPr>
      <w:rPr>
        <w:spacing w:val="-1"/>
        <w:w w:val="99"/>
        <w:u w:val="single" w:color="000000"/>
        <w:lang w:val="en-US" w:eastAsia="en-US" w:bidi="en-US"/>
      </w:rPr>
    </w:lvl>
    <w:lvl w:ilvl="1" w:tplc="1DD001E0">
      <w:numFmt w:val="bullet"/>
      <w:lvlText w:val="•"/>
      <w:lvlJc w:val="left"/>
      <w:pPr>
        <w:ind w:left="3470" w:hanging="548"/>
      </w:pPr>
      <w:rPr>
        <w:lang w:val="en-US" w:eastAsia="en-US" w:bidi="en-US"/>
      </w:rPr>
    </w:lvl>
    <w:lvl w:ilvl="2" w:tplc="382A2524">
      <w:numFmt w:val="bullet"/>
      <w:lvlText w:val="•"/>
      <w:lvlJc w:val="left"/>
      <w:pPr>
        <w:ind w:left="4400" w:hanging="548"/>
      </w:pPr>
      <w:rPr>
        <w:lang w:val="en-US" w:eastAsia="en-US" w:bidi="en-US"/>
      </w:rPr>
    </w:lvl>
    <w:lvl w:ilvl="3" w:tplc="47A02E50">
      <w:numFmt w:val="bullet"/>
      <w:lvlText w:val="•"/>
      <w:lvlJc w:val="left"/>
      <w:pPr>
        <w:ind w:left="5330" w:hanging="548"/>
      </w:pPr>
      <w:rPr>
        <w:lang w:val="en-US" w:eastAsia="en-US" w:bidi="en-US"/>
      </w:rPr>
    </w:lvl>
    <w:lvl w:ilvl="4" w:tplc="26C0DD86">
      <w:numFmt w:val="bullet"/>
      <w:lvlText w:val="•"/>
      <w:lvlJc w:val="left"/>
      <w:pPr>
        <w:ind w:left="6260" w:hanging="548"/>
      </w:pPr>
      <w:rPr>
        <w:lang w:val="en-US" w:eastAsia="en-US" w:bidi="en-US"/>
      </w:rPr>
    </w:lvl>
    <w:lvl w:ilvl="5" w:tplc="20AE3228">
      <w:numFmt w:val="bullet"/>
      <w:lvlText w:val="•"/>
      <w:lvlJc w:val="left"/>
      <w:pPr>
        <w:ind w:left="7190" w:hanging="548"/>
      </w:pPr>
      <w:rPr>
        <w:lang w:val="en-US" w:eastAsia="en-US" w:bidi="en-US"/>
      </w:rPr>
    </w:lvl>
    <w:lvl w:ilvl="6" w:tplc="8B9C493A">
      <w:numFmt w:val="bullet"/>
      <w:lvlText w:val="•"/>
      <w:lvlJc w:val="left"/>
      <w:pPr>
        <w:ind w:left="8120" w:hanging="548"/>
      </w:pPr>
      <w:rPr>
        <w:lang w:val="en-US" w:eastAsia="en-US" w:bidi="en-US"/>
      </w:rPr>
    </w:lvl>
    <w:lvl w:ilvl="7" w:tplc="A7A60420">
      <w:numFmt w:val="bullet"/>
      <w:lvlText w:val="•"/>
      <w:lvlJc w:val="left"/>
      <w:pPr>
        <w:ind w:left="9050" w:hanging="548"/>
      </w:pPr>
      <w:rPr>
        <w:lang w:val="en-US" w:eastAsia="en-US" w:bidi="en-US"/>
      </w:rPr>
    </w:lvl>
    <w:lvl w:ilvl="8" w:tplc="AE14BF60">
      <w:numFmt w:val="bullet"/>
      <w:lvlText w:val="•"/>
      <w:lvlJc w:val="left"/>
      <w:pPr>
        <w:ind w:left="9980" w:hanging="548"/>
      </w:pPr>
      <w:rPr>
        <w:lang w:val="en-US" w:eastAsia="en-US" w:bidi="en-US"/>
      </w:rPr>
    </w:lvl>
  </w:abstractNum>
  <w:abstractNum w:abstractNumId="16">
    <w:nsid w:val="1484391A"/>
    <w:multiLevelType w:val="hybridMultilevel"/>
    <w:tmpl w:val="A51C9DDE"/>
    <w:lvl w:ilvl="0" w:tplc="B4E41CA8">
      <w:start w:val="1"/>
      <w:numFmt w:val="lowerLetter"/>
      <w:lvlText w:val="(%1)"/>
      <w:lvlJc w:val="left"/>
      <w:pPr>
        <w:ind w:left="2534" w:hanging="548"/>
      </w:pPr>
      <w:rPr>
        <w:spacing w:val="-1"/>
        <w:w w:val="99"/>
        <w:u w:val="single" w:color="000000"/>
        <w:lang w:val="en-US" w:eastAsia="en-US" w:bidi="en-US"/>
      </w:rPr>
    </w:lvl>
    <w:lvl w:ilvl="1" w:tplc="9904A300">
      <w:numFmt w:val="bullet"/>
      <w:lvlText w:val="•"/>
      <w:lvlJc w:val="left"/>
      <w:pPr>
        <w:ind w:left="3470" w:hanging="548"/>
      </w:pPr>
      <w:rPr>
        <w:lang w:val="en-US" w:eastAsia="en-US" w:bidi="en-US"/>
      </w:rPr>
    </w:lvl>
    <w:lvl w:ilvl="2" w:tplc="E5D8304A">
      <w:numFmt w:val="bullet"/>
      <w:lvlText w:val="•"/>
      <w:lvlJc w:val="left"/>
      <w:pPr>
        <w:ind w:left="4400" w:hanging="548"/>
      </w:pPr>
      <w:rPr>
        <w:lang w:val="en-US" w:eastAsia="en-US" w:bidi="en-US"/>
      </w:rPr>
    </w:lvl>
    <w:lvl w:ilvl="3" w:tplc="DFD8261E">
      <w:numFmt w:val="bullet"/>
      <w:lvlText w:val="•"/>
      <w:lvlJc w:val="left"/>
      <w:pPr>
        <w:ind w:left="5330" w:hanging="548"/>
      </w:pPr>
      <w:rPr>
        <w:lang w:val="en-US" w:eastAsia="en-US" w:bidi="en-US"/>
      </w:rPr>
    </w:lvl>
    <w:lvl w:ilvl="4" w:tplc="D0DE55A4">
      <w:numFmt w:val="bullet"/>
      <w:lvlText w:val="•"/>
      <w:lvlJc w:val="left"/>
      <w:pPr>
        <w:ind w:left="6260" w:hanging="548"/>
      </w:pPr>
      <w:rPr>
        <w:lang w:val="en-US" w:eastAsia="en-US" w:bidi="en-US"/>
      </w:rPr>
    </w:lvl>
    <w:lvl w:ilvl="5" w:tplc="CBE00138">
      <w:numFmt w:val="bullet"/>
      <w:lvlText w:val="•"/>
      <w:lvlJc w:val="left"/>
      <w:pPr>
        <w:ind w:left="7190" w:hanging="548"/>
      </w:pPr>
      <w:rPr>
        <w:lang w:val="en-US" w:eastAsia="en-US" w:bidi="en-US"/>
      </w:rPr>
    </w:lvl>
    <w:lvl w:ilvl="6" w:tplc="121C2DC6">
      <w:numFmt w:val="bullet"/>
      <w:lvlText w:val="•"/>
      <w:lvlJc w:val="left"/>
      <w:pPr>
        <w:ind w:left="8120" w:hanging="548"/>
      </w:pPr>
      <w:rPr>
        <w:lang w:val="en-US" w:eastAsia="en-US" w:bidi="en-US"/>
      </w:rPr>
    </w:lvl>
    <w:lvl w:ilvl="7" w:tplc="5DBA4414">
      <w:numFmt w:val="bullet"/>
      <w:lvlText w:val="•"/>
      <w:lvlJc w:val="left"/>
      <w:pPr>
        <w:ind w:left="9050" w:hanging="548"/>
      </w:pPr>
      <w:rPr>
        <w:lang w:val="en-US" w:eastAsia="en-US" w:bidi="en-US"/>
      </w:rPr>
    </w:lvl>
    <w:lvl w:ilvl="8" w:tplc="492EC44E">
      <w:numFmt w:val="bullet"/>
      <w:lvlText w:val="•"/>
      <w:lvlJc w:val="left"/>
      <w:pPr>
        <w:ind w:left="9980" w:hanging="548"/>
      </w:pPr>
      <w:rPr>
        <w:lang w:val="en-US" w:eastAsia="en-US" w:bidi="en-US"/>
      </w:rPr>
    </w:lvl>
  </w:abstractNum>
  <w:abstractNum w:abstractNumId="17">
    <w:nsid w:val="16DD5357"/>
    <w:multiLevelType w:val="hybridMultilevel"/>
    <w:tmpl w:val="D7C06D5E"/>
    <w:lvl w:ilvl="0" w:tplc="5134B20E">
      <w:start w:val="1"/>
      <w:numFmt w:val="decimal"/>
      <w:lvlText w:val="%1."/>
      <w:lvlJc w:val="left"/>
      <w:pPr>
        <w:ind w:left="548" w:hanging="548"/>
        <w:jc w:val="right"/>
      </w:pPr>
      <w:rPr>
        <w:rFonts w:ascii="Times New Roman" w:eastAsia="Times New Roman" w:hAnsi="Times New Roman" w:cs="Times New Roman" w:hint="default"/>
        <w:spacing w:val="0"/>
        <w:w w:val="99"/>
        <w:sz w:val="20"/>
        <w:szCs w:val="20"/>
        <w:lang w:val="en-US" w:eastAsia="en-US" w:bidi="en-US"/>
      </w:rPr>
    </w:lvl>
    <w:lvl w:ilvl="1" w:tplc="34E80686">
      <w:start w:val="1"/>
      <w:numFmt w:val="lowerLetter"/>
      <w:lvlText w:val="(%2)"/>
      <w:lvlJc w:val="left"/>
      <w:pPr>
        <w:ind w:left="1754" w:hanging="548"/>
      </w:pPr>
      <w:rPr>
        <w:rFonts w:ascii="Times New Roman" w:eastAsia="Times New Roman" w:hAnsi="Times New Roman" w:cs="Times New Roman" w:hint="default"/>
        <w:w w:val="99"/>
        <w:sz w:val="20"/>
        <w:szCs w:val="20"/>
        <w:lang w:val="en-US" w:eastAsia="en-US" w:bidi="en-US"/>
      </w:rPr>
    </w:lvl>
    <w:lvl w:ilvl="2" w:tplc="9B6C2AD4">
      <w:start w:val="1"/>
      <w:numFmt w:val="lowerRoman"/>
      <w:lvlText w:val="(%3)"/>
      <w:lvlJc w:val="left"/>
      <w:pPr>
        <w:ind w:left="2301" w:hanging="548"/>
      </w:pPr>
      <w:rPr>
        <w:rFonts w:ascii="Times New Roman" w:eastAsia="Times New Roman" w:hAnsi="Times New Roman" w:cs="Times New Roman" w:hint="default"/>
        <w:spacing w:val="-1"/>
        <w:w w:val="99"/>
        <w:sz w:val="20"/>
        <w:szCs w:val="20"/>
        <w:lang w:val="en-US" w:eastAsia="en-US" w:bidi="en-US"/>
      </w:rPr>
    </w:lvl>
    <w:lvl w:ilvl="3" w:tplc="80F0DDB2">
      <w:numFmt w:val="bullet"/>
      <w:lvlText w:val="•"/>
      <w:lvlJc w:val="left"/>
      <w:pPr>
        <w:ind w:left="1560" w:hanging="548"/>
      </w:pPr>
      <w:rPr>
        <w:rFonts w:hint="default"/>
        <w:lang w:val="en-US" w:eastAsia="en-US" w:bidi="en-US"/>
      </w:rPr>
    </w:lvl>
    <w:lvl w:ilvl="4" w:tplc="A168A4E4">
      <w:numFmt w:val="bullet"/>
      <w:lvlText w:val="•"/>
      <w:lvlJc w:val="left"/>
      <w:pPr>
        <w:ind w:left="1740" w:hanging="548"/>
      </w:pPr>
      <w:rPr>
        <w:rFonts w:hint="default"/>
        <w:lang w:val="en-US" w:eastAsia="en-US" w:bidi="en-US"/>
      </w:rPr>
    </w:lvl>
    <w:lvl w:ilvl="5" w:tplc="72103F88">
      <w:numFmt w:val="bullet"/>
      <w:lvlText w:val="•"/>
      <w:lvlJc w:val="left"/>
      <w:pPr>
        <w:ind w:left="1760" w:hanging="548"/>
      </w:pPr>
      <w:rPr>
        <w:rFonts w:hint="default"/>
        <w:lang w:val="en-US" w:eastAsia="en-US" w:bidi="en-US"/>
      </w:rPr>
    </w:lvl>
    <w:lvl w:ilvl="6" w:tplc="AE44E836">
      <w:numFmt w:val="bullet"/>
      <w:lvlText w:val="•"/>
      <w:lvlJc w:val="left"/>
      <w:pPr>
        <w:ind w:left="1940" w:hanging="548"/>
      </w:pPr>
      <w:rPr>
        <w:rFonts w:hint="default"/>
        <w:lang w:val="en-US" w:eastAsia="en-US" w:bidi="en-US"/>
      </w:rPr>
    </w:lvl>
    <w:lvl w:ilvl="7" w:tplc="0E5C1C98">
      <w:numFmt w:val="bullet"/>
      <w:lvlText w:val="•"/>
      <w:lvlJc w:val="left"/>
      <w:pPr>
        <w:ind w:left="2300" w:hanging="548"/>
      </w:pPr>
      <w:rPr>
        <w:rFonts w:hint="default"/>
        <w:lang w:val="en-US" w:eastAsia="en-US" w:bidi="en-US"/>
      </w:rPr>
    </w:lvl>
    <w:lvl w:ilvl="8" w:tplc="63985638">
      <w:numFmt w:val="bullet"/>
      <w:lvlText w:val="•"/>
      <w:lvlJc w:val="left"/>
      <w:pPr>
        <w:ind w:left="4273" w:hanging="548"/>
      </w:pPr>
      <w:rPr>
        <w:rFonts w:hint="default"/>
        <w:lang w:val="en-US" w:eastAsia="en-US" w:bidi="en-US"/>
      </w:rPr>
    </w:lvl>
  </w:abstractNum>
  <w:abstractNum w:abstractNumId="18">
    <w:nsid w:val="17420148"/>
    <w:multiLevelType w:val="hybridMultilevel"/>
    <w:tmpl w:val="93B28C48"/>
    <w:lvl w:ilvl="0" w:tplc="417E0BA8">
      <w:start w:val="1"/>
      <w:numFmt w:val="lowerLetter"/>
      <w:lvlText w:val="(%1)"/>
      <w:lvlJc w:val="left"/>
      <w:pPr>
        <w:ind w:left="2767" w:hanging="783"/>
      </w:pPr>
      <w:rPr>
        <w:spacing w:val="-1"/>
        <w:w w:val="99"/>
        <w:u w:val="single" w:color="000000"/>
        <w:lang w:val="en-US" w:eastAsia="en-US" w:bidi="en-US"/>
      </w:rPr>
    </w:lvl>
    <w:lvl w:ilvl="1" w:tplc="68E8171C">
      <w:numFmt w:val="bullet"/>
      <w:lvlText w:val="•"/>
      <w:lvlJc w:val="left"/>
      <w:pPr>
        <w:ind w:left="3668" w:hanging="783"/>
      </w:pPr>
      <w:rPr>
        <w:lang w:val="en-US" w:eastAsia="en-US" w:bidi="en-US"/>
      </w:rPr>
    </w:lvl>
    <w:lvl w:ilvl="2" w:tplc="07DA8B0C">
      <w:numFmt w:val="bullet"/>
      <w:lvlText w:val="•"/>
      <w:lvlJc w:val="left"/>
      <w:pPr>
        <w:ind w:left="4576" w:hanging="783"/>
      </w:pPr>
      <w:rPr>
        <w:lang w:val="en-US" w:eastAsia="en-US" w:bidi="en-US"/>
      </w:rPr>
    </w:lvl>
    <w:lvl w:ilvl="3" w:tplc="F53C80E8">
      <w:numFmt w:val="bullet"/>
      <w:lvlText w:val="•"/>
      <w:lvlJc w:val="left"/>
      <w:pPr>
        <w:ind w:left="5484" w:hanging="783"/>
      </w:pPr>
      <w:rPr>
        <w:lang w:val="en-US" w:eastAsia="en-US" w:bidi="en-US"/>
      </w:rPr>
    </w:lvl>
    <w:lvl w:ilvl="4" w:tplc="EDB6E68E">
      <w:numFmt w:val="bullet"/>
      <w:lvlText w:val="•"/>
      <w:lvlJc w:val="left"/>
      <w:pPr>
        <w:ind w:left="6392" w:hanging="783"/>
      </w:pPr>
      <w:rPr>
        <w:lang w:val="en-US" w:eastAsia="en-US" w:bidi="en-US"/>
      </w:rPr>
    </w:lvl>
    <w:lvl w:ilvl="5" w:tplc="7656575A">
      <w:numFmt w:val="bullet"/>
      <w:lvlText w:val="•"/>
      <w:lvlJc w:val="left"/>
      <w:pPr>
        <w:ind w:left="7300" w:hanging="783"/>
      </w:pPr>
      <w:rPr>
        <w:lang w:val="en-US" w:eastAsia="en-US" w:bidi="en-US"/>
      </w:rPr>
    </w:lvl>
    <w:lvl w:ilvl="6" w:tplc="6BD09B46">
      <w:numFmt w:val="bullet"/>
      <w:lvlText w:val="•"/>
      <w:lvlJc w:val="left"/>
      <w:pPr>
        <w:ind w:left="8208" w:hanging="783"/>
      </w:pPr>
      <w:rPr>
        <w:lang w:val="en-US" w:eastAsia="en-US" w:bidi="en-US"/>
      </w:rPr>
    </w:lvl>
    <w:lvl w:ilvl="7" w:tplc="4988500E">
      <w:numFmt w:val="bullet"/>
      <w:lvlText w:val="•"/>
      <w:lvlJc w:val="left"/>
      <w:pPr>
        <w:ind w:left="9116" w:hanging="783"/>
      </w:pPr>
      <w:rPr>
        <w:lang w:val="en-US" w:eastAsia="en-US" w:bidi="en-US"/>
      </w:rPr>
    </w:lvl>
    <w:lvl w:ilvl="8" w:tplc="AA948994">
      <w:numFmt w:val="bullet"/>
      <w:lvlText w:val="•"/>
      <w:lvlJc w:val="left"/>
      <w:pPr>
        <w:ind w:left="10024" w:hanging="783"/>
      </w:pPr>
      <w:rPr>
        <w:lang w:val="en-US" w:eastAsia="en-US" w:bidi="en-US"/>
      </w:rPr>
    </w:lvl>
  </w:abstractNum>
  <w:abstractNum w:abstractNumId="19">
    <w:nsid w:val="177C21AA"/>
    <w:multiLevelType w:val="hybridMultilevel"/>
    <w:tmpl w:val="5762CD4A"/>
    <w:lvl w:ilvl="0" w:tplc="21A8AC58">
      <w:start w:val="1"/>
      <w:numFmt w:val="lowerLetter"/>
      <w:lvlText w:val="(%1)"/>
      <w:lvlJc w:val="left"/>
      <w:pPr>
        <w:ind w:left="2534" w:hanging="548"/>
      </w:pPr>
      <w:rPr>
        <w:spacing w:val="-1"/>
        <w:w w:val="99"/>
        <w:u w:val="single" w:color="000000"/>
        <w:lang w:val="en-US" w:eastAsia="en-US" w:bidi="en-US"/>
      </w:rPr>
    </w:lvl>
    <w:lvl w:ilvl="1" w:tplc="5A76DF7A">
      <w:numFmt w:val="bullet"/>
      <w:lvlText w:val="•"/>
      <w:lvlJc w:val="left"/>
      <w:pPr>
        <w:ind w:left="3470" w:hanging="548"/>
      </w:pPr>
      <w:rPr>
        <w:lang w:val="en-US" w:eastAsia="en-US" w:bidi="en-US"/>
      </w:rPr>
    </w:lvl>
    <w:lvl w:ilvl="2" w:tplc="FF866F50">
      <w:numFmt w:val="bullet"/>
      <w:lvlText w:val="•"/>
      <w:lvlJc w:val="left"/>
      <w:pPr>
        <w:ind w:left="4400" w:hanging="548"/>
      </w:pPr>
      <w:rPr>
        <w:lang w:val="en-US" w:eastAsia="en-US" w:bidi="en-US"/>
      </w:rPr>
    </w:lvl>
    <w:lvl w:ilvl="3" w:tplc="F23C9EC0">
      <w:numFmt w:val="bullet"/>
      <w:lvlText w:val="•"/>
      <w:lvlJc w:val="left"/>
      <w:pPr>
        <w:ind w:left="5330" w:hanging="548"/>
      </w:pPr>
      <w:rPr>
        <w:lang w:val="en-US" w:eastAsia="en-US" w:bidi="en-US"/>
      </w:rPr>
    </w:lvl>
    <w:lvl w:ilvl="4" w:tplc="B02C3B92">
      <w:numFmt w:val="bullet"/>
      <w:lvlText w:val="•"/>
      <w:lvlJc w:val="left"/>
      <w:pPr>
        <w:ind w:left="6260" w:hanging="548"/>
      </w:pPr>
      <w:rPr>
        <w:lang w:val="en-US" w:eastAsia="en-US" w:bidi="en-US"/>
      </w:rPr>
    </w:lvl>
    <w:lvl w:ilvl="5" w:tplc="E130AB02">
      <w:numFmt w:val="bullet"/>
      <w:lvlText w:val="•"/>
      <w:lvlJc w:val="left"/>
      <w:pPr>
        <w:ind w:left="7190" w:hanging="548"/>
      </w:pPr>
      <w:rPr>
        <w:lang w:val="en-US" w:eastAsia="en-US" w:bidi="en-US"/>
      </w:rPr>
    </w:lvl>
    <w:lvl w:ilvl="6" w:tplc="F552094E">
      <w:numFmt w:val="bullet"/>
      <w:lvlText w:val="•"/>
      <w:lvlJc w:val="left"/>
      <w:pPr>
        <w:ind w:left="8120" w:hanging="548"/>
      </w:pPr>
      <w:rPr>
        <w:lang w:val="en-US" w:eastAsia="en-US" w:bidi="en-US"/>
      </w:rPr>
    </w:lvl>
    <w:lvl w:ilvl="7" w:tplc="6B46EE72">
      <w:numFmt w:val="bullet"/>
      <w:lvlText w:val="•"/>
      <w:lvlJc w:val="left"/>
      <w:pPr>
        <w:ind w:left="9050" w:hanging="548"/>
      </w:pPr>
      <w:rPr>
        <w:lang w:val="en-US" w:eastAsia="en-US" w:bidi="en-US"/>
      </w:rPr>
    </w:lvl>
    <w:lvl w:ilvl="8" w:tplc="096E334C">
      <w:numFmt w:val="bullet"/>
      <w:lvlText w:val="•"/>
      <w:lvlJc w:val="left"/>
      <w:pPr>
        <w:ind w:left="9980" w:hanging="548"/>
      </w:pPr>
      <w:rPr>
        <w:lang w:val="en-US" w:eastAsia="en-US" w:bidi="en-US"/>
      </w:rPr>
    </w:lvl>
  </w:abstractNum>
  <w:abstractNum w:abstractNumId="20">
    <w:nsid w:val="1A2D754D"/>
    <w:multiLevelType w:val="hybridMultilevel"/>
    <w:tmpl w:val="C786E8E4"/>
    <w:lvl w:ilvl="0" w:tplc="F6A0EC56">
      <w:start w:val="1"/>
      <w:numFmt w:val="decimal"/>
      <w:lvlText w:val="%1."/>
      <w:lvlJc w:val="left"/>
      <w:pPr>
        <w:ind w:left="875" w:hanging="562"/>
      </w:pPr>
      <w:rPr>
        <w:rFonts w:ascii="Times New Roman" w:eastAsia="Times New Roman" w:hAnsi="Times New Roman" w:cs="Times New Roman" w:hint="default"/>
        <w:spacing w:val="0"/>
        <w:w w:val="99"/>
        <w:sz w:val="20"/>
        <w:szCs w:val="20"/>
        <w:lang w:val="en-US" w:eastAsia="en-US" w:bidi="en-US"/>
      </w:rPr>
    </w:lvl>
    <w:lvl w:ilvl="1" w:tplc="4FEEBB22">
      <w:start w:val="1"/>
      <w:numFmt w:val="lowerLetter"/>
      <w:lvlText w:val="(%2)"/>
      <w:lvlJc w:val="left"/>
      <w:pPr>
        <w:ind w:left="1422" w:hanging="562"/>
      </w:pPr>
      <w:rPr>
        <w:rFonts w:ascii="Times New Roman" w:eastAsia="Times New Roman" w:hAnsi="Times New Roman" w:cs="Times New Roman" w:hint="default"/>
        <w:w w:val="99"/>
        <w:sz w:val="20"/>
        <w:szCs w:val="20"/>
        <w:lang w:val="en-US" w:eastAsia="en-US" w:bidi="en-US"/>
      </w:rPr>
    </w:lvl>
    <w:lvl w:ilvl="2" w:tplc="BA865A0E">
      <w:numFmt w:val="bullet"/>
      <w:lvlText w:val="•"/>
      <w:lvlJc w:val="left"/>
      <w:pPr>
        <w:ind w:left="1780" w:hanging="562"/>
      </w:pPr>
      <w:rPr>
        <w:lang w:val="en-US" w:eastAsia="en-US" w:bidi="en-US"/>
      </w:rPr>
    </w:lvl>
    <w:lvl w:ilvl="3" w:tplc="4AE45F4E">
      <w:numFmt w:val="bullet"/>
      <w:lvlText w:val="•"/>
      <w:lvlJc w:val="left"/>
      <w:pPr>
        <w:ind w:left="1820" w:hanging="562"/>
      </w:pPr>
      <w:rPr>
        <w:lang w:val="en-US" w:eastAsia="en-US" w:bidi="en-US"/>
      </w:rPr>
    </w:lvl>
    <w:lvl w:ilvl="4" w:tplc="CDE8C2FC">
      <w:numFmt w:val="bullet"/>
      <w:lvlText w:val="•"/>
      <w:lvlJc w:val="left"/>
      <w:pPr>
        <w:ind w:left="2668" w:hanging="562"/>
      </w:pPr>
      <w:rPr>
        <w:lang w:val="en-US" w:eastAsia="en-US" w:bidi="en-US"/>
      </w:rPr>
    </w:lvl>
    <w:lvl w:ilvl="5" w:tplc="F20447C6">
      <w:numFmt w:val="bullet"/>
      <w:lvlText w:val="•"/>
      <w:lvlJc w:val="left"/>
      <w:pPr>
        <w:ind w:left="3517" w:hanging="562"/>
      </w:pPr>
      <w:rPr>
        <w:lang w:val="en-US" w:eastAsia="en-US" w:bidi="en-US"/>
      </w:rPr>
    </w:lvl>
    <w:lvl w:ilvl="6" w:tplc="C5247CE2">
      <w:numFmt w:val="bullet"/>
      <w:lvlText w:val="•"/>
      <w:lvlJc w:val="left"/>
      <w:pPr>
        <w:ind w:left="4365" w:hanging="562"/>
      </w:pPr>
      <w:rPr>
        <w:lang w:val="en-US" w:eastAsia="en-US" w:bidi="en-US"/>
      </w:rPr>
    </w:lvl>
    <w:lvl w:ilvl="7" w:tplc="63645EBA">
      <w:numFmt w:val="bullet"/>
      <w:lvlText w:val="•"/>
      <w:lvlJc w:val="left"/>
      <w:pPr>
        <w:ind w:left="5214" w:hanging="562"/>
      </w:pPr>
      <w:rPr>
        <w:lang w:val="en-US" w:eastAsia="en-US" w:bidi="en-US"/>
      </w:rPr>
    </w:lvl>
    <w:lvl w:ilvl="8" w:tplc="90602998">
      <w:numFmt w:val="bullet"/>
      <w:lvlText w:val="•"/>
      <w:lvlJc w:val="left"/>
      <w:pPr>
        <w:ind w:left="6062" w:hanging="562"/>
      </w:pPr>
      <w:rPr>
        <w:lang w:val="en-US" w:eastAsia="en-US" w:bidi="en-US"/>
      </w:rPr>
    </w:lvl>
  </w:abstractNum>
  <w:abstractNum w:abstractNumId="21">
    <w:nsid w:val="1C0B7A9C"/>
    <w:multiLevelType w:val="hybridMultilevel"/>
    <w:tmpl w:val="2EE0BF1A"/>
    <w:lvl w:ilvl="0" w:tplc="E2F45132">
      <w:start w:val="1"/>
      <w:numFmt w:val="lowerLetter"/>
      <w:lvlText w:val="(%1)"/>
      <w:lvlJc w:val="left"/>
      <w:pPr>
        <w:tabs>
          <w:tab w:val="num" w:pos="1440"/>
        </w:tabs>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D62633E"/>
    <w:multiLevelType w:val="hybridMultilevel"/>
    <w:tmpl w:val="2168E170"/>
    <w:lvl w:ilvl="0" w:tplc="442E1ADE">
      <w:start w:val="1"/>
      <w:numFmt w:val="lowerLetter"/>
      <w:lvlText w:val="(%1)"/>
      <w:lvlJc w:val="left"/>
      <w:pPr>
        <w:ind w:left="2767" w:hanging="783"/>
      </w:pPr>
      <w:rPr>
        <w:rFonts w:ascii="Arial" w:eastAsia="Arial" w:hAnsi="Arial" w:cs="Arial" w:hint="default"/>
        <w:spacing w:val="-1"/>
        <w:w w:val="99"/>
        <w:sz w:val="20"/>
        <w:szCs w:val="20"/>
        <w:lang w:val="en-US" w:eastAsia="en-US" w:bidi="en-US"/>
      </w:rPr>
    </w:lvl>
    <w:lvl w:ilvl="1" w:tplc="07A81022">
      <w:numFmt w:val="bullet"/>
      <w:lvlText w:val="•"/>
      <w:lvlJc w:val="left"/>
      <w:pPr>
        <w:ind w:left="3668" w:hanging="783"/>
      </w:pPr>
      <w:rPr>
        <w:lang w:val="en-US" w:eastAsia="en-US" w:bidi="en-US"/>
      </w:rPr>
    </w:lvl>
    <w:lvl w:ilvl="2" w:tplc="2996C224">
      <w:numFmt w:val="bullet"/>
      <w:lvlText w:val="•"/>
      <w:lvlJc w:val="left"/>
      <w:pPr>
        <w:ind w:left="4576" w:hanging="783"/>
      </w:pPr>
      <w:rPr>
        <w:lang w:val="en-US" w:eastAsia="en-US" w:bidi="en-US"/>
      </w:rPr>
    </w:lvl>
    <w:lvl w:ilvl="3" w:tplc="83D4DEB4">
      <w:numFmt w:val="bullet"/>
      <w:lvlText w:val="•"/>
      <w:lvlJc w:val="left"/>
      <w:pPr>
        <w:ind w:left="5484" w:hanging="783"/>
      </w:pPr>
      <w:rPr>
        <w:lang w:val="en-US" w:eastAsia="en-US" w:bidi="en-US"/>
      </w:rPr>
    </w:lvl>
    <w:lvl w:ilvl="4" w:tplc="5B3A3CEE">
      <w:numFmt w:val="bullet"/>
      <w:lvlText w:val="•"/>
      <w:lvlJc w:val="left"/>
      <w:pPr>
        <w:ind w:left="6392" w:hanging="783"/>
      </w:pPr>
      <w:rPr>
        <w:lang w:val="en-US" w:eastAsia="en-US" w:bidi="en-US"/>
      </w:rPr>
    </w:lvl>
    <w:lvl w:ilvl="5" w:tplc="C434BA94">
      <w:numFmt w:val="bullet"/>
      <w:lvlText w:val="•"/>
      <w:lvlJc w:val="left"/>
      <w:pPr>
        <w:ind w:left="7300" w:hanging="783"/>
      </w:pPr>
      <w:rPr>
        <w:lang w:val="en-US" w:eastAsia="en-US" w:bidi="en-US"/>
      </w:rPr>
    </w:lvl>
    <w:lvl w:ilvl="6" w:tplc="5F084850">
      <w:numFmt w:val="bullet"/>
      <w:lvlText w:val="•"/>
      <w:lvlJc w:val="left"/>
      <w:pPr>
        <w:ind w:left="8208" w:hanging="783"/>
      </w:pPr>
      <w:rPr>
        <w:lang w:val="en-US" w:eastAsia="en-US" w:bidi="en-US"/>
      </w:rPr>
    </w:lvl>
    <w:lvl w:ilvl="7" w:tplc="714AA532">
      <w:numFmt w:val="bullet"/>
      <w:lvlText w:val="•"/>
      <w:lvlJc w:val="left"/>
      <w:pPr>
        <w:ind w:left="9116" w:hanging="783"/>
      </w:pPr>
      <w:rPr>
        <w:lang w:val="en-US" w:eastAsia="en-US" w:bidi="en-US"/>
      </w:rPr>
    </w:lvl>
    <w:lvl w:ilvl="8" w:tplc="F40E8782">
      <w:numFmt w:val="bullet"/>
      <w:lvlText w:val="•"/>
      <w:lvlJc w:val="left"/>
      <w:pPr>
        <w:ind w:left="10024" w:hanging="783"/>
      </w:pPr>
      <w:rPr>
        <w:lang w:val="en-US" w:eastAsia="en-US" w:bidi="en-US"/>
      </w:rPr>
    </w:lvl>
  </w:abstractNum>
  <w:abstractNum w:abstractNumId="23">
    <w:nsid w:val="1ED57872"/>
    <w:multiLevelType w:val="hybridMultilevel"/>
    <w:tmpl w:val="E6B4323A"/>
    <w:lvl w:ilvl="0" w:tplc="56F8D580">
      <w:start w:val="1"/>
      <w:numFmt w:val="lowerLetter"/>
      <w:lvlText w:val="(%1)"/>
      <w:lvlJc w:val="left"/>
      <w:pPr>
        <w:ind w:left="2534" w:hanging="548"/>
      </w:pPr>
      <w:rPr>
        <w:spacing w:val="-1"/>
        <w:w w:val="99"/>
        <w:u w:val="single" w:color="000000"/>
        <w:lang w:val="en-US" w:eastAsia="en-US" w:bidi="en-US"/>
      </w:rPr>
    </w:lvl>
    <w:lvl w:ilvl="1" w:tplc="2B5E1B68">
      <w:start w:val="1"/>
      <w:numFmt w:val="lowerRoman"/>
      <w:lvlText w:val="(%2)"/>
      <w:lvlJc w:val="left"/>
      <w:pPr>
        <w:ind w:left="3081" w:hanging="548"/>
      </w:pPr>
      <w:rPr>
        <w:spacing w:val="-1"/>
        <w:w w:val="99"/>
        <w:u w:val="single" w:color="000000"/>
        <w:lang w:val="en-US" w:eastAsia="en-US" w:bidi="en-US"/>
      </w:rPr>
    </w:lvl>
    <w:lvl w:ilvl="2" w:tplc="BE845C5C">
      <w:numFmt w:val="bullet"/>
      <w:lvlText w:val="•"/>
      <w:lvlJc w:val="left"/>
      <w:pPr>
        <w:ind w:left="4053" w:hanging="548"/>
      </w:pPr>
      <w:rPr>
        <w:lang w:val="en-US" w:eastAsia="en-US" w:bidi="en-US"/>
      </w:rPr>
    </w:lvl>
    <w:lvl w:ilvl="3" w:tplc="ADA06EEE">
      <w:numFmt w:val="bullet"/>
      <w:lvlText w:val="•"/>
      <w:lvlJc w:val="left"/>
      <w:pPr>
        <w:ind w:left="5026" w:hanging="548"/>
      </w:pPr>
      <w:rPr>
        <w:lang w:val="en-US" w:eastAsia="en-US" w:bidi="en-US"/>
      </w:rPr>
    </w:lvl>
    <w:lvl w:ilvl="4" w:tplc="1DCC9496">
      <w:numFmt w:val="bullet"/>
      <w:lvlText w:val="•"/>
      <w:lvlJc w:val="left"/>
      <w:pPr>
        <w:ind w:left="6000" w:hanging="548"/>
      </w:pPr>
      <w:rPr>
        <w:lang w:val="en-US" w:eastAsia="en-US" w:bidi="en-US"/>
      </w:rPr>
    </w:lvl>
    <w:lvl w:ilvl="5" w:tplc="E580191E">
      <w:numFmt w:val="bullet"/>
      <w:lvlText w:val="•"/>
      <w:lvlJc w:val="left"/>
      <w:pPr>
        <w:ind w:left="6973" w:hanging="548"/>
      </w:pPr>
      <w:rPr>
        <w:lang w:val="en-US" w:eastAsia="en-US" w:bidi="en-US"/>
      </w:rPr>
    </w:lvl>
    <w:lvl w:ilvl="6" w:tplc="E28C9A02">
      <w:numFmt w:val="bullet"/>
      <w:lvlText w:val="•"/>
      <w:lvlJc w:val="left"/>
      <w:pPr>
        <w:ind w:left="7946" w:hanging="548"/>
      </w:pPr>
      <w:rPr>
        <w:lang w:val="en-US" w:eastAsia="en-US" w:bidi="en-US"/>
      </w:rPr>
    </w:lvl>
    <w:lvl w:ilvl="7" w:tplc="D548A9FC">
      <w:numFmt w:val="bullet"/>
      <w:lvlText w:val="•"/>
      <w:lvlJc w:val="left"/>
      <w:pPr>
        <w:ind w:left="8920" w:hanging="548"/>
      </w:pPr>
      <w:rPr>
        <w:lang w:val="en-US" w:eastAsia="en-US" w:bidi="en-US"/>
      </w:rPr>
    </w:lvl>
    <w:lvl w:ilvl="8" w:tplc="9EFA8604">
      <w:numFmt w:val="bullet"/>
      <w:lvlText w:val="•"/>
      <w:lvlJc w:val="left"/>
      <w:pPr>
        <w:ind w:left="9893" w:hanging="548"/>
      </w:pPr>
      <w:rPr>
        <w:lang w:val="en-US" w:eastAsia="en-US" w:bidi="en-US"/>
      </w:rPr>
    </w:lvl>
  </w:abstractNum>
  <w:abstractNum w:abstractNumId="24">
    <w:nsid w:val="1F0776A2"/>
    <w:multiLevelType w:val="hybridMultilevel"/>
    <w:tmpl w:val="D5AE0392"/>
    <w:lvl w:ilvl="0" w:tplc="350C66D8">
      <w:start w:val="1"/>
      <w:numFmt w:val="lowerLetter"/>
      <w:lvlText w:val="(%1)"/>
      <w:lvlJc w:val="left"/>
      <w:pPr>
        <w:ind w:left="2534" w:hanging="548"/>
      </w:pPr>
      <w:rPr>
        <w:spacing w:val="-1"/>
        <w:w w:val="99"/>
        <w:u w:val="single" w:color="000000"/>
        <w:lang w:val="en-US" w:eastAsia="en-US" w:bidi="en-US"/>
      </w:rPr>
    </w:lvl>
    <w:lvl w:ilvl="1" w:tplc="F21E127E">
      <w:numFmt w:val="bullet"/>
      <w:lvlText w:val="•"/>
      <w:lvlJc w:val="left"/>
      <w:pPr>
        <w:ind w:left="3470" w:hanging="548"/>
      </w:pPr>
      <w:rPr>
        <w:lang w:val="en-US" w:eastAsia="en-US" w:bidi="en-US"/>
      </w:rPr>
    </w:lvl>
    <w:lvl w:ilvl="2" w:tplc="B94E7748">
      <w:numFmt w:val="bullet"/>
      <w:lvlText w:val="•"/>
      <w:lvlJc w:val="left"/>
      <w:pPr>
        <w:ind w:left="4400" w:hanging="548"/>
      </w:pPr>
      <w:rPr>
        <w:lang w:val="en-US" w:eastAsia="en-US" w:bidi="en-US"/>
      </w:rPr>
    </w:lvl>
    <w:lvl w:ilvl="3" w:tplc="9DF8C680">
      <w:numFmt w:val="bullet"/>
      <w:lvlText w:val="•"/>
      <w:lvlJc w:val="left"/>
      <w:pPr>
        <w:ind w:left="5330" w:hanging="548"/>
      </w:pPr>
      <w:rPr>
        <w:lang w:val="en-US" w:eastAsia="en-US" w:bidi="en-US"/>
      </w:rPr>
    </w:lvl>
    <w:lvl w:ilvl="4" w:tplc="B754A098">
      <w:numFmt w:val="bullet"/>
      <w:lvlText w:val="•"/>
      <w:lvlJc w:val="left"/>
      <w:pPr>
        <w:ind w:left="6260" w:hanging="548"/>
      </w:pPr>
      <w:rPr>
        <w:lang w:val="en-US" w:eastAsia="en-US" w:bidi="en-US"/>
      </w:rPr>
    </w:lvl>
    <w:lvl w:ilvl="5" w:tplc="5ECE804A">
      <w:numFmt w:val="bullet"/>
      <w:lvlText w:val="•"/>
      <w:lvlJc w:val="left"/>
      <w:pPr>
        <w:ind w:left="7190" w:hanging="548"/>
      </w:pPr>
      <w:rPr>
        <w:lang w:val="en-US" w:eastAsia="en-US" w:bidi="en-US"/>
      </w:rPr>
    </w:lvl>
    <w:lvl w:ilvl="6" w:tplc="1A76AA2A">
      <w:numFmt w:val="bullet"/>
      <w:lvlText w:val="•"/>
      <w:lvlJc w:val="left"/>
      <w:pPr>
        <w:ind w:left="8120" w:hanging="548"/>
      </w:pPr>
      <w:rPr>
        <w:lang w:val="en-US" w:eastAsia="en-US" w:bidi="en-US"/>
      </w:rPr>
    </w:lvl>
    <w:lvl w:ilvl="7" w:tplc="93942F4C">
      <w:numFmt w:val="bullet"/>
      <w:lvlText w:val="•"/>
      <w:lvlJc w:val="left"/>
      <w:pPr>
        <w:ind w:left="9050" w:hanging="548"/>
      </w:pPr>
      <w:rPr>
        <w:lang w:val="en-US" w:eastAsia="en-US" w:bidi="en-US"/>
      </w:rPr>
    </w:lvl>
    <w:lvl w:ilvl="8" w:tplc="D97C04B6">
      <w:numFmt w:val="bullet"/>
      <w:lvlText w:val="•"/>
      <w:lvlJc w:val="left"/>
      <w:pPr>
        <w:ind w:left="9980" w:hanging="548"/>
      </w:pPr>
      <w:rPr>
        <w:lang w:val="en-US" w:eastAsia="en-US" w:bidi="en-US"/>
      </w:rPr>
    </w:lvl>
  </w:abstractNum>
  <w:abstractNum w:abstractNumId="25">
    <w:nsid w:val="20410476"/>
    <w:multiLevelType w:val="hybridMultilevel"/>
    <w:tmpl w:val="CA2C7C80"/>
    <w:lvl w:ilvl="0" w:tplc="862E2C22">
      <w:start w:val="1"/>
      <w:numFmt w:val="lowerLetter"/>
      <w:lvlText w:val="(%1)"/>
      <w:lvlJc w:val="left"/>
      <w:pPr>
        <w:tabs>
          <w:tab w:val="num" w:pos="1070"/>
        </w:tabs>
        <w:ind w:left="1070" w:hanging="360"/>
      </w:pPr>
      <w:rPr>
        <w:b w:val="0"/>
        <w:i w:val="0"/>
      </w:rPr>
    </w:lvl>
    <w:lvl w:ilvl="1" w:tplc="F2A2E2D4">
      <w:start w:val="1"/>
      <w:numFmt w:val="lowerRoman"/>
      <w:lvlText w:val="(%2) "/>
      <w:lvlJc w:val="left"/>
      <w:pPr>
        <w:tabs>
          <w:tab w:val="num" w:pos="1440"/>
        </w:tabs>
        <w:ind w:left="1440" w:hanging="360"/>
      </w:pPr>
      <w:rPr>
        <w:lang w:val="pt-P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235103A4"/>
    <w:multiLevelType w:val="hybridMultilevel"/>
    <w:tmpl w:val="9F4CC296"/>
    <w:lvl w:ilvl="0" w:tplc="6F1CDF24">
      <w:start w:val="7"/>
      <w:numFmt w:val="lowerRoman"/>
      <w:lvlText w:val="(%1)"/>
      <w:lvlJc w:val="left"/>
      <w:pPr>
        <w:ind w:left="3076" w:hanging="543"/>
      </w:pPr>
      <w:rPr>
        <w:spacing w:val="-2"/>
        <w:w w:val="99"/>
        <w:u w:val="single" w:color="000000"/>
        <w:lang w:val="en-US" w:eastAsia="en-US" w:bidi="en-US"/>
      </w:rPr>
    </w:lvl>
    <w:lvl w:ilvl="1" w:tplc="03FC2F94">
      <w:numFmt w:val="bullet"/>
      <w:lvlText w:val="•"/>
      <w:lvlJc w:val="left"/>
      <w:pPr>
        <w:ind w:left="3956" w:hanging="543"/>
      </w:pPr>
      <w:rPr>
        <w:lang w:val="en-US" w:eastAsia="en-US" w:bidi="en-US"/>
      </w:rPr>
    </w:lvl>
    <w:lvl w:ilvl="2" w:tplc="AE487B5C">
      <w:numFmt w:val="bullet"/>
      <w:lvlText w:val="•"/>
      <w:lvlJc w:val="left"/>
      <w:pPr>
        <w:ind w:left="4832" w:hanging="543"/>
      </w:pPr>
      <w:rPr>
        <w:lang w:val="en-US" w:eastAsia="en-US" w:bidi="en-US"/>
      </w:rPr>
    </w:lvl>
    <w:lvl w:ilvl="3" w:tplc="FE2ED536">
      <w:numFmt w:val="bullet"/>
      <w:lvlText w:val="•"/>
      <w:lvlJc w:val="left"/>
      <w:pPr>
        <w:ind w:left="5708" w:hanging="543"/>
      </w:pPr>
      <w:rPr>
        <w:lang w:val="en-US" w:eastAsia="en-US" w:bidi="en-US"/>
      </w:rPr>
    </w:lvl>
    <w:lvl w:ilvl="4" w:tplc="FB22D6CA">
      <w:numFmt w:val="bullet"/>
      <w:lvlText w:val="•"/>
      <w:lvlJc w:val="left"/>
      <w:pPr>
        <w:ind w:left="6584" w:hanging="543"/>
      </w:pPr>
      <w:rPr>
        <w:lang w:val="en-US" w:eastAsia="en-US" w:bidi="en-US"/>
      </w:rPr>
    </w:lvl>
    <w:lvl w:ilvl="5" w:tplc="B784F762">
      <w:numFmt w:val="bullet"/>
      <w:lvlText w:val="•"/>
      <w:lvlJc w:val="left"/>
      <w:pPr>
        <w:ind w:left="7460" w:hanging="543"/>
      </w:pPr>
      <w:rPr>
        <w:lang w:val="en-US" w:eastAsia="en-US" w:bidi="en-US"/>
      </w:rPr>
    </w:lvl>
    <w:lvl w:ilvl="6" w:tplc="14EABD4E">
      <w:numFmt w:val="bullet"/>
      <w:lvlText w:val="•"/>
      <w:lvlJc w:val="left"/>
      <w:pPr>
        <w:ind w:left="8336" w:hanging="543"/>
      </w:pPr>
      <w:rPr>
        <w:lang w:val="en-US" w:eastAsia="en-US" w:bidi="en-US"/>
      </w:rPr>
    </w:lvl>
    <w:lvl w:ilvl="7" w:tplc="D6B2ECB4">
      <w:numFmt w:val="bullet"/>
      <w:lvlText w:val="•"/>
      <w:lvlJc w:val="left"/>
      <w:pPr>
        <w:ind w:left="9212" w:hanging="543"/>
      </w:pPr>
      <w:rPr>
        <w:lang w:val="en-US" w:eastAsia="en-US" w:bidi="en-US"/>
      </w:rPr>
    </w:lvl>
    <w:lvl w:ilvl="8" w:tplc="4990A1B0">
      <w:numFmt w:val="bullet"/>
      <w:lvlText w:val="•"/>
      <w:lvlJc w:val="left"/>
      <w:pPr>
        <w:ind w:left="10088" w:hanging="543"/>
      </w:pPr>
      <w:rPr>
        <w:lang w:val="en-US" w:eastAsia="en-US" w:bidi="en-US"/>
      </w:rPr>
    </w:lvl>
  </w:abstractNum>
  <w:abstractNum w:abstractNumId="27">
    <w:nsid w:val="23523C99"/>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23907630"/>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23AC4796"/>
    <w:multiLevelType w:val="hybridMultilevel"/>
    <w:tmpl w:val="02943CA0"/>
    <w:lvl w:ilvl="0" w:tplc="4170BD56">
      <w:start w:val="1"/>
      <w:numFmt w:val="lowerLetter"/>
      <w:lvlText w:val="(%1)"/>
      <w:lvlJc w:val="left"/>
      <w:pPr>
        <w:ind w:left="2534" w:hanging="548"/>
      </w:pPr>
      <w:rPr>
        <w:spacing w:val="-1"/>
        <w:w w:val="99"/>
        <w:u w:val="single" w:color="000000"/>
        <w:lang w:val="en-US" w:eastAsia="en-US" w:bidi="en-US"/>
      </w:rPr>
    </w:lvl>
    <w:lvl w:ilvl="1" w:tplc="13B466C0">
      <w:numFmt w:val="bullet"/>
      <w:lvlText w:val="•"/>
      <w:lvlJc w:val="left"/>
      <w:pPr>
        <w:ind w:left="3470" w:hanging="548"/>
      </w:pPr>
      <w:rPr>
        <w:lang w:val="en-US" w:eastAsia="en-US" w:bidi="en-US"/>
      </w:rPr>
    </w:lvl>
    <w:lvl w:ilvl="2" w:tplc="4B6E0CE4">
      <w:numFmt w:val="bullet"/>
      <w:lvlText w:val="•"/>
      <w:lvlJc w:val="left"/>
      <w:pPr>
        <w:ind w:left="4400" w:hanging="548"/>
      </w:pPr>
      <w:rPr>
        <w:lang w:val="en-US" w:eastAsia="en-US" w:bidi="en-US"/>
      </w:rPr>
    </w:lvl>
    <w:lvl w:ilvl="3" w:tplc="E1EA49F6">
      <w:numFmt w:val="bullet"/>
      <w:lvlText w:val="•"/>
      <w:lvlJc w:val="left"/>
      <w:pPr>
        <w:ind w:left="5330" w:hanging="548"/>
      </w:pPr>
      <w:rPr>
        <w:lang w:val="en-US" w:eastAsia="en-US" w:bidi="en-US"/>
      </w:rPr>
    </w:lvl>
    <w:lvl w:ilvl="4" w:tplc="B96C16CC">
      <w:numFmt w:val="bullet"/>
      <w:lvlText w:val="•"/>
      <w:lvlJc w:val="left"/>
      <w:pPr>
        <w:ind w:left="6260" w:hanging="548"/>
      </w:pPr>
      <w:rPr>
        <w:lang w:val="en-US" w:eastAsia="en-US" w:bidi="en-US"/>
      </w:rPr>
    </w:lvl>
    <w:lvl w:ilvl="5" w:tplc="F188925A">
      <w:numFmt w:val="bullet"/>
      <w:lvlText w:val="•"/>
      <w:lvlJc w:val="left"/>
      <w:pPr>
        <w:ind w:left="7190" w:hanging="548"/>
      </w:pPr>
      <w:rPr>
        <w:lang w:val="en-US" w:eastAsia="en-US" w:bidi="en-US"/>
      </w:rPr>
    </w:lvl>
    <w:lvl w:ilvl="6" w:tplc="1C8690E2">
      <w:numFmt w:val="bullet"/>
      <w:lvlText w:val="•"/>
      <w:lvlJc w:val="left"/>
      <w:pPr>
        <w:ind w:left="8120" w:hanging="548"/>
      </w:pPr>
      <w:rPr>
        <w:lang w:val="en-US" w:eastAsia="en-US" w:bidi="en-US"/>
      </w:rPr>
    </w:lvl>
    <w:lvl w:ilvl="7" w:tplc="A9A011F2">
      <w:numFmt w:val="bullet"/>
      <w:lvlText w:val="•"/>
      <w:lvlJc w:val="left"/>
      <w:pPr>
        <w:ind w:left="9050" w:hanging="548"/>
      </w:pPr>
      <w:rPr>
        <w:lang w:val="en-US" w:eastAsia="en-US" w:bidi="en-US"/>
      </w:rPr>
    </w:lvl>
    <w:lvl w:ilvl="8" w:tplc="E93402CA">
      <w:numFmt w:val="bullet"/>
      <w:lvlText w:val="•"/>
      <w:lvlJc w:val="left"/>
      <w:pPr>
        <w:ind w:left="9980" w:hanging="548"/>
      </w:pPr>
      <w:rPr>
        <w:lang w:val="en-US" w:eastAsia="en-US" w:bidi="en-US"/>
      </w:rPr>
    </w:lvl>
  </w:abstractNum>
  <w:abstractNum w:abstractNumId="30">
    <w:nsid w:val="24F90C06"/>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26204C97"/>
    <w:multiLevelType w:val="hybridMultilevel"/>
    <w:tmpl w:val="03D42548"/>
    <w:lvl w:ilvl="0" w:tplc="9C667222">
      <w:start w:val="1"/>
      <w:numFmt w:val="lowerRoman"/>
      <w:lvlText w:val="(%1) "/>
      <w:lvlJc w:val="center"/>
      <w:pPr>
        <w:tabs>
          <w:tab w:val="num" w:pos="1920"/>
        </w:tabs>
        <w:ind w:left="1920" w:hanging="360"/>
      </w:pPr>
      <w:rPr>
        <w:lang w:val="pt-BR"/>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26360CED"/>
    <w:multiLevelType w:val="hybridMultilevel"/>
    <w:tmpl w:val="4442F916"/>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282F50AE"/>
    <w:multiLevelType w:val="hybridMultilevel"/>
    <w:tmpl w:val="C3960CAA"/>
    <w:lvl w:ilvl="0" w:tplc="55F6299A">
      <w:start w:val="1"/>
      <w:numFmt w:val="lowerLetter"/>
      <w:lvlText w:val="(%1)"/>
      <w:lvlJc w:val="left"/>
      <w:pPr>
        <w:ind w:left="2534" w:hanging="548"/>
      </w:pPr>
      <w:rPr>
        <w:spacing w:val="-1"/>
        <w:w w:val="99"/>
        <w:u w:val="single" w:color="000000"/>
        <w:lang w:val="en-US" w:eastAsia="en-US" w:bidi="en-US"/>
      </w:rPr>
    </w:lvl>
    <w:lvl w:ilvl="1" w:tplc="83967500">
      <w:numFmt w:val="bullet"/>
      <w:lvlText w:val="•"/>
      <w:lvlJc w:val="left"/>
      <w:pPr>
        <w:ind w:left="3470" w:hanging="548"/>
      </w:pPr>
      <w:rPr>
        <w:lang w:val="en-US" w:eastAsia="en-US" w:bidi="en-US"/>
      </w:rPr>
    </w:lvl>
    <w:lvl w:ilvl="2" w:tplc="0B308244">
      <w:numFmt w:val="bullet"/>
      <w:lvlText w:val="•"/>
      <w:lvlJc w:val="left"/>
      <w:pPr>
        <w:ind w:left="4400" w:hanging="548"/>
      </w:pPr>
      <w:rPr>
        <w:lang w:val="en-US" w:eastAsia="en-US" w:bidi="en-US"/>
      </w:rPr>
    </w:lvl>
    <w:lvl w:ilvl="3" w:tplc="087CE108">
      <w:numFmt w:val="bullet"/>
      <w:lvlText w:val="•"/>
      <w:lvlJc w:val="left"/>
      <w:pPr>
        <w:ind w:left="5330" w:hanging="548"/>
      </w:pPr>
      <w:rPr>
        <w:lang w:val="en-US" w:eastAsia="en-US" w:bidi="en-US"/>
      </w:rPr>
    </w:lvl>
    <w:lvl w:ilvl="4" w:tplc="6ACEDD7C">
      <w:numFmt w:val="bullet"/>
      <w:lvlText w:val="•"/>
      <w:lvlJc w:val="left"/>
      <w:pPr>
        <w:ind w:left="6260" w:hanging="548"/>
      </w:pPr>
      <w:rPr>
        <w:lang w:val="en-US" w:eastAsia="en-US" w:bidi="en-US"/>
      </w:rPr>
    </w:lvl>
    <w:lvl w:ilvl="5" w:tplc="9398C4D6">
      <w:numFmt w:val="bullet"/>
      <w:lvlText w:val="•"/>
      <w:lvlJc w:val="left"/>
      <w:pPr>
        <w:ind w:left="7190" w:hanging="548"/>
      </w:pPr>
      <w:rPr>
        <w:lang w:val="en-US" w:eastAsia="en-US" w:bidi="en-US"/>
      </w:rPr>
    </w:lvl>
    <w:lvl w:ilvl="6" w:tplc="D472CFE6">
      <w:numFmt w:val="bullet"/>
      <w:lvlText w:val="•"/>
      <w:lvlJc w:val="left"/>
      <w:pPr>
        <w:ind w:left="8120" w:hanging="548"/>
      </w:pPr>
      <w:rPr>
        <w:lang w:val="en-US" w:eastAsia="en-US" w:bidi="en-US"/>
      </w:rPr>
    </w:lvl>
    <w:lvl w:ilvl="7" w:tplc="20DCFEEC">
      <w:numFmt w:val="bullet"/>
      <w:lvlText w:val="•"/>
      <w:lvlJc w:val="left"/>
      <w:pPr>
        <w:ind w:left="9050" w:hanging="548"/>
      </w:pPr>
      <w:rPr>
        <w:lang w:val="en-US" w:eastAsia="en-US" w:bidi="en-US"/>
      </w:rPr>
    </w:lvl>
    <w:lvl w:ilvl="8" w:tplc="590CB714">
      <w:numFmt w:val="bullet"/>
      <w:lvlText w:val="•"/>
      <w:lvlJc w:val="left"/>
      <w:pPr>
        <w:ind w:left="9980" w:hanging="548"/>
      </w:pPr>
      <w:rPr>
        <w:lang w:val="en-US" w:eastAsia="en-US" w:bidi="en-US"/>
      </w:rPr>
    </w:lvl>
  </w:abstractNum>
  <w:abstractNum w:abstractNumId="34">
    <w:nsid w:val="284F20E9"/>
    <w:multiLevelType w:val="hybridMultilevel"/>
    <w:tmpl w:val="6C72C24A"/>
    <w:lvl w:ilvl="0" w:tplc="254E83CC">
      <w:start w:val="24"/>
      <w:numFmt w:val="decimal"/>
      <w:lvlText w:val="%1."/>
      <w:lvlJc w:val="left"/>
      <w:pPr>
        <w:ind w:left="1986" w:hanging="547"/>
      </w:pPr>
      <w:rPr>
        <w:rFonts w:ascii="Arial" w:eastAsia="Arial" w:hAnsi="Arial" w:cs="Arial" w:hint="default"/>
        <w:spacing w:val="-1"/>
        <w:w w:val="99"/>
        <w:sz w:val="20"/>
        <w:szCs w:val="20"/>
        <w:lang w:val="en-US" w:eastAsia="en-US" w:bidi="en-US"/>
      </w:rPr>
    </w:lvl>
    <w:lvl w:ilvl="1" w:tplc="AFA4B13A">
      <w:start w:val="1"/>
      <w:numFmt w:val="lowerLetter"/>
      <w:lvlText w:val="(%2)"/>
      <w:lvlJc w:val="left"/>
      <w:pPr>
        <w:ind w:left="2534" w:hanging="548"/>
      </w:pPr>
      <w:rPr>
        <w:rFonts w:ascii="Arial" w:eastAsia="Arial" w:hAnsi="Arial" w:cs="Arial" w:hint="default"/>
        <w:spacing w:val="-1"/>
        <w:w w:val="99"/>
        <w:sz w:val="20"/>
        <w:szCs w:val="20"/>
        <w:lang w:val="en-US" w:eastAsia="en-US" w:bidi="en-US"/>
      </w:rPr>
    </w:lvl>
    <w:lvl w:ilvl="2" w:tplc="6AF48E7C">
      <w:start w:val="1"/>
      <w:numFmt w:val="lowerRoman"/>
      <w:lvlText w:val="(%3)"/>
      <w:lvlJc w:val="left"/>
      <w:pPr>
        <w:ind w:left="3076" w:hanging="543"/>
      </w:pPr>
      <w:rPr>
        <w:rFonts w:ascii="Arial" w:eastAsia="Arial" w:hAnsi="Arial" w:cs="Arial" w:hint="default"/>
        <w:spacing w:val="-1"/>
        <w:w w:val="99"/>
        <w:sz w:val="20"/>
        <w:szCs w:val="20"/>
        <w:lang w:val="en-US" w:eastAsia="en-US" w:bidi="en-US"/>
      </w:rPr>
    </w:lvl>
    <w:lvl w:ilvl="3" w:tplc="C0400172">
      <w:numFmt w:val="bullet"/>
      <w:lvlText w:val="•"/>
      <w:lvlJc w:val="left"/>
      <w:pPr>
        <w:ind w:left="4175" w:hanging="543"/>
      </w:pPr>
      <w:rPr>
        <w:lang w:val="en-US" w:eastAsia="en-US" w:bidi="en-US"/>
      </w:rPr>
    </w:lvl>
    <w:lvl w:ilvl="4" w:tplc="AF0E292C">
      <w:numFmt w:val="bullet"/>
      <w:lvlText w:val="•"/>
      <w:lvlJc w:val="left"/>
      <w:pPr>
        <w:ind w:left="5270" w:hanging="543"/>
      </w:pPr>
      <w:rPr>
        <w:lang w:val="en-US" w:eastAsia="en-US" w:bidi="en-US"/>
      </w:rPr>
    </w:lvl>
    <w:lvl w:ilvl="5" w:tplc="EB4EB878">
      <w:numFmt w:val="bullet"/>
      <w:lvlText w:val="•"/>
      <w:lvlJc w:val="left"/>
      <w:pPr>
        <w:ind w:left="6365" w:hanging="543"/>
      </w:pPr>
      <w:rPr>
        <w:lang w:val="en-US" w:eastAsia="en-US" w:bidi="en-US"/>
      </w:rPr>
    </w:lvl>
    <w:lvl w:ilvl="6" w:tplc="44386A96">
      <w:numFmt w:val="bullet"/>
      <w:lvlText w:val="•"/>
      <w:lvlJc w:val="left"/>
      <w:pPr>
        <w:ind w:left="7460" w:hanging="543"/>
      </w:pPr>
      <w:rPr>
        <w:lang w:val="en-US" w:eastAsia="en-US" w:bidi="en-US"/>
      </w:rPr>
    </w:lvl>
    <w:lvl w:ilvl="7" w:tplc="830E2AAC">
      <w:numFmt w:val="bullet"/>
      <w:lvlText w:val="•"/>
      <w:lvlJc w:val="left"/>
      <w:pPr>
        <w:ind w:left="8555" w:hanging="543"/>
      </w:pPr>
      <w:rPr>
        <w:lang w:val="en-US" w:eastAsia="en-US" w:bidi="en-US"/>
      </w:rPr>
    </w:lvl>
    <w:lvl w:ilvl="8" w:tplc="5554F2C0">
      <w:numFmt w:val="bullet"/>
      <w:lvlText w:val="•"/>
      <w:lvlJc w:val="left"/>
      <w:pPr>
        <w:ind w:left="9650" w:hanging="543"/>
      </w:pPr>
      <w:rPr>
        <w:lang w:val="en-US" w:eastAsia="en-US" w:bidi="en-US"/>
      </w:rPr>
    </w:lvl>
  </w:abstractNum>
  <w:abstractNum w:abstractNumId="35">
    <w:nsid w:val="28CD7FBB"/>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2A4E1EE1"/>
    <w:multiLevelType w:val="hybridMultilevel"/>
    <w:tmpl w:val="B50AB708"/>
    <w:lvl w:ilvl="0" w:tplc="5C988C82">
      <w:start w:val="1"/>
      <w:numFmt w:val="lowerLetter"/>
      <w:lvlText w:val="(%1)"/>
      <w:lvlJc w:val="left"/>
      <w:pPr>
        <w:ind w:left="2534" w:hanging="548"/>
      </w:pPr>
      <w:rPr>
        <w:rFonts w:ascii="Arial" w:eastAsia="Arial" w:hAnsi="Arial" w:cs="Arial" w:hint="default"/>
        <w:spacing w:val="-1"/>
        <w:w w:val="99"/>
        <w:sz w:val="20"/>
        <w:szCs w:val="20"/>
        <w:lang w:val="en-US" w:eastAsia="en-US" w:bidi="en-US"/>
      </w:rPr>
    </w:lvl>
    <w:lvl w:ilvl="1" w:tplc="EA08FC56">
      <w:start w:val="1"/>
      <w:numFmt w:val="lowerRoman"/>
      <w:lvlText w:val="(%2)"/>
      <w:lvlJc w:val="left"/>
      <w:pPr>
        <w:ind w:left="3081" w:hanging="548"/>
      </w:pPr>
      <w:rPr>
        <w:rFonts w:ascii="Arial" w:eastAsia="Arial" w:hAnsi="Arial" w:cs="Arial" w:hint="default"/>
        <w:spacing w:val="-1"/>
        <w:w w:val="99"/>
        <w:sz w:val="20"/>
        <w:szCs w:val="20"/>
        <w:lang w:val="en-US" w:eastAsia="en-US" w:bidi="en-US"/>
      </w:rPr>
    </w:lvl>
    <w:lvl w:ilvl="2" w:tplc="1CE03D12">
      <w:numFmt w:val="bullet"/>
      <w:lvlText w:val="•"/>
      <w:lvlJc w:val="left"/>
      <w:pPr>
        <w:ind w:left="4053" w:hanging="548"/>
      </w:pPr>
      <w:rPr>
        <w:lang w:val="en-US" w:eastAsia="en-US" w:bidi="en-US"/>
      </w:rPr>
    </w:lvl>
    <w:lvl w:ilvl="3" w:tplc="49965A4C">
      <w:numFmt w:val="bullet"/>
      <w:lvlText w:val="•"/>
      <w:lvlJc w:val="left"/>
      <w:pPr>
        <w:ind w:left="5026" w:hanging="548"/>
      </w:pPr>
      <w:rPr>
        <w:lang w:val="en-US" w:eastAsia="en-US" w:bidi="en-US"/>
      </w:rPr>
    </w:lvl>
    <w:lvl w:ilvl="4" w:tplc="76A627E0">
      <w:numFmt w:val="bullet"/>
      <w:lvlText w:val="•"/>
      <w:lvlJc w:val="left"/>
      <w:pPr>
        <w:ind w:left="6000" w:hanging="548"/>
      </w:pPr>
      <w:rPr>
        <w:lang w:val="en-US" w:eastAsia="en-US" w:bidi="en-US"/>
      </w:rPr>
    </w:lvl>
    <w:lvl w:ilvl="5" w:tplc="2CC28D0A">
      <w:numFmt w:val="bullet"/>
      <w:lvlText w:val="•"/>
      <w:lvlJc w:val="left"/>
      <w:pPr>
        <w:ind w:left="6973" w:hanging="548"/>
      </w:pPr>
      <w:rPr>
        <w:lang w:val="en-US" w:eastAsia="en-US" w:bidi="en-US"/>
      </w:rPr>
    </w:lvl>
    <w:lvl w:ilvl="6" w:tplc="4976C732">
      <w:numFmt w:val="bullet"/>
      <w:lvlText w:val="•"/>
      <w:lvlJc w:val="left"/>
      <w:pPr>
        <w:ind w:left="7946" w:hanging="548"/>
      </w:pPr>
      <w:rPr>
        <w:lang w:val="en-US" w:eastAsia="en-US" w:bidi="en-US"/>
      </w:rPr>
    </w:lvl>
    <w:lvl w:ilvl="7" w:tplc="6B3423B4">
      <w:numFmt w:val="bullet"/>
      <w:lvlText w:val="•"/>
      <w:lvlJc w:val="left"/>
      <w:pPr>
        <w:ind w:left="8920" w:hanging="548"/>
      </w:pPr>
      <w:rPr>
        <w:lang w:val="en-US" w:eastAsia="en-US" w:bidi="en-US"/>
      </w:rPr>
    </w:lvl>
    <w:lvl w:ilvl="8" w:tplc="025E2F3E">
      <w:numFmt w:val="bullet"/>
      <w:lvlText w:val="•"/>
      <w:lvlJc w:val="left"/>
      <w:pPr>
        <w:ind w:left="9893" w:hanging="548"/>
      </w:pPr>
      <w:rPr>
        <w:lang w:val="en-US" w:eastAsia="en-US" w:bidi="en-US"/>
      </w:rPr>
    </w:lvl>
  </w:abstractNum>
  <w:abstractNum w:abstractNumId="37">
    <w:nsid w:val="2B023577"/>
    <w:multiLevelType w:val="hybridMultilevel"/>
    <w:tmpl w:val="A87E71DC"/>
    <w:lvl w:ilvl="0" w:tplc="6BB2FEFC">
      <w:start w:val="1"/>
      <w:numFmt w:val="lowerLetter"/>
      <w:lvlText w:val="(%1)"/>
      <w:lvlJc w:val="left"/>
      <w:pPr>
        <w:ind w:left="2534" w:hanging="548"/>
      </w:pPr>
      <w:rPr>
        <w:spacing w:val="-1"/>
        <w:w w:val="99"/>
        <w:u w:val="single" w:color="000000"/>
        <w:lang w:val="en-US" w:eastAsia="en-US" w:bidi="en-US"/>
      </w:rPr>
    </w:lvl>
    <w:lvl w:ilvl="1" w:tplc="A2367DBC">
      <w:start w:val="1"/>
      <w:numFmt w:val="lowerRoman"/>
      <w:lvlText w:val="(%2)"/>
      <w:lvlJc w:val="left"/>
      <w:pPr>
        <w:ind w:left="3081" w:hanging="548"/>
      </w:pPr>
      <w:rPr>
        <w:spacing w:val="-1"/>
        <w:w w:val="99"/>
        <w:u w:val="single" w:color="000000"/>
        <w:lang w:val="en-US" w:eastAsia="en-US" w:bidi="en-US"/>
      </w:rPr>
    </w:lvl>
    <w:lvl w:ilvl="2" w:tplc="2CECB32A">
      <w:numFmt w:val="bullet"/>
      <w:lvlText w:val="•"/>
      <w:lvlJc w:val="left"/>
      <w:pPr>
        <w:ind w:left="4053" w:hanging="548"/>
      </w:pPr>
      <w:rPr>
        <w:lang w:val="en-US" w:eastAsia="en-US" w:bidi="en-US"/>
      </w:rPr>
    </w:lvl>
    <w:lvl w:ilvl="3" w:tplc="DC3EF4CA">
      <w:numFmt w:val="bullet"/>
      <w:lvlText w:val="•"/>
      <w:lvlJc w:val="left"/>
      <w:pPr>
        <w:ind w:left="5026" w:hanging="548"/>
      </w:pPr>
      <w:rPr>
        <w:lang w:val="en-US" w:eastAsia="en-US" w:bidi="en-US"/>
      </w:rPr>
    </w:lvl>
    <w:lvl w:ilvl="4" w:tplc="78B412F6">
      <w:numFmt w:val="bullet"/>
      <w:lvlText w:val="•"/>
      <w:lvlJc w:val="left"/>
      <w:pPr>
        <w:ind w:left="6000" w:hanging="548"/>
      </w:pPr>
      <w:rPr>
        <w:lang w:val="en-US" w:eastAsia="en-US" w:bidi="en-US"/>
      </w:rPr>
    </w:lvl>
    <w:lvl w:ilvl="5" w:tplc="B4661B54">
      <w:numFmt w:val="bullet"/>
      <w:lvlText w:val="•"/>
      <w:lvlJc w:val="left"/>
      <w:pPr>
        <w:ind w:left="6973" w:hanging="548"/>
      </w:pPr>
      <w:rPr>
        <w:lang w:val="en-US" w:eastAsia="en-US" w:bidi="en-US"/>
      </w:rPr>
    </w:lvl>
    <w:lvl w:ilvl="6" w:tplc="E2CC5D5C">
      <w:numFmt w:val="bullet"/>
      <w:lvlText w:val="•"/>
      <w:lvlJc w:val="left"/>
      <w:pPr>
        <w:ind w:left="7946" w:hanging="548"/>
      </w:pPr>
      <w:rPr>
        <w:lang w:val="en-US" w:eastAsia="en-US" w:bidi="en-US"/>
      </w:rPr>
    </w:lvl>
    <w:lvl w:ilvl="7" w:tplc="E910A21A">
      <w:numFmt w:val="bullet"/>
      <w:lvlText w:val="•"/>
      <w:lvlJc w:val="left"/>
      <w:pPr>
        <w:ind w:left="8920" w:hanging="548"/>
      </w:pPr>
      <w:rPr>
        <w:lang w:val="en-US" w:eastAsia="en-US" w:bidi="en-US"/>
      </w:rPr>
    </w:lvl>
    <w:lvl w:ilvl="8" w:tplc="61686362">
      <w:numFmt w:val="bullet"/>
      <w:lvlText w:val="•"/>
      <w:lvlJc w:val="left"/>
      <w:pPr>
        <w:ind w:left="9893" w:hanging="548"/>
      </w:pPr>
      <w:rPr>
        <w:lang w:val="en-US" w:eastAsia="en-US" w:bidi="en-US"/>
      </w:rPr>
    </w:lvl>
  </w:abstractNum>
  <w:abstractNum w:abstractNumId="38">
    <w:nsid w:val="2B98116D"/>
    <w:multiLevelType w:val="hybridMultilevel"/>
    <w:tmpl w:val="A1BE9D48"/>
    <w:lvl w:ilvl="0" w:tplc="862E2C22">
      <w:start w:val="1"/>
      <w:numFmt w:val="lowerLetter"/>
      <w:lvlText w:val="(%1)"/>
      <w:lvlJc w:val="left"/>
      <w:pPr>
        <w:tabs>
          <w:tab w:val="num" w:pos="645"/>
        </w:tabs>
        <w:ind w:left="645"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2C05717F"/>
    <w:multiLevelType w:val="hybridMultilevel"/>
    <w:tmpl w:val="C368DE54"/>
    <w:lvl w:ilvl="0" w:tplc="F3D60A2C">
      <w:start w:val="11"/>
      <w:numFmt w:val="decimal"/>
      <w:lvlText w:val="%1."/>
      <w:lvlJc w:val="left"/>
      <w:pPr>
        <w:ind w:left="1987" w:hanging="548"/>
      </w:pPr>
      <w:rPr>
        <w:rFonts w:ascii="Arial" w:eastAsia="Arial" w:hAnsi="Arial" w:cs="Arial" w:hint="default"/>
        <w:spacing w:val="-1"/>
        <w:w w:val="99"/>
        <w:sz w:val="20"/>
        <w:szCs w:val="20"/>
        <w:lang w:val="en-US" w:eastAsia="en-US" w:bidi="en-US"/>
      </w:rPr>
    </w:lvl>
    <w:lvl w:ilvl="1" w:tplc="96907D00">
      <w:start w:val="1"/>
      <w:numFmt w:val="lowerLetter"/>
      <w:lvlText w:val="(%2)"/>
      <w:lvlJc w:val="left"/>
      <w:pPr>
        <w:ind w:left="2534" w:hanging="548"/>
      </w:pPr>
      <w:rPr>
        <w:spacing w:val="-1"/>
        <w:w w:val="99"/>
        <w:lang w:val="en-US" w:eastAsia="en-US" w:bidi="en-US"/>
      </w:rPr>
    </w:lvl>
    <w:lvl w:ilvl="2" w:tplc="E45E6D5C">
      <w:start w:val="1"/>
      <w:numFmt w:val="lowerRoman"/>
      <w:lvlText w:val="(%3)"/>
      <w:lvlJc w:val="left"/>
      <w:pPr>
        <w:ind w:left="3081" w:hanging="548"/>
      </w:pPr>
      <w:rPr>
        <w:rFonts w:ascii="Arial" w:eastAsia="Arial" w:hAnsi="Arial" w:cs="Arial" w:hint="default"/>
        <w:spacing w:val="-1"/>
        <w:w w:val="99"/>
        <w:sz w:val="20"/>
        <w:szCs w:val="20"/>
        <w:lang w:val="en-US" w:eastAsia="en-US" w:bidi="en-US"/>
      </w:rPr>
    </w:lvl>
    <w:lvl w:ilvl="3" w:tplc="E1AE8DF8">
      <w:numFmt w:val="bullet"/>
      <w:lvlText w:val="•"/>
      <w:lvlJc w:val="left"/>
      <w:pPr>
        <w:ind w:left="3080" w:hanging="548"/>
      </w:pPr>
      <w:rPr>
        <w:lang w:val="en-US" w:eastAsia="en-US" w:bidi="en-US"/>
      </w:rPr>
    </w:lvl>
    <w:lvl w:ilvl="4" w:tplc="D9B6A5F0">
      <w:numFmt w:val="bullet"/>
      <w:lvlText w:val="•"/>
      <w:lvlJc w:val="left"/>
      <w:pPr>
        <w:ind w:left="4331" w:hanging="548"/>
      </w:pPr>
      <w:rPr>
        <w:lang w:val="en-US" w:eastAsia="en-US" w:bidi="en-US"/>
      </w:rPr>
    </w:lvl>
    <w:lvl w:ilvl="5" w:tplc="8C949180">
      <w:numFmt w:val="bullet"/>
      <w:lvlText w:val="•"/>
      <w:lvlJc w:val="left"/>
      <w:pPr>
        <w:ind w:left="5582" w:hanging="548"/>
      </w:pPr>
      <w:rPr>
        <w:lang w:val="en-US" w:eastAsia="en-US" w:bidi="en-US"/>
      </w:rPr>
    </w:lvl>
    <w:lvl w:ilvl="6" w:tplc="7D0A89D2">
      <w:numFmt w:val="bullet"/>
      <w:lvlText w:val="•"/>
      <w:lvlJc w:val="left"/>
      <w:pPr>
        <w:ind w:left="6834" w:hanging="548"/>
      </w:pPr>
      <w:rPr>
        <w:lang w:val="en-US" w:eastAsia="en-US" w:bidi="en-US"/>
      </w:rPr>
    </w:lvl>
    <w:lvl w:ilvl="7" w:tplc="9ED4C44C">
      <w:numFmt w:val="bullet"/>
      <w:lvlText w:val="•"/>
      <w:lvlJc w:val="left"/>
      <w:pPr>
        <w:ind w:left="8085" w:hanging="548"/>
      </w:pPr>
      <w:rPr>
        <w:lang w:val="en-US" w:eastAsia="en-US" w:bidi="en-US"/>
      </w:rPr>
    </w:lvl>
    <w:lvl w:ilvl="8" w:tplc="0EC0261E">
      <w:numFmt w:val="bullet"/>
      <w:lvlText w:val="•"/>
      <w:lvlJc w:val="left"/>
      <w:pPr>
        <w:ind w:left="9337" w:hanging="548"/>
      </w:pPr>
      <w:rPr>
        <w:lang w:val="en-US" w:eastAsia="en-US" w:bidi="en-US"/>
      </w:rPr>
    </w:lvl>
  </w:abstractNum>
  <w:abstractNum w:abstractNumId="40">
    <w:nsid w:val="2D0A25B8"/>
    <w:multiLevelType w:val="hybridMultilevel"/>
    <w:tmpl w:val="7AA812B2"/>
    <w:lvl w:ilvl="0" w:tplc="9C667222">
      <w:start w:val="1"/>
      <w:numFmt w:val="lowerRoman"/>
      <w:lvlText w:val="(%1) "/>
      <w:lvlJc w:val="center"/>
      <w:pPr>
        <w:ind w:left="1790" w:hanging="360"/>
      </w:pPr>
      <w:rPr>
        <w:lang w:val="pt-BR"/>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2D2B0DD7"/>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30E162BD"/>
    <w:multiLevelType w:val="hybridMultilevel"/>
    <w:tmpl w:val="6428BBB8"/>
    <w:lvl w:ilvl="0" w:tplc="1D163F34">
      <w:start w:val="3"/>
      <w:numFmt w:val="lowerRoman"/>
      <w:lvlText w:val="(%1)"/>
      <w:lvlJc w:val="left"/>
      <w:pPr>
        <w:ind w:left="3081" w:hanging="548"/>
      </w:pPr>
      <w:rPr>
        <w:spacing w:val="-1"/>
        <w:w w:val="99"/>
        <w:u w:val="single" w:color="000000"/>
        <w:lang w:val="en-US" w:eastAsia="en-US" w:bidi="en-US"/>
      </w:rPr>
    </w:lvl>
    <w:lvl w:ilvl="1" w:tplc="06EAB382">
      <w:numFmt w:val="bullet"/>
      <w:lvlText w:val="•"/>
      <w:lvlJc w:val="left"/>
      <w:pPr>
        <w:ind w:left="3956" w:hanging="548"/>
      </w:pPr>
      <w:rPr>
        <w:lang w:val="en-US" w:eastAsia="en-US" w:bidi="en-US"/>
      </w:rPr>
    </w:lvl>
    <w:lvl w:ilvl="2" w:tplc="2C2CF8AA">
      <w:numFmt w:val="bullet"/>
      <w:lvlText w:val="•"/>
      <w:lvlJc w:val="left"/>
      <w:pPr>
        <w:ind w:left="4832" w:hanging="548"/>
      </w:pPr>
      <w:rPr>
        <w:lang w:val="en-US" w:eastAsia="en-US" w:bidi="en-US"/>
      </w:rPr>
    </w:lvl>
    <w:lvl w:ilvl="3" w:tplc="4E9AF254">
      <w:numFmt w:val="bullet"/>
      <w:lvlText w:val="•"/>
      <w:lvlJc w:val="left"/>
      <w:pPr>
        <w:ind w:left="5708" w:hanging="548"/>
      </w:pPr>
      <w:rPr>
        <w:lang w:val="en-US" w:eastAsia="en-US" w:bidi="en-US"/>
      </w:rPr>
    </w:lvl>
    <w:lvl w:ilvl="4" w:tplc="2B4C5024">
      <w:numFmt w:val="bullet"/>
      <w:lvlText w:val="•"/>
      <w:lvlJc w:val="left"/>
      <w:pPr>
        <w:ind w:left="6584" w:hanging="548"/>
      </w:pPr>
      <w:rPr>
        <w:lang w:val="en-US" w:eastAsia="en-US" w:bidi="en-US"/>
      </w:rPr>
    </w:lvl>
    <w:lvl w:ilvl="5" w:tplc="CF5475BA">
      <w:numFmt w:val="bullet"/>
      <w:lvlText w:val="•"/>
      <w:lvlJc w:val="left"/>
      <w:pPr>
        <w:ind w:left="7460" w:hanging="548"/>
      </w:pPr>
      <w:rPr>
        <w:lang w:val="en-US" w:eastAsia="en-US" w:bidi="en-US"/>
      </w:rPr>
    </w:lvl>
    <w:lvl w:ilvl="6" w:tplc="021E89BE">
      <w:numFmt w:val="bullet"/>
      <w:lvlText w:val="•"/>
      <w:lvlJc w:val="left"/>
      <w:pPr>
        <w:ind w:left="8336" w:hanging="548"/>
      </w:pPr>
      <w:rPr>
        <w:lang w:val="en-US" w:eastAsia="en-US" w:bidi="en-US"/>
      </w:rPr>
    </w:lvl>
    <w:lvl w:ilvl="7" w:tplc="AF6647AA">
      <w:numFmt w:val="bullet"/>
      <w:lvlText w:val="•"/>
      <w:lvlJc w:val="left"/>
      <w:pPr>
        <w:ind w:left="9212" w:hanging="548"/>
      </w:pPr>
      <w:rPr>
        <w:lang w:val="en-US" w:eastAsia="en-US" w:bidi="en-US"/>
      </w:rPr>
    </w:lvl>
    <w:lvl w:ilvl="8" w:tplc="9D904F52">
      <w:numFmt w:val="bullet"/>
      <w:lvlText w:val="•"/>
      <w:lvlJc w:val="left"/>
      <w:pPr>
        <w:ind w:left="10088" w:hanging="548"/>
      </w:pPr>
      <w:rPr>
        <w:lang w:val="en-US" w:eastAsia="en-US" w:bidi="en-US"/>
      </w:rPr>
    </w:lvl>
  </w:abstractNum>
  <w:abstractNum w:abstractNumId="43">
    <w:nsid w:val="31332C2A"/>
    <w:multiLevelType w:val="hybridMultilevel"/>
    <w:tmpl w:val="18EC776C"/>
    <w:lvl w:ilvl="0" w:tplc="037266C4">
      <w:start w:val="1"/>
      <w:numFmt w:val="lowerLetter"/>
      <w:lvlText w:val="(%1)"/>
      <w:lvlJc w:val="left"/>
      <w:pPr>
        <w:ind w:left="2534" w:hanging="548"/>
      </w:pPr>
      <w:rPr>
        <w:spacing w:val="-1"/>
        <w:w w:val="99"/>
        <w:u w:val="single" w:color="000000"/>
        <w:lang w:val="en-US" w:eastAsia="en-US" w:bidi="en-US"/>
      </w:rPr>
    </w:lvl>
    <w:lvl w:ilvl="1" w:tplc="FCB8C11A">
      <w:numFmt w:val="bullet"/>
      <w:lvlText w:val="•"/>
      <w:lvlJc w:val="left"/>
      <w:pPr>
        <w:ind w:left="3470" w:hanging="548"/>
      </w:pPr>
      <w:rPr>
        <w:lang w:val="en-US" w:eastAsia="en-US" w:bidi="en-US"/>
      </w:rPr>
    </w:lvl>
    <w:lvl w:ilvl="2" w:tplc="B574B916">
      <w:numFmt w:val="bullet"/>
      <w:lvlText w:val="•"/>
      <w:lvlJc w:val="left"/>
      <w:pPr>
        <w:ind w:left="4400" w:hanging="548"/>
      </w:pPr>
      <w:rPr>
        <w:lang w:val="en-US" w:eastAsia="en-US" w:bidi="en-US"/>
      </w:rPr>
    </w:lvl>
    <w:lvl w:ilvl="3" w:tplc="16808F2C">
      <w:numFmt w:val="bullet"/>
      <w:lvlText w:val="•"/>
      <w:lvlJc w:val="left"/>
      <w:pPr>
        <w:ind w:left="5330" w:hanging="548"/>
      </w:pPr>
      <w:rPr>
        <w:lang w:val="en-US" w:eastAsia="en-US" w:bidi="en-US"/>
      </w:rPr>
    </w:lvl>
    <w:lvl w:ilvl="4" w:tplc="34922826">
      <w:numFmt w:val="bullet"/>
      <w:lvlText w:val="•"/>
      <w:lvlJc w:val="left"/>
      <w:pPr>
        <w:ind w:left="6260" w:hanging="548"/>
      </w:pPr>
      <w:rPr>
        <w:lang w:val="en-US" w:eastAsia="en-US" w:bidi="en-US"/>
      </w:rPr>
    </w:lvl>
    <w:lvl w:ilvl="5" w:tplc="91785398">
      <w:numFmt w:val="bullet"/>
      <w:lvlText w:val="•"/>
      <w:lvlJc w:val="left"/>
      <w:pPr>
        <w:ind w:left="7190" w:hanging="548"/>
      </w:pPr>
      <w:rPr>
        <w:lang w:val="en-US" w:eastAsia="en-US" w:bidi="en-US"/>
      </w:rPr>
    </w:lvl>
    <w:lvl w:ilvl="6" w:tplc="3FBA364E">
      <w:numFmt w:val="bullet"/>
      <w:lvlText w:val="•"/>
      <w:lvlJc w:val="left"/>
      <w:pPr>
        <w:ind w:left="8120" w:hanging="548"/>
      </w:pPr>
      <w:rPr>
        <w:lang w:val="en-US" w:eastAsia="en-US" w:bidi="en-US"/>
      </w:rPr>
    </w:lvl>
    <w:lvl w:ilvl="7" w:tplc="A5CAC1AC">
      <w:numFmt w:val="bullet"/>
      <w:lvlText w:val="•"/>
      <w:lvlJc w:val="left"/>
      <w:pPr>
        <w:ind w:left="9050" w:hanging="548"/>
      </w:pPr>
      <w:rPr>
        <w:lang w:val="en-US" w:eastAsia="en-US" w:bidi="en-US"/>
      </w:rPr>
    </w:lvl>
    <w:lvl w:ilvl="8" w:tplc="73889516">
      <w:numFmt w:val="bullet"/>
      <w:lvlText w:val="•"/>
      <w:lvlJc w:val="left"/>
      <w:pPr>
        <w:ind w:left="9980" w:hanging="548"/>
      </w:pPr>
      <w:rPr>
        <w:lang w:val="en-US" w:eastAsia="en-US" w:bidi="en-US"/>
      </w:rPr>
    </w:lvl>
  </w:abstractNum>
  <w:abstractNum w:abstractNumId="44">
    <w:nsid w:val="3361451C"/>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nsid w:val="339102F8"/>
    <w:multiLevelType w:val="hybridMultilevel"/>
    <w:tmpl w:val="413046CE"/>
    <w:lvl w:ilvl="0" w:tplc="99E45934">
      <w:start w:val="1"/>
      <w:numFmt w:val="lowerLetter"/>
      <w:lvlText w:val="(%1)"/>
      <w:lvlJc w:val="left"/>
      <w:pPr>
        <w:ind w:left="2534" w:hanging="548"/>
      </w:pPr>
      <w:rPr>
        <w:spacing w:val="-1"/>
        <w:w w:val="99"/>
        <w:u w:val="single" w:color="000000"/>
        <w:lang w:val="en-US" w:eastAsia="en-US" w:bidi="en-US"/>
      </w:rPr>
    </w:lvl>
    <w:lvl w:ilvl="1" w:tplc="884425D4">
      <w:start w:val="1"/>
      <w:numFmt w:val="lowerRoman"/>
      <w:lvlText w:val="(%2)"/>
      <w:lvlJc w:val="left"/>
      <w:pPr>
        <w:ind w:left="3081" w:hanging="548"/>
      </w:pPr>
      <w:rPr>
        <w:spacing w:val="-1"/>
        <w:w w:val="99"/>
        <w:u w:val="single" w:color="000000"/>
        <w:lang w:val="en-US" w:eastAsia="en-US" w:bidi="en-US"/>
      </w:rPr>
    </w:lvl>
    <w:lvl w:ilvl="2" w:tplc="AF443C32">
      <w:numFmt w:val="bullet"/>
      <w:lvlText w:val="•"/>
      <w:lvlJc w:val="left"/>
      <w:pPr>
        <w:ind w:left="4053" w:hanging="548"/>
      </w:pPr>
      <w:rPr>
        <w:lang w:val="en-US" w:eastAsia="en-US" w:bidi="en-US"/>
      </w:rPr>
    </w:lvl>
    <w:lvl w:ilvl="3" w:tplc="C8584FE8">
      <w:numFmt w:val="bullet"/>
      <w:lvlText w:val="•"/>
      <w:lvlJc w:val="left"/>
      <w:pPr>
        <w:ind w:left="5026" w:hanging="548"/>
      </w:pPr>
      <w:rPr>
        <w:lang w:val="en-US" w:eastAsia="en-US" w:bidi="en-US"/>
      </w:rPr>
    </w:lvl>
    <w:lvl w:ilvl="4" w:tplc="DB54E13A">
      <w:numFmt w:val="bullet"/>
      <w:lvlText w:val="•"/>
      <w:lvlJc w:val="left"/>
      <w:pPr>
        <w:ind w:left="6000" w:hanging="548"/>
      </w:pPr>
      <w:rPr>
        <w:lang w:val="en-US" w:eastAsia="en-US" w:bidi="en-US"/>
      </w:rPr>
    </w:lvl>
    <w:lvl w:ilvl="5" w:tplc="0646F93C">
      <w:numFmt w:val="bullet"/>
      <w:lvlText w:val="•"/>
      <w:lvlJc w:val="left"/>
      <w:pPr>
        <w:ind w:left="6973" w:hanging="548"/>
      </w:pPr>
      <w:rPr>
        <w:lang w:val="en-US" w:eastAsia="en-US" w:bidi="en-US"/>
      </w:rPr>
    </w:lvl>
    <w:lvl w:ilvl="6" w:tplc="2FAAE26A">
      <w:numFmt w:val="bullet"/>
      <w:lvlText w:val="•"/>
      <w:lvlJc w:val="left"/>
      <w:pPr>
        <w:ind w:left="7946" w:hanging="548"/>
      </w:pPr>
      <w:rPr>
        <w:lang w:val="en-US" w:eastAsia="en-US" w:bidi="en-US"/>
      </w:rPr>
    </w:lvl>
    <w:lvl w:ilvl="7" w:tplc="B4F0E86E">
      <w:numFmt w:val="bullet"/>
      <w:lvlText w:val="•"/>
      <w:lvlJc w:val="left"/>
      <w:pPr>
        <w:ind w:left="8920" w:hanging="548"/>
      </w:pPr>
      <w:rPr>
        <w:lang w:val="en-US" w:eastAsia="en-US" w:bidi="en-US"/>
      </w:rPr>
    </w:lvl>
    <w:lvl w:ilvl="8" w:tplc="44C230CE">
      <w:numFmt w:val="bullet"/>
      <w:lvlText w:val="•"/>
      <w:lvlJc w:val="left"/>
      <w:pPr>
        <w:ind w:left="9893" w:hanging="548"/>
      </w:pPr>
      <w:rPr>
        <w:lang w:val="en-US" w:eastAsia="en-US" w:bidi="en-US"/>
      </w:rPr>
    </w:lvl>
  </w:abstractNum>
  <w:abstractNum w:abstractNumId="46">
    <w:nsid w:val="37492CD2"/>
    <w:multiLevelType w:val="hybridMultilevel"/>
    <w:tmpl w:val="57A6EBB6"/>
    <w:lvl w:ilvl="0" w:tplc="68A267C0">
      <w:start w:val="1"/>
      <w:numFmt w:val="lowerLetter"/>
      <w:lvlText w:val="(%1)"/>
      <w:lvlJc w:val="left"/>
      <w:pPr>
        <w:ind w:left="1987" w:hanging="548"/>
      </w:pPr>
      <w:rPr>
        <w:spacing w:val="-1"/>
        <w:w w:val="99"/>
        <w:u w:val="single" w:color="000000"/>
        <w:lang w:val="en-US" w:eastAsia="en-US" w:bidi="en-US"/>
      </w:rPr>
    </w:lvl>
    <w:lvl w:ilvl="1" w:tplc="A738AB9A">
      <w:start w:val="1"/>
      <w:numFmt w:val="lowerRoman"/>
      <w:lvlText w:val="(%2)"/>
      <w:lvlJc w:val="left"/>
      <w:pPr>
        <w:ind w:left="3081" w:hanging="548"/>
      </w:pPr>
      <w:rPr>
        <w:spacing w:val="-1"/>
        <w:w w:val="99"/>
        <w:u w:val="single" w:color="000000"/>
        <w:lang w:val="en-US" w:eastAsia="en-US" w:bidi="en-US"/>
      </w:rPr>
    </w:lvl>
    <w:lvl w:ilvl="2" w:tplc="C634343A">
      <w:numFmt w:val="bullet"/>
      <w:lvlText w:val="•"/>
      <w:lvlJc w:val="left"/>
      <w:pPr>
        <w:ind w:left="4053" w:hanging="548"/>
      </w:pPr>
      <w:rPr>
        <w:lang w:val="en-US" w:eastAsia="en-US" w:bidi="en-US"/>
      </w:rPr>
    </w:lvl>
    <w:lvl w:ilvl="3" w:tplc="EACAE76E">
      <w:numFmt w:val="bullet"/>
      <w:lvlText w:val="•"/>
      <w:lvlJc w:val="left"/>
      <w:pPr>
        <w:ind w:left="5026" w:hanging="548"/>
      </w:pPr>
      <w:rPr>
        <w:lang w:val="en-US" w:eastAsia="en-US" w:bidi="en-US"/>
      </w:rPr>
    </w:lvl>
    <w:lvl w:ilvl="4" w:tplc="E9E238BE">
      <w:numFmt w:val="bullet"/>
      <w:lvlText w:val="•"/>
      <w:lvlJc w:val="left"/>
      <w:pPr>
        <w:ind w:left="6000" w:hanging="548"/>
      </w:pPr>
      <w:rPr>
        <w:lang w:val="en-US" w:eastAsia="en-US" w:bidi="en-US"/>
      </w:rPr>
    </w:lvl>
    <w:lvl w:ilvl="5" w:tplc="2FF2CC04">
      <w:numFmt w:val="bullet"/>
      <w:lvlText w:val="•"/>
      <w:lvlJc w:val="left"/>
      <w:pPr>
        <w:ind w:left="6973" w:hanging="548"/>
      </w:pPr>
      <w:rPr>
        <w:lang w:val="en-US" w:eastAsia="en-US" w:bidi="en-US"/>
      </w:rPr>
    </w:lvl>
    <w:lvl w:ilvl="6" w:tplc="54A82FCE">
      <w:numFmt w:val="bullet"/>
      <w:lvlText w:val="•"/>
      <w:lvlJc w:val="left"/>
      <w:pPr>
        <w:ind w:left="7946" w:hanging="548"/>
      </w:pPr>
      <w:rPr>
        <w:lang w:val="en-US" w:eastAsia="en-US" w:bidi="en-US"/>
      </w:rPr>
    </w:lvl>
    <w:lvl w:ilvl="7" w:tplc="47A026B0">
      <w:numFmt w:val="bullet"/>
      <w:lvlText w:val="•"/>
      <w:lvlJc w:val="left"/>
      <w:pPr>
        <w:ind w:left="8920" w:hanging="548"/>
      </w:pPr>
      <w:rPr>
        <w:lang w:val="en-US" w:eastAsia="en-US" w:bidi="en-US"/>
      </w:rPr>
    </w:lvl>
    <w:lvl w:ilvl="8" w:tplc="B09CC466">
      <w:numFmt w:val="bullet"/>
      <w:lvlText w:val="•"/>
      <w:lvlJc w:val="left"/>
      <w:pPr>
        <w:ind w:left="9893" w:hanging="548"/>
      </w:pPr>
      <w:rPr>
        <w:lang w:val="en-US" w:eastAsia="en-US" w:bidi="en-US"/>
      </w:rPr>
    </w:lvl>
  </w:abstractNum>
  <w:abstractNum w:abstractNumId="47">
    <w:nsid w:val="37822A1F"/>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nsid w:val="3CFE2A26"/>
    <w:multiLevelType w:val="hybridMultilevel"/>
    <w:tmpl w:val="8162F1E8"/>
    <w:lvl w:ilvl="0" w:tplc="F4E6E622">
      <w:start w:val="1"/>
      <w:numFmt w:val="lowerLetter"/>
      <w:lvlText w:val="(%1)"/>
      <w:lvlJc w:val="left"/>
      <w:pPr>
        <w:ind w:left="2520" w:hanging="541"/>
      </w:pPr>
      <w:rPr>
        <w:spacing w:val="-1"/>
        <w:w w:val="99"/>
        <w:u w:val="single" w:color="000000"/>
        <w:lang w:val="en-US" w:eastAsia="en-US" w:bidi="en-US"/>
      </w:rPr>
    </w:lvl>
    <w:lvl w:ilvl="1" w:tplc="3452B7EE">
      <w:numFmt w:val="bullet"/>
      <w:lvlText w:val="•"/>
      <w:lvlJc w:val="left"/>
      <w:pPr>
        <w:ind w:left="3452" w:hanging="541"/>
      </w:pPr>
      <w:rPr>
        <w:lang w:val="en-US" w:eastAsia="en-US" w:bidi="en-US"/>
      </w:rPr>
    </w:lvl>
    <w:lvl w:ilvl="2" w:tplc="A4B09836">
      <w:numFmt w:val="bullet"/>
      <w:lvlText w:val="•"/>
      <w:lvlJc w:val="left"/>
      <w:pPr>
        <w:ind w:left="4384" w:hanging="541"/>
      </w:pPr>
      <w:rPr>
        <w:lang w:val="en-US" w:eastAsia="en-US" w:bidi="en-US"/>
      </w:rPr>
    </w:lvl>
    <w:lvl w:ilvl="3" w:tplc="F46EE6C4">
      <w:numFmt w:val="bullet"/>
      <w:lvlText w:val="•"/>
      <w:lvlJc w:val="left"/>
      <w:pPr>
        <w:ind w:left="5316" w:hanging="541"/>
      </w:pPr>
      <w:rPr>
        <w:lang w:val="en-US" w:eastAsia="en-US" w:bidi="en-US"/>
      </w:rPr>
    </w:lvl>
    <w:lvl w:ilvl="4" w:tplc="A21CABC6">
      <w:numFmt w:val="bullet"/>
      <w:lvlText w:val="•"/>
      <w:lvlJc w:val="left"/>
      <w:pPr>
        <w:ind w:left="6248" w:hanging="541"/>
      </w:pPr>
      <w:rPr>
        <w:lang w:val="en-US" w:eastAsia="en-US" w:bidi="en-US"/>
      </w:rPr>
    </w:lvl>
    <w:lvl w:ilvl="5" w:tplc="7C88C964">
      <w:numFmt w:val="bullet"/>
      <w:lvlText w:val="•"/>
      <w:lvlJc w:val="left"/>
      <w:pPr>
        <w:ind w:left="7180" w:hanging="541"/>
      </w:pPr>
      <w:rPr>
        <w:lang w:val="en-US" w:eastAsia="en-US" w:bidi="en-US"/>
      </w:rPr>
    </w:lvl>
    <w:lvl w:ilvl="6" w:tplc="9F1ED272">
      <w:numFmt w:val="bullet"/>
      <w:lvlText w:val="•"/>
      <w:lvlJc w:val="left"/>
      <w:pPr>
        <w:ind w:left="8112" w:hanging="541"/>
      </w:pPr>
      <w:rPr>
        <w:lang w:val="en-US" w:eastAsia="en-US" w:bidi="en-US"/>
      </w:rPr>
    </w:lvl>
    <w:lvl w:ilvl="7" w:tplc="E58EF8AC">
      <w:numFmt w:val="bullet"/>
      <w:lvlText w:val="•"/>
      <w:lvlJc w:val="left"/>
      <w:pPr>
        <w:ind w:left="9044" w:hanging="541"/>
      </w:pPr>
      <w:rPr>
        <w:lang w:val="en-US" w:eastAsia="en-US" w:bidi="en-US"/>
      </w:rPr>
    </w:lvl>
    <w:lvl w:ilvl="8" w:tplc="9AF2C562">
      <w:numFmt w:val="bullet"/>
      <w:lvlText w:val="•"/>
      <w:lvlJc w:val="left"/>
      <w:pPr>
        <w:ind w:left="9976" w:hanging="541"/>
      </w:pPr>
      <w:rPr>
        <w:lang w:val="en-US" w:eastAsia="en-US" w:bidi="en-US"/>
      </w:rPr>
    </w:lvl>
  </w:abstractNum>
  <w:abstractNum w:abstractNumId="49">
    <w:nsid w:val="44E66596"/>
    <w:multiLevelType w:val="hybridMultilevel"/>
    <w:tmpl w:val="FDC041A4"/>
    <w:lvl w:ilvl="0" w:tplc="92900C62">
      <w:start w:val="1"/>
      <w:numFmt w:val="lowerLetter"/>
      <w:lvlText w:val="(%1)"/>
      <w:lvlJc w:val="left"/>
      <w:pPr>
        <w:ind w:left="1987" w:hanging="548"/>
      </w:pPr>
      <w:rPr>
        <w:spacing w:val="-1"/>
        <w:w w:val="99"/>
        <w:u w:val="single" w:color="000000"/>
        <w:lang w:val="en-US" w:eastAsia="en-US" w:bidi="en-US"/>
      </w:rPr>
    </w:lvl>
    <w:lvl w:ilvl="1" w:tplc="767C0A94">
      <w:start w:val="1"/>
      <w:numFmt w:val="lowerLetter"/>
      <w:lvlText w:val="(%2)"/>
      <w:lvlJc w:val="left"/>
      <w:pPr>
        <w:ind w:left="2707" w:hanging="548"/>
      </w:pPr>
      <w:rPr>
        <w:strike/>
        <w:spacing w:val="-1"/>
        <w:w w:val="99"/>
        <w:lang w:val="en-US" w:eastAsia="en-US" w:bidi="en-US"/>
      </w:rPr>
    </w:lvl>
    <w:lvl w:ilvl="2" w:tplc="33A6B5FA">
      <w:numFmt w:val="bullet"/>
      <w:lvlText w:val="•"/>
      <w:lvlJc w:val="left"/>
      <w:pPr>
        <w:ind w:left="3715" w:hanging="548"/>
      </w:pPr>
      <w:rPr>
        <w:lang w:val="en-US" w:eastAsia="en-US" w:bidi="en-US"/>
      </w:rPr>
    </w:lvl>
    <w:lvl w:ilvl="3" w:tplc="DF44C48A">
      <w:numFmt w:val="bullet"/>
      <w:lvlText w:val="•"/>
      <w:lvlJc w:val="left"/>
      <w:pPr>
        <w:ind w:left="4731" w:hanging="548"/>
      </w:pPr>
      <w:rPr>
        <w:lang w:val="en-US" w:eastAsia="en-US" w:bidi="en-US"/>
      </w:rPr>
    </w:lvl>
    <w:lvl w:ilvl="4" w:tplc="7E64307E">
      <w:numFmt w:val="bullet"/>
      <w:lvlText w:val="•"/>
      <w:lvlJc w:val="left"/>
      <w:pPr>
        <w:ind w:left="5746" w:hanging="548"/>
      </w:pPr>
      <w:rPr>
        <w:lang w:val="en-US" w:eastAsia="en-US" w:bidi="en-US"/>
      </w:rPr>
    </w:lvl>
    <w:lvl w:ilvl="5" w:tplc="9A0C47D2">
      <w:numFmt w:val="bullet"/>
      <w:lvlText w:val="•"/>
      <w:lvlJc w:val="left"/>
      <w:pPr>
        <w:ind w:left="6762" w:hanging="548"/>
      </w:pPr>
      <w:rPr>
        <w:lang w:val="en-US" w:eastAsia="en-US" w:bidi="en-US"/>
      </w:rPr>
    </w:lvl>
    <w:lvl w:ilvl="6" w:tplc="B87CFF14">
      <w:numFmt w:val="bullet"/>
      <w:lvlText w:val="•"/>
      <w:lvlJc w:val="left"/>
      <w:pPr>
        <w:ind w:left="7777" w:hanging="548"/>
      </w:pPr>
      <w:rPr>
        <w:lang w:val="en-US" w:eastAsia="en-US" w:bidi="en-US"/>
      </w:rPr>
    </w:lvl>
    <w:lvl w:ilvl="7" w:tplc="6AA231A2">
      <w:numFmt w:val="bullet"/>
      <w:lvlText w:val="•"/>
      <w:lvlJc w:val="left"/>
      <w:pPr>
        <w:ind w:left="8793" w:hanging="548"/>
      </w:pPr>
      <w:rPr>
        <w:lang w:val="en-US" w:eastAsia="en-US" w:bidi="en-US"/>
      </w:rPr>
    </w:lvl>
    <w:lvl w:ilvl="8" w:tplc="7AF450A8">
      <w:numFmt w:val="bullet"/>
      <w:lvlText w:val="•"/>
      <w:lvlJc w:val="left"/>
      <w:pPr>
        <w:ind w:left="9808" w:hanging="548"/>
      </w:pPr>
      <w:rPr>
        <w:lang w:val="en-US" w:eastAsia="en-US" w:bidi="en-US"/>
      </w:rPr>
    </w:lvl>
  </w:abstractNum>
  <w:abstractNum w:abstractNumId="50">
    <w:nsid w:val="46AC6637"/>
    <w:multiLevelType w:val="hybridMultilevel"/>
    <w:tmpl w:val="2B583F6C"/>
    <w:lvl w:ilvl="0" w:tplc="68420D18">
      <w:start w:val="1"/>
      <w:numFmt w:val="lowerLetter"/>
      <w:lvlText w:val="(%1)"/>
      <w:lvlJc w:val="left"/>
      <w:pPr>
        <w:ind w:left="2534" w:hanging="548"/>
      </w:pPr>
      <w:rPr>
        <w:spacing w:val="-1"/>
        <w:w w:val="99"/>
        <w:u w:val="single" w:color="000000"/>
        <w:lang w:val="en-US" w:eastAsia="en-US" w:bidi="en-US"/>
      </w:rPr>
    </w:lvl>
    <w:lvl w:ilvl="1" w:tplc="AC829388">
      <w:numFmt w:val="bullet"/>
      <w:lvlText w:val="•"/>
      <w:lvlJc w:val="left"/>
      <w:pPr>
        <w:ind w:left="3470" w:hanging="548"/>
      </w:pPr>
      <w:rPr>
        <w:lang w:val="en-US" w:eastAsia="en-US" w:bidi="en-US"/>
      </w:rPr>
    </w:lvl>
    <w:lvl w:ilvl="2" w:tplc="4E440770">
      <w:numFmt w:val="bullet"/>
      <w:lvlText w:val="•"/>
      <w:lvlJc w:val="left"/>
      <w:pPr>
        <w:ind w:left="4400" w:hanging="548"/>
      </w:pPr>
      <w:rPr>
        <w:lang w:val="en-US" w:eastAsia="en-US" w:bidi="en-US"/>
      </w:rPr>
    </w:lvl>
    <w:lvl w:ilvl="3" w:tplc="D652CA80">
      <w:numFmt w:val="bullet"/>
      <w:lvlText w:val="•"/>
      <w:lvlJc w:val="left"/>
      <w:pPr>
        <w:ind w:left="5330" w:hanging="548"/>
      </w:pPr>
      <w:rPr>
        <w:lang w:val="en-US" w:eastAsia="en-US" w:bidi="en-US"/>
      </w:rPr>
    </w:lvl>
    <w:lvl w:ilvl="4" w:tplc="1AF6A264">
      <w:numFmt w:val="bullet"/>
      <w:lvlText w:val="•"/>
      <w:lvlJc w:val="left"/>
      <w:pPr>
        <w:ind w:left="6260" w:hanging="548"/>
      </w:pPr>
      <w:rPr>
        <w:lang w:val="en-US" w:eastAsia="en-US" w:bidi="en-US"/>
      </w:rPr>
    </w:lvl>
    <w:lvl w:ilvl="5" w:tplc="3F6EB808">
      <w:numFmt w:val="bullet"/>
      <w:lvlText w:val="•"/>
      <w:lvlJc w:val="left"/>
      <w:pPr>
        <w:ind w:left="7190" w:hanging="548"/>
      </w:pPr>
      <w:rPr>
        <w:lang w:val="en-US" w:eastAsia="en-US" w:bidi="en-US"/>
      </w:rPr>
    </w:lvl>
    <w:lvl w:ilvl="6" w:tplc="A31AB09A">
      <w:numFmt w:val="bullet"/>
      <w:lvlText w:val="•"/>
      <w:lvlJc w:val="left"/>
      <w:pPr>
        <w:ind w:left="8120" w:hanging="548"/>
      </w:pPr>
      <w:rPr>
        <w:lang w:val="en-US" w:eastAsia="en-US" w:bidi="en-US"/>
      </w:rPr>
    </w:lvl>
    <w:lvl w:ilvl="7" w:tplc="A56EF4BA">
      <w:numFmt w:val="bullet"/>
      <w:lvlText w:val="•"/>
      <w:lvlJc w:val="left"/>
      <w:pPr>
        <w:ind w:left="9050" w:hanging="548"/>
      </w:pPr>
      <w:rPr>
        <w:lang w:val="en-US" w:eastAsia="en-US" w:bidi="en-US"/>
      </w:rPr>
    </w:lvl>
    <w:lvl w:ilvl="8" w:tplc="174638F8">
      <w:numFmt w:val="bullet"/>
      <w:lvlText w:val="•"/>
      <w:lvlJc w:val="left"/>
      <w:pPr>
        <w:ind w:left="9980" w:hanging="548"/>
      </w:pPr>
      <w:rPr>
        <w:lang w:val="en-US" w:eastAsia="en-US" w:bidi="en-US"/>
      </w:rPr>
    </w:lvl>
  </w:abstractNum>
  <w:abstractNum w:abstractNumId="51">
    <w:nsid w:val="47A37E5F"/>
    <w:multiLevelType w:val="hybridMultilevel"/>
    <w:tmpl w:val="C396C5B6"/>
    <w:lvl w:ilvl="0" w:tplc="5A5CEA30">
      <w:start w:val="1"/>
      <w:numFmt w:val="lowerLetter"/>
      <w:lvlText w:val="(%1)"/>
      <w:lvlJc w:val="left"/>
      <w:pPr>
        <w:ind w:left="2534" w:hanging="548"/>
      </w:pPr>
      <w:rPr>
        <w:rFonts w:ascii="Arial" w:eastAsia="Arial" w:hAnsi="Arial" w:cs="Arial" w:hint="default"/>
        <w:spacing w:val="-1"/>
        <w:w w:val="99"/>
        <w:sz w:val="20"/>
        <w:szCs w:val="20"/>
        <w:lang w:val="en-US" w:eastAsia="en-US" w:bidi="en-US"/>
      </w:rPr>
    </w:lvl>
    <w:lvl w:ilvl="1" w:tplc="EEAA7096">
      <w:start w:val="1"/>
      <w:numFmt w:val="lowerRoman"/>
      <w:lvlText w:val="(%2)"/>
      <w:lvlJc w:val="left"/>
      <w:pPr>
        <w:ind w:left="2534" w:hanging="548"/>
      </w:pPr>
      <w:rPr>
        <w:spacing w:val="-1"/>
        <w:w w:val="99"/>
        <w:u w:val="single" w:color="000000"/>
        <w:lang w:val="en-US" w:eastAsia="en-US" w:bidi="en-US"/>
      </w:rPr>
    </w:lvl>
    <w:lvl w:ilvl="2" w:tplc="8E68A9CA">
      <w:numFmt w:val="bullet"/>
      <w:lvlText w:val="•"/>
      <w:lvlJc w:val="left"/>
      <w:pPr>
        <w:ind w:left="4053" w:hanging="548"/>
      </w:pPr>
      <w:rPr>
        <w:lang w:val="en-US" w:eastAsia="en-US" w:bidi="en-US"/>
      </w:rPr>
    </w:lvl>
    <w:lvl w:ilvl="3" w:tplc="1AB04A98">
      <w:numFmt w:val="bullet"/>
      <w:lvlText w:val="•"/>
      <w:lvlJc w:val="left"/>
      <w:pPr>
        <w:ind w:left="5026" w:hanging="548"/>
      </w:pPr>
      <w:rPr>
        <w:lang w:val="en-US" w:eastAsia="en-US" w:bidi="en-US"/>
      </w:rPr>
    </w:lvl>
    <w:lvl w:ilvl="4" w:tplc="3B6AE0C0">
      <w:numFmt w:val="bullet"/>
      <w:lvlText w:val="•"/>
      <w:lvlJc w:val="left"/>
      <w:pPr>
        <w:ind w:left="6000" w:hanging="548"/>
      </w:pPr>
      <w:rPr>
        <w:lang w:val="en-US" w:eastAsia="en-US" w:bidi="en-US"/>
      </w:rPr>
    </w:lvl>
    <w:lvl w:ilvl="5" w:tplc="AE4C31A6">
      <w:numFmt w:val="bullet"/>
      <w:lvlText w:val="•"/>
      <w:lvlJc w:val="left"/>
      <w:pPr>
        <w:ind w:left="6973" w:hanging="548"/>
      </w:pPr>
      <w:rPr>
        <w:lang w:val="en-US" w:eastAsia="en-US" w:bidi="en-US"/>
      </w:rPr>
    </w:lvl>
    <w:lvl w:ilvl="6" w:tplc="F526799E">
      <w:numFmt w:val="bullet"/>
      <w:lvlText w:val="•"/>
      <w:lvlJc w:val="left"/>
      <w:pPr>
        <w:ind w:left="7946" w:hanging="548"/>
      </w:pPr>
      <w:rPr>
        <w:lang w:val="en-US" w:eastAsia="en-US" w:bidi="en-US"/>
      </w:rPr>
    </w:lvl>
    <w:lvl w:ilvl="7" w:tplc="24FE964C">
      <w:numFmt w:val="bullet"/>
      <w:lvlText w:val="•"/>
      <w:lvlJc w:val="left"/>
      <w:pPr>
        <w:ind w:left="8920" w:hanging="548"/>
      </w:pPr>
      <w:rPr>
        <w:lang w:val="en-US" w:eastAsia="en-US" w:bidi="en-US"/>
      </w:rPr>
    </w:lvl>
    <w:lvl w:ilvl="8" w:tplc="67DA9CEA">
      <w:numFmt w:val="bullet"/>
      <w:lvlText w:val="•"/>
      <w:lvlJc w:val="left"/>
      <w:pPr>
        <w:ind w:left="9893" w:hanging="548"/>
      </w:pPr>
      <w:rPr>
        <w:lang w:val="en-US" w:eastAsia="en-US" w:bidi="en-US"/>
      </w:rPr>
    </w:lvl>
  </w:abstractNum>
  <w:abstractNum w:abstractNumId="52">
    <w:nsid w:val="4A3A4B3F"/>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3">
    <w:nsid w:val="4AAA218E"/>
    <w:multiLevelType w:val="hybridMultilevel"/>
    <w:tmpl w:val="E0DCFA9C"/>
    <w:lvl w:ilvl="0" w:tplc="D194C590">
      <w:start w:val="1"/>
      <w:numFmt w:val="lowerLetter"/>
      <w:lvlText w:val="(%1)"/>
      <w:lvlJc w:val="left"/>
      <w:pPr>
        <w:ind w:left="2767" w:hanging="783"/>
      </w:pPr>
      <w:rPr>
        <w:rFonts w:ascii="Arial" w:eastAsia="Arial" w:hAnsi="Arial" w:cs="Arial" w:hint="default"/>
        <w:spacing w:val="-1"/>
        <w:w w:val="99"/>
        <w:sz w:val="20"/>
        <w:szCs w:val="20"/>
        <w:lang w:val="en-US" w:eastAsia="en-US" w:bidi="en-US"/>
      </w:rPr>
    </w:lvl>
    <w:lvl w:ilvl="1" w:tplc="E27C758C">
      <w:numFmt w:val="bullet"/>
      <w:lvlText w:val="•"/>
      <w:lvlJc w:val="left"/>
      <w:pPr>
        <w:ind w:left="3668" w:hanging="783"/>
      </w:pPr>
      <w:rPr>
        <w:lang w:val="en-US" w:eastAsia="en-US" w:bidi="en-US"/>
      </w:rPr>
    </w:lvl>
    <w:lvl w:ilvl="2" w:tplc="EBFEF108">
      <w:numFmt w:val="bullet"/>
      <w:lvlText w:val="•"/>
      <w:lvlJc w:val="left"/>
      <w:pPr>
        <w:ind w:left="4576" w:hanging="783"/>
      </w:pPr>
      <w:rPr>
        <w:lang w:val="en-US" w:eastAsia="en-US" w:bidi="en-US"/>
      </w:rPr>
    </w:lvl>
    <w:lvl w:ilvl="3" w:tplc="403EFC66">
      <w:numFmt w:val="bullet"/>
      <w:lvlText w:val="•"/>
      <w:lvlJc w:val="left"/>
      <w:pPr>
        <w:ind w:left="5484" w:hanging="783"/>
      </w:pPr>
      <w:rPr>
        <w:lang w:val="en-US" w:eastAsia="en-US" w:bidi="en-US"/>
      </w:rPr>
    </w:lvl>
    <w:lvl w:ilvl="4" w:tplc="7390C51E">
      <w:numFmt w:val="bullet"/>
      <w:lvlText w:val="•"/>
      <w:lvlJc w:val="left"/>
      <w:pPr>
        <w:ind w:left="6392" w:hanging="783"/>
      </w:pPr>
      <w:rPr>
        <w:lang w:val="en-US" w:eastAsia="en-US" w:bidi="en-US"/>
      </w:rPr>
    </w:lvl>
    <w:lvl w:ilvl="5" w:tplc="890AC4F8">
      <w:numFmt w:val="bullet"/>
      <w:lvlText w:val="•"/>
      <w:lvlJc w:val="left"/>
      <w:pPr>
        <w:ind w:left="7300" w:hanging="783"/>
      </w:pPr>
      <w:rPr>
        <w:lang w:val="en-US" w:eastAsia="en-US" w:bidi="en-US"/>
      </w:rPr>
    </w:lvl>
    <w:lvl w:ilvl="6" w:tplc="F814AA10">
      <w:numFmt w:val="bullet"/>
      <w:lvlText w:val="•"/>
      <w:lvlJc w:val="left"/>
      <w:pPr>
        <w:ind w:left="8208" w:hanging="783"/>
      </w:pPr>
      <w:rPr>
        <w:lang w:val="en-US" w:eastAsia="en-US" w:bidi="en-US"/>
      </w:rPr>
    </w:lvl>
    <w:lvl w:ilvl="7" w:tplc="D5023084">
      <w:numFmt w:val="bullet"/>
      <w:lvlText w:val="•"/>
      <w:lvlJc w:val="left"/>
      <w:pPr>
        <w:ind w:left="9116" w:hanging="783"/>
      </w:pPr>
      <w:rPr>
        <w:lang w:val="en-US" w:eastAsia="en-US" w:bidi="en-US"/>
      </w:rPr>
    </w:lvl>
    <w:lvl w:ilvl="8" w:tplc="863AD462">
      <w:numFmt w:val="bullet"/>
      <w:lvlText w:val="•"/>
      <w:lvlJc w:val="left"/>
      <w:pPr>
        <w:ind w:left="10024" w:hanging="783"/>
      </w:pPr>
      <w:rPr>
        <w:lang w:val="en-US" w:eastAsia="en-US" w:bidi="en-US"/>
      </w:rPr>
    </w:lvl>
  </w:abstractNum>
  <w:abstractNum w:abstractNumId="54">
    <w:nsid w:val="4B8F6658"/>
    <w:multiLevelType w:val="hybridMultilevel"/>
    <w:tmpl w:val="2AFEAD9A"/>
    <w:lvl w:ilvl="0" w:tplc="7C7C2C2A">
      <w:start w:val="1"/>
      <w:numFmt w:val="lowerLetter"/>
      <w:lvlText w:val="(%1)"/>
      <w:lvlJc w:val="left"/>
      <w:pPr>
        <w:ind w:left="2534" w:hanging="548"/>
      </w:pPr>
      <w:rPr>
        <w:spacing w:val="-1"/>
        <w:w w:val="99"/>
        <w:u w:val="single" w:color="000000"/>
        <w:lang w:val="en-US" w:eastAsia="en-US" w:bidi="en-US"/>
      </w:rPr>
    </w:lvl>
    <w:lvl w:ilvl="1" w:tplc="A42CB538">
      <w:numFmt w:val="bullet"/>
      <w:lvlText w:val="•"/>
      <w:lvlJc w:val="left"/>
      <w:pPr>
        <w:ind w:left="3470" w:hanging="548"/>
      </w:pPr>
      <w:rPr>
        <w:lang w:val="en-US" w:eastAsia="en-US" w:bidi="en-US"/>
      </w:rPr>
    </w:lvl>
    <w:lvl w:ilvl="2" w:tplc="94D2DC54">
      <w:numFmt w:val="bullet"/>
      <w:lvlText w:val="•"/>
      <w:lvlJc w:val="left"/>
      <w:pPr>
        <w:ind w:left="4400" w:hanging="548"/>
      </w:pPr>
      <w:rPr>
        <w:lang w:val="en-US" w:eastAsia="en-US" w:bidi="en-US"/>
      </w:rPr>
    </w:lvl>
    <w:lvl w:ilvl="3" w:tplc="06E01A5E">
      <w:numFmt w:val="bullet"/>
      <w:lvlText w:val="•"/>
      <w:lvlJc w:val="left"/>
      <w:pPr>
        <w:ind w:left="5330" w:hanging="548"/>
      </w:pPr>
      <w:rPr>
        <w:lang w:val="en-US" w:eastAsia="en-US" w:bidi="en-US"/>
      </w:rPr>
    </w:lvl>
    <w:lvl w:ilvl="4" w:tplc="F6DE6D84">
      <w:numFmt w:val="bullet"/>
      <w:lvlText w:val="•"/>
      <w:lvlJc w:val="left"/>
      <w:pPr>
        <w:ind w:left="6260" w:hanging="548"/>
      </w:pPr>
      <w:rPr>
        <w:lang w:val="en-US" w:eastAsia="en-US" w:bidi="en-US"/>
      </w:rPr>
    </w:lvl>
    <w:lvl w:ilvl="5" w:tplc="FEDCDD84">
      <w:numFmt w:val="bullet"/>
      <w:lvlText w:val="•"/>
      <w:lvlJc w:val="left"/>
      <w:pPr>
        <w:ind w:left="7190" w:hanging="548"/>
      </w:pPr>
      <w:rPr>
        <w:lang w:val="en-US" w:eastAsia="en-US" w:bidi="en-US"/>
      </w:rPr>
    </w:lvl>
    <w:lvl w:ilvl="6" w:tplc="8F289AD4">
      <w:numFmt w:val="bullet"/>
      <w:lvlText w:val="•"/>
      <w:lvlJc w:val="left"/>
      <w:pPr>
        <w:ind w:left="8120" w:hanging="548"/>
      </w:pPr>
      <w:rPr>
        <w:lang w:val="en-US" w:eastAsia="en-US" w:bidi="en-US"/>
      </w:rPr>
    </w:lvl>
    <w:lvl w:ilvl="7" w:tplc="51B02D32">
      <w:numFmt w:val="bullet"/>
      <w:lvlText w:val="•"/>
      <w:lvlJc w:val="left"/>
      <w:pPr>
        <w:ind w:left="9050" w:hanging="548"/>
      </w:pPr>
      <w:rPr>
        <w:lang w:val="en-US" w:eastAsia="en-US" w:bidi="en-US"/>
      </w:rPr>
    </w:lvl>
    <w:lvl w:ilvl="8" w:tplc="3798406C">
      <w:numFmt w:val="bullet"/>
      <w:lvlText w:val="•"/>
      <w:lvlJc w:val="left"/>
      <w:pPr>
        <w:ind w:left="9980" w:hanging="548"/>
      </w:pPr>
      <w:rPr>
        <w:lang w:val="en-US" w:eastAsia="en-US" w:bidi="en-US"/>
      </w:rPr>
    </w:lvl>
  </w:abstractNum>
  <w:abstractNum w:abstractNumId="55">
    <w:nsid w:val="4DF916C5"/>
    <w:multiLevelType w:val="hybridMultilevel"/>
    <w:tmpl w:val="03D42548"/>
    <w:lvl w:ilvl="0" w:tplc="9C667222">
      <w:start w:val="1"/>
      <w:numFmt w:val="lowerRoman"/>
      <w:lvlText w:val="(%1) "/>
      <w:lvlJc w:val="center"/>
      <w:pPr>
        <w:tabs>
          <w:tab w:val="num" w:pos="1920"/>
        </w:tabs>
        <w:ind w:left="1920" w:hanging="360"/>
      </w:pPr>
      <w:rPr>
        <w:lang w:val="pt-BR"/>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6">
    <w:nsid w:val="4E054DEB"/>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nsid w:val="4ED57A44"/>
    <w:multiLevelType w:val="hybridMultilevel"/>
    <w:tmpl w:val="91725A82"/>
    <w:lvl w:ilvl="0" w:tplc="A3604408">
      <w:start w:val="1"/>
      <w:numFmt w:val="lowerLetter"/>
      <w:lvlText w:val="(%1)"/>
      <w:lvlJc w:val="left"/>
      <w:pPr>
        <w:ind w:left="2534" w:hanging="548"/>
      </w:pPr>
      <w:rPr>
        <w:spacing w:val="-1"/>
        <w:w w:val="99"/>
        <w:u w:val="single" w:color="000000"/>
        <w:lang w:val="en-US" w:eastAsia="en-US" w:bidi="en-US"/>
      </w:rPr>
    </w:lvl>
    <w:lvl w:ilvl="1" w:tplc="3D0A03B4">
      <w:numFmt w:val="bullet"/>
      <w:lvlText w:val="•"/>
      <w:lvlJc w:val="left"/>
      <w:pPr>
        <w:ind w:left="3470" w:hanging="548"/>
      </w:pPr>
      <w:rPr>
        <w:lang w:val="en-US" w:eastAsia="en-US" w:bidi="en-US"/>
      </w:rPr>
    </w:lvl>
    <w:lvl w:ilvl="2" w:tplc="4C46A1D6">
      <w:numFmt w:val="bullet"/>
      <w:lvlText w:val="•"/>
      <w:lvlJc w:val="left"/>
      <w:pPr>
        <w:ind w:left="4400" w:hanging="548"/>
      </w:pPr>
      <w:rPr>
        <w:lang w:val="en-US" w:eastAsia="en-US" w:bidi="en-US"/>
      </w:rPr>
    </w:lvl>
    <w:lvl w:ilvl="3" w:tplc="1D0CE072">
      <w:numFmt w:val="bullet"/>
      <w:lvlText w:val="•"/>
      <w:lvlJc w:val="left"/>
      <w:pPr>
        <w:ind w:left="5330" w:hanging="548"/>
      </w:pPr>
      <w:rPr>
        <w:lang w:val="en-US" w:eastAsia="en-US" w:bidi="en-US"/>
      </w:rPr>
    </w:lvl>
    <w:lvl w:ilvl="4" w:tplc="08A4EC6E">
      <w:numFmt w:val="bullet"/>
      <w:lvlText w:val="•"/>
      <w:lvlJc w:val="left"/>
      <w:pPr>
        <w:ind w:left="6260" w:hanging="548"/>
      </w:pPr>
      <w:rPr>
        <w:lang w:val="en-US" w:eastAsia="en-US" w:bidi="en-US"/>
      </w:rPr>
    </w:lvl>
    <w:lvl w:ilvl="5" w:tplc="C860A844">
      <w:numFmt w:val="bullet"/>
      <w:lvlText w:val="•"/>
      <w:lvlJc w:val="left"/>
      <w:pPr>
        <w:ind w:left="7190" w:hanging="548"/>
      </w:pPr>
      <w:rPr>
        <w:lang w:val="en-US" w:eastAsia="en-US" w:bidi="en-US"/>
      </w:rPr>
    </w:lvl>
    <w:lvl w:ilvl="6" w:tplc="A15003FA">
      <w:numFmt w:val="bullet"/>
      <w:lvlText w:val="•"/>
      <w:lvlJc w:val="left"/>
      <w:pPr>
        <w:ind w:left="8120" w:hanging="548"/>
      </w:pPr>
      <w:rPr>
        <w:lang w:val="en-US" w:eastAsia="en-US" w:bidi="en-US"/>
      </w:rPr>
    </w:lvl>
    <w:lvl w:ilvl="7" w:tplc="00BC8A10">
      <w:numFmt w:val="bullet"/>
      <w:lvlText w:val="•"/>
      <w:lvlJc w:val="left"/>
      <w:pPr>
        <w:ind w:left="9050" w:hanging="548"/>
      </w:pPr>
      <w:rPr>
        <w:lang w:val="en-US" w:eastAsia="en-US" w:bidi="en-US"/>
      </w:rPr>
    </w:lvl>
    <w:lvl w:ilvl="8" w:tplc="06A42C7E">
      <w:numFmt w:val="bullet"/>
      <w:lvlText w:val="•"/>
      <w:lvlJc w:val="left"/>
      <w:pPr>
        <w:ind w:left="9980" w:hanging="548"/>
      </w:pPr>
      <w:rPr>
        <w:lang w:val="en-US" w:eastAsia="en-US" w:bidi="en-US"/>
      </w:rPr>
    </w:lvl>
  </w:abstractNum>
  <w:abstractNum w:abstractNumId="58">
    <w:nsid w:val="4ED75392"/>
    <w:multiLevelType w:val="hybridMultilevel"/>
    <w:tmpl w:val="A1BE9D48"/>
    <w:lvl w:ilvl="0" w:tplc="862E2C22">
      <w:start w:val="1"/>
      <w:numFmt w:val="lowerLetter"/>
      <w:lvlText w:val="(%1)"/>
      <w:lvlJc w:val="left"/>
      <w:pPr>
        <w:tabs>
          <w:tab w:val="num" w:pos="1353"/>
        </w:tabs>
        <w:ind w:left="1353"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nsid w:val="52416003"/>
    <w:multiLevelType w:val="hybridMultilevel"/>
    <w:tmpl w:val="A1BE9D48"/>
    <w:lvl w:ilvl="0" w:tplc="862E2C22">
      <w:start w:val="1"/>
      <w:numFmt w:val="lowerLetter"/>
      <w:lvlText w:val="(%1)"/>
      <w:lvlJc w:val="left"/>
      <w:pPr>
        <w:tabs>
          <w:tab w:val="num" w:pos="1616"/>
        </w:tabs>
        <w:ind w:left="1616"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0">
    <w:nsid w:val="5708277A"/>
    <w:multiLevelType w:val="hybridMultilevel"/>
    <w:tmpl w:val="44200FA0"/>
    <w:lvl w:ilvl="0" w:tplc="F2A2E2D4">
      <w:start w:val="1"/>
      <w:numFmt w:val="lowerRoman"/>
      <w:lvlText w:val="(%1) "/>
      <w:lvlJc w:val="left"/>
      <w:pPr>
        <w:tabs>
          <w:tab w:val="num" w:pos="1920"/>
        </w:tabs>
        <w:ind w:left="1920" w:hanging="360"/>
      </w:pPr>
      <w:rPr>
        <w:lang w:val="pt-P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1">
    <w:nsid w:val="57A52C98"/>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2">
    <w:nsid w:val="57E00144"/>
    <w:multiLevelType w:val="hybridMultilevel"/>
    <w:tmpl w:val="5DC0ED1A"/>
    <w:lvl w:ilvl="0" w:tplc="B6C8A4FE">
      <w:start w:val="1"/>
      <w:numFmt w:val="lowerLetter"/>
      <w:lvlText w:val="(%1)"/>
      <w:lvlJc w:val="left"/>
      <w:pPr>
        <w:ind w:left="2534" w:hanging="548"/>
      </w:pPr>
      <w:rPr>
        <w:spacing w:val="-1"/>
        <w:w w:val="99"/>
        <w:u w:val="single" w:color="000000"/>
        <w:lang w:val="en-US" w:eastAsia="en-US" w:bidi="en-US"/>
      </w:rPr>
    </w:lvl>
    <w:lvl w:ilvl="1" w:tplc="2512832C">
      <w:numFmt w:val="bullet"/>
      <w:lvlText w:val="•"/>
      <w:lvlJc w:val="left"/>
      <w:pPr>
        <w:ind w:left="3470" w:hanging="548"/>
      </w:pPr>
      <w:rPr>
        <w:lang w:val="en-US" w:eastAsia="en-US" w:bidi="en-US"/>
      </w:rPr>
    </w:lvl>
    <w:lvl w:ilvl="2" w:tplc="B694D934">
      <w:numFmt w:val="bullet"/>
      <w:lvlText w:val="•"/>
      <w:lvlJc w:val="left"/>
      <w:pPr>
        <w:ind w:left="4400" w:hanging="548"/>
      </w:pPr>
      <w:rPr>
        <w:lang w:val="en-US" w:eastAsia="en-US" w:bidi="en-US"/>
      </w:rPr>
    </w:lvl>
    <w:lvl w:ilvl="3" w:tplc="2F726DC6">
      <w:numFmt w:val="bullet"/>
      <w:lvlText w:val="•"/>
      <w:lvlJc w:val="left"/>
      <w:pPr>
        <w:ind w:left="5330" w:hanging="548"/>
      </w:pPr>
      <w:rPr>
        <w:lang w:val="en-US" w:eastAsia="en-US" w:bidi="en-US"/>
      </w:rPr>
    </w:lvl>
    <w:lvl w:ilvl="4" w:tplc="B4780514">
      <w:numFmt w:val="bullet"/>
      <w:lvlText w:val="•"/>
      <w:lvlJc w:val="left"/>
      <w:pPr>
        <w:ind w:left="6260" w:hanging="548"/>
      </w:pPr>
      <w:rPr>
        <w:lang w:val="en-US" w:eastAsia="en-US" w:bidi="en-US"/>
      </w:rPr>
    </w:lvl>
    <w:lvl w:ilvl="5" w:tplc="16D66A72">
      <w:numFmt w:val="bullet"/>
      <w:lvlText w:val="•"/>
      <w:lvlJc w:val="left"/>
      <w:pPr>
        <w:ind w:left="7190" w:hanging="548"/>
      </w:pPr>
      <w:rPr>
        <w:lang w:val="en-US" w:eastAsia="en-US" w:bidi="en-US"/>
      </w:rPr>
    </w:lvl>
    <w:lvl w:ilvl="6" w:tplc="084EFBDA">
      <w:numFmt w:val="bullet"/>
      <w:lvlText w:val="•"/>
      <w:lvlJc w:val="left"/>
      <w:pPr>
        <w:ind w:left="8120" w:hanging="548"/>
      </w:pPr>
      <w:rPr>
        <w:lang w:val="en-US" w:eastAsia="en-US" w:bidi="en-US"/>
      </w:rPr>
    </w:lvl>
    <w:lvl w:ilvl="7" w:tplc="9F868048">
      <w:numFmt w:val="bullet"/>
      <w:lvlText w:val="•"/>
      <w:lvlJc w:val="left"/>
      <w:pPr>
        <w:ind w:left="9050" w:hanging="548"/>
      </w:pPr>
      <w:rPr>
        <w:lang w:val="en-US" w:eastAsia="en-US" w:bidi="en-US"/>
      </w:rPr>
    </w:lvl>
    <w:lvl w:ilvl="8" w:tplc="D1009E8A">
      <w:numFmt w:val="bullet"/>
      <w:lvlText w:val="•"/>
      <w:lvlJc w:val="left"/>
      <w:pPr>
        <w:ind w:left="9980" w:hanging="548"/>
      </w:pPr>
      <w:rPr>
        <w:lang w:val="en-US" w:eastAsia="en-US" w:bidi="en-US"/>
      </w:rPr>
    </w:lvl>
  </w:abstractNum>
  <w:abstractNum w:abstractNumId="63">
    <w:nsid w:val="588062D5"/>
    <w:multiLevelType w:val="hybridMultilevel"/>
    <w:tmpl w:val="C276E2B4"/>
    <w:lvl w:ilvl="0" w:tplc="A87885E4">
      <w:start w:val="1"/>
      <w:numFmt w:val="lowerLetter"/>
      <w:lvlText w:val="(%1)"/>
      <w:lvlJc w:val="left"/>
      <w:pPr>
        <w:ind w:left="2534" w:hanging="548"/>
      </w:pPr>
      <w:rPr>
        <w:spacing w:val="-1"/>
        <w:w w:val="99"/>
        <w:u w:val="single" w:color="000000"/>
        <w:lang w:val="en-US" w:eastAsia="en-US" w:bidi="en-US"/>
      </w:rPr>
    </w:lvl>
    <w:lvl w:ilvl="1" w:tplc="F308244E">
      <w:numFmt w:val="bullet"/>
      <w:lvlText w:val="•"/>
      <w:lvlJc w:val="left"/>
      <w:pPr>
        <w:ind w:left="3470" w:hanging="548"/>
      </w:pPr>
      <w:rPr>
        <w:lang w:val="en-US" w:eastAsia="en-US" w:bidi="en-US"/>
      </w:rPr>
    </w:lvl>
    <w:lvl w:ilvl="2" w:tplc="3FB0AA0E">
      <w:numFmt w:val="bullet"/>
      <w:lvlText w:val="•"/>
      <w:lvlJc w:val="left"/>
      <w:pPr>
        <w:ind w:left="4400" w:hanging="548"/>
      </w:pPr>
      <w:rPr>
        <w:lang w:val="en-US" w:eastAsia="en-US" w:bidi="en-US"/>
      </w:rPr>
    </w:lvl>
    <w:lvl w:ilvl="3" w:tplc="87263AFC">
      <w:numFmt w:val="bullet"/>
      <w:lvlText w:val="•"/>
      <w:lvlJc w:val="left"/>
      <w:pPr>
        <w:ind w:left="5330" w:hanging="548"/>
      </w:pPr>
      <w:rPr>
        <w:lang w:val="en-US" w:eastAsia="en-US" w:bidi="en-US"/>
      </w:rPr>
    </w:lvl>
    <w:lvl w:ilvl="4" w:tplc="66CAE212">
      <w:numFmt w:val="bullet"/>
      <w:lvlText w:val="•"/>
      <w:lvlJc w:val="left"/>
      <w:pPr>
        <w:ind w:left="6260" w:hanging="548"/>
      </w:pPr>
      <w:rPr>
        <w:lang w:val="en-US" w:eastAsia="en-US" w:bidi="en-US"/>
      </w:rPr>
    </w:lvl>
    <w:lvl w:ilvl="5" w:tplc="485AF650">
      <w:numFmt w:val="bullet"/>
      <w:lvlText w:val="•"/>
      <w:lvlJc w:val="left"/>
      <w:pPr>
        <w:ind w:left="7190" w:hanging="548"/>
      </w:pPr>
      <w:rPr>
        <w:lang w:val="en-US" w:eastAsia="en-US" w:bidi="en-US"/>
      </w:rPr>
    </w:lvl>
    <w:lvl w:ilvl="6" w:tplc="FF782EE8">
      <w:numFmt w:val="bullet"/>
      <w:lvlText w:val="•"/>
      <w:lvlJc w:val="left"/>
      <w:pPr>
        <w:ind w:left="8120" w:hanging="548"/>
      </w:pPr>
      <w:rPr>
        <w:lang w:val="en-US" w:eastAsia="en-US" w:bidi="en-US"/>
      </w:rPr>
    </w:lvl>
    <w:lvl w:ilvl="7" w:tplc="F3FA68E2">
      <w:numFmt w:val="bullet"/>
      <w:lvlText w:val="•"/>
      <w:lvlJc w:val="left"/>
      <w:pPr>
        <w:ind w:left="9050" w:hanging="548"/>
      </w:pPr>
      <w:rPr>
        <w:lang w:val="en-US" w:eastAsia="en-US" w:bidi="en-US"/>
      </w:rPr>
    </w:lvl>
    <w:lvl w:ilvl="8" w:tplc="0FA0B302">
      <w:numFmt w:val="bullet"/>
      <w:lvlText w:val="•"/>
      <w:lvlJc w:val="left"/>
      <w:pPr>
        <w:ind w:left="9980" w:hanging="548"/>
      </w:pPr>
      <w:rPr>
        <w:lang w:val="en-US" w:eastAsia="en-US" w:bidi="en-US"/>
      </w:rPr>
    </w:lvl>
  </w:abstractNum>
  <w:abstractNum w:abstractNumId="64">
    <w:nsid w:val="5AB04D20"/>
    <w:multiLevelType w:val="hybridMultilevel"/>
    <w:tmpl w:val="30F80D12"/>
    <w:lvl w:ilvl="0" w:tplc="B2669E8C">
      <w:start w:val="1"/>
      <w:numFmt w:val="lowerLetter"/>
      <w:lvlText w:val="(%1)"/>
      <w:lvlJc w:val="left"/>
      <w:pPr>
        <w:ind w:left="2534" w:hanging="548"/>
      </w:pPr>
      <w:rPr>
        <w:spacing w:val="-1"/>
        <w:w w:val="99"/>
        <w:u w:val="single" w:color="000000"/>
        <w:lang w:val="en-US" w:eastAsia="en-US" w:bidi="en-US"/>
      </w:rPr>
    </w:lvl>
    <w:lvl w:ilvl="1" w:tplc="10B89E2C">
      <w:numFmt w:val="bullet"/>
      <w:lvlText w:val="•"/>
      <w:lvlJc w:val="left"/>
      <w:pPr>
        <w:ind w:left="3470" w:hanging="548"/>
      </w:pPr>
      <w:rPr>
        <w:lang w:val="en-US" w:eastAsia="en-US" w:bidi="en-US"/>
      </w:rPr>
    </w:lvl>
    <w:lvl w:ilvl="2" w:tplc="A5DEC114">
      <w:numFmt w:val="bullet"/>
      <w:lvlText w:val="•"/>
      <w:lvlJc w:val="left"/>
      <w:pPr>
        <w:ind w:left="4400" w:hanging="548"/>
      </w:pPr>
      <w:rPr>
        <w:lang w:val="en-US" w:eastAsia="en-US" w:bidi="en-US"/>
      </w:rPr>
    </w:lvl>
    <w:lvl w:ilvl="3" w:tplc="D2AC8C10">
      <w:numFmt w:val="bullet"/>
      <w:lvlText w:val="•"/>
      <w:lvlJc w:val="left"/>
      <w:pPr>
        <w:ind w:left="5330" w:hanging="548"/>
      </w:pPr>
      <w:rPr>
        <w:lang w:val="en-US" w:eastAsia="en-US" w:bidi="en-US"/>
      </w:rPr>
    </w:lvl>
    <w:lvl w:ilvl="4" w:tplc="D06C6FBA">
      <w:numFmt w:val="bullet"/>
      <w:lvlText w:val="•"/>
      <w:lvlJc w:val="left"/>
      <w:pPr>
        <w:ind w:left="6260" w:hanging="548"/>
      </w:pPr>
      <w:rPr>
        <w:lang w:val="en-US" w:eastAsia="en-US" w:bidi="en-US"/>
      </w:rPr>
    </w:lvl>
    <w:lvl w:ilvl="5" w:tplc="B04AB496">
      <w:numFmt w:val="bullet"/>
      <w:lvlText w:val="•"/>
      <w:lvlJc w:val="left"/>
      <w:pPr>
        <w:ind w:left="7190" w:hanging="548"/>
      </w:pPr>
      <w:rPr>
        <w:lang w:val="en-US" w:eastAsia="en-US" w:bidi="en-US"/>
      </w:rPr>
    </w:lvl>
    <w:lvl w:ilvl="6" w:tplc="7C0663A4">
      <w:numFmt w:val="bullet"/>
      <w:lvlText w:val="•"/>
      <w:lvlJc w:val="left"/>
      <w:pPr>
        <w:ind w:left="8120" w:hanging="548"/>
      </w:pPr>
      <w:rPr>
        <w:lang w:val="en-US" w:eastAsia="en-US" w:bidi="en-US"/>
      </w:rPr>
    </w:lvl>
    <w:lvl w:ilvl="7" w:tplc="1CC65546">
      <w:numFmt w:val="bullet"/>
      <w:lvlText w:val="•"/>
      <w:lvlJc w:val="left"/>
      <w:pPr>
        <w:ind w:left="9050" w:hanging="548"/>
      </w:pPr>
      <w:rPr>
        <w:lang w:val="en-US" w:eastAsia="en-US" w:bidi="en-US"/>
      </w:rPr>
    </w:lvl>
    <w:lvl w:ilvl="8" w:tplc="E918EF44">
      <w:numFmt w:val="bullet"/>
      <w:lvlText w:val="•"/>
      <w:lvlJc w:val="left"/>
      <w:pPr>
        <w:ind w:left="9980" w:hanging="548"/>
      </w:pPr>
      <w:rPr>
        <w:lang w:val="en-US" w:eastAsia="en-US" w:bidi="en-US"/>
      </w:rPr>
    </w:lvl>
  </w:abstractNum>
  <w:abstractNum w:abstractNumId="65">
    <w:nsid w:val="619D05C6"/>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6">
    <w:nsid w:val="62620BE3"/>
    <w:multiLevelType w:val="hybridMultilevel"/>
    <w:tmpl w:val="82186B92"/>
    <w:lvl w:ilvl="0" w:tplc="36CC88EC">
      <w:start w:val="2"/>
      <w:numFmt w:val="lowerRoman"/>
      <w:lvlText w:val="(%1)"/>
      <w:lvlJc w:val="left"/>
      <w:pPr>
        <w:ind w:left="3081" w:hanging="548"/>
      </w:pPr>
      <w:rPr>
        <w:spacing w:val="-1"/>
        <w:w w:val="99"/>
        <w:u w:val="single" w:color="000000"/>
        <w:lang w:val="en-US" w:eastAsia="en-US" w:bidi="en-US"/>
      </w:rPr>
    </w:lvl>
    <w:lvl w:ilvl="1" w:tplc="6E80AC02">
      <w:numFmt w:val="bullet"/>
      <w:lvlText w:val="•"/>
      <w:lvlJc w:val="left"/>
      <w:pPr>
        <w:ind w:left="3956" w:hanging="548"/>
      </w:pPr>
      <w:rPr>
        <w:lang w:val="en-US" w:eastAsia="en-US" w:bidi="en-US"/>
      </w:rPr>
    </w:lvl>
    <w:lvl w:ilvl="2" w:tplc="5314BA10">
      <w:numFmt w:val="bullet"/>
      <w:lvlText w:val="•"/>
      <w:lvlJc w:val="left"/>
      <w:pPr>
        <w:ind w:left="4832" w:hanging="548"/>
      </w:pPr>
      <w:rPr>
        <w:lang w:val="en-US" w:eastAsia="en-US" w:bidi="en-US"/>
      </w:rPr>
    </w:lvl>
    <w:lvl w:ilvl="3" w:tplc="70C6FB46">
      <w:numFmt w:val="bullet"/>
      <w:lvlText w:val="•"/>
      <w:lvlJc w:val="left"/>
      <w:pPr>
        <w:ind w:left="5708" w:hanging="548"/>
      </w:pPr>
      <w:rPr>
        <w:lang w:val="en-US" w:eastAsia="en-US" w:bidi="en-US"/>
      </w:rPr>
    </w:lvl>
    <w:lvl w:ilvl="4" w:tplc="5008D096">
      <w:numFmt w:val="bullet"/>
      <w:lvlText w:val="•"/>
      <w:lvlJc w:val="left"/>
      <w:pPr>
        <w:ind w:left="6584" w:hanging="548"/>
      </w:pPr>
      <w:rPr>
        <w:lang w:val="en-US" w:eastAsia="en-US" w:bidi="en-US"/>
      </w:rPr>
    </w:lvl>
    <w:lvl w:ilvl="5" w:tplc="946A1B80">
      <w:numFmt w:val="bullet"/>
      <w:lvlText w:val="•"/>
      <w:lvlJc w:val="left"/>
      <w:pPr>
        <w:ind w:left="7460" w:hanging="548"/>
      </w:pPr>
      <w:rPr>
        <w:lang w:val="en-US" w:eastAsia="en-US" w:bidi="en-US"/>
      </w:rPr>
    </w:lvl>
    <w:lvl w:ilvl="6" w:tplc="3CC232D8">
      <w:numFmt w:val="bullet"/>
      <w:lvlText w:val="•"/>
      <w:lvlJc w:val="left"/>
      <w:pPr>
        <w:ind w:left="8336" w:hanging="548"/>
      </w:pPr>
      <w:rPr>
        <w:lang w:val="en-US" w:eastAsia="en-US" w:bidi="en-US"/>
      </w:rPr>
    </w:lvl>
    <w:lvl w:ilvl="7" w:tplc="06B81C12">
      <w:numFmt w:val="bullet"/>
      <w:lvlText w:val="•"/>
      <w:lvlJc w:val="left"/>
      <w:pPr>
        <w:ind w:left="9212" w:hanging="548"/>
      </w:pPr>
      <w:rPr>
        <w:lang w:val="en-US" w:eastAsia="en-US" w:bidi="en-US"/>
      </w:rPr>
    </w:lvl>
    <w:lvl w:ilvl="8" w:tplc="54C4654A">
      <w:numFmt w:val="bullet"/>
      <w:lvlText w:val="•"/>
      <w:lvlJc w:val="left"/>
      <w:pPr>
        <w:ind w:left="10088" w:hanging="548"/>
      </w:pPr>
      <w:rPr>
        <w:lang w:val="en-US" w:eastAsia="en-US" w:bidi="en-US"/>
      </w:rPr>
    </w:lvl>
  </w:abstractNum>
  <w:abstractNum w:abstractNumId="67">
    <w:nsid w:val="63F336B7"/>
    <w:multiLevelType w:val="hybridMultilevel"/>
    <w:tmpl w:val="EF427B84"/>
    <w:lvl w:ilvl="0" w:tplc="F112C3AE">
      <w:start w:val="1"/>
      <w:numFmt w:val="lowerRoman"/>
      <w:lvlText w:val="(%1)"/>
      <w:lvlJc w:val="left"/>
      <w:pPr>
        <w:tabs>
          <w:tab w:val="num" w:pos="2880"/>
        </w:tabs>
        <w:ind w:left="2880" w:hanging="720"/>
      </w:pPr>
    </w:lvl>
    <w:lvl w:ilvl="1" w:tplc="D9E4BCC8">
      <w:start w:val="1"/>
      <w:numFmt w:val="lowerLetter"/>
      <w:lvlText w:val="(%2)"/>
      <w:lvlJc w:val="left"/>
      <w:pPr>
        <w:ind w:left="32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8">
    <w:nsid w:val="65362060"/>
    <w:multiLevelType w:val="hybridMultilevel"/>
    <w:tmpl w:val="827416D4"/>
    <w:lvl w:ilvl="0" w:tplc="29168F0C">
      <w:start w:val="1"/>
      <w:numFmt w:val="lowerLetter"/>
      <w:lvlText w:val="(%1)"/>
      <w:lvlJc w:val="left"/>
      <w:pPr>
        <w:ind w:left="2534" w:hanging="548"/>
      </w:pPr>
      <w:rPr>
        <w:rFonts w:ascii="Arial" w:eastAsia="Arial" w:hAnsi="Arial" w:cs="Arial" w:hint="default"/>
        <w:spacing w:val="-1"/>
        <w:w w:val="99"/>
        <w:sz w:val="20"/>
        <w:szCs w:val="20"/>
        <w:lang w:val="en-US" w:eastAsia="en-US" w:bidi="en-US"/>
      </w:rPr>
    </w:lvl>
    <w:lvl w:ilvl="1" w:tplc="53A68A6C">
      <w:start w:val="1"/>
      <w:numFmt w:val="lowerRoman"/>
      <w:lvlText w:val="(%2)"/>
      <w:lvlJc w:val="left"/>
      <w:pPr>
        <w:ind w:left="3081" w:hanging="548"/>
      </w:pPr>
      <w:rPr>
        <w:spacing w:val="-1"/>
        <w:w w:val="99"/>
        <w:u w:val="single" w:color="000000"/>
        <w:lang w:val="en-US" w:eastAsia="en-US" w:bidi="en-US"/>
      </w:rPr>
    </w:lvl>
    <w:lvl w:ilvl="2" w:tplc="DFFED020">
      <w:numFmt w:val="bullet"/>
      <w:lvlText w:val="•"/>
      <w:lvlJc w:val="left"/>
      <w:pPr>
        <w:ind w:left="4053" w:hanging="548"/>
      </w:pPr>
      <w:rPr>
        <w:lang w:val="en-US" w:eastAsia="en-US" w:bidi="en-US"/>
      </w:rPr>
    </w:lvl>
    <w:lvl w:ilvl="3" w:tplc="0D5E3464">
      <w:numFmt w:val="bullet"/>
      <w:lvlText w:val="•"/>
      <w:lvlJc w:val="left"/>
      <w:pPr>
        <w:ind w:left="5026" w:hanging="548"/>
      </w:pPr>
      <w:rPr>
        <w:lang w:val="en-US" w:eastAsia="en-US" w:bidi="en-US"/>
      </w:rPr>
    </w:lvl>
    <w:lvl w:ilvl="4" w:tplc="7286EF1C">
      <w:numFmt w:val="bullet"/>
      <w:lvlText w:val="•"/>
      <w:lvlJc w:val="left"/>
      <w:pPr>
        <w:ind w:left="6000" w:hanging="548"/>
      </w:pPr>
      <w:rPr>
        <w:lang w:val="en-US" w:eastAsia="en-US" w:bidi="en-US"/>
      </w:rPr>
    </w:lvl>
    <w:lvl w:ilvl="5" w:tplc="9C8ACB34">
      <w:numFmt w:val="bullet"/>
      <w:lvlText w:val="•"/>
      <w:lvlJc w:val="left"/>
      <w:pPr>
        <w:ind w:left="6973" w:hanging="548"/>
      </w:pPr>
      <w:rPr>
        <w:lang w:val="en-US" w:eastAsia="en-US" w:bidi="en-US"/>
      </w:rPr>
    </w:lvl>
    <w:lvl w:ilvl="6" w:tplc="2B00066E">
      <w:numFmt w:val="bullet"/>
      <w:lvlText w:val="•"/>
      <w:lvlJc w:val="left"/>
      <w:pPr>
        <w:ind w:left="7946" w:hanging="548"/>
      </w:pPr>
      <w:rPr>
        <w:lang w:val="en-US" w:eastAsia="en-US" w:bidi="en-US"/>
      </w:rPr>
    </w:lvl>
    <w:lvl w:ilvl="7" w:tplc="004E2F8E">
      <w:numFmt w:val="bullet"/>
      <w:lvlText w:val="•"/>
      <w:lvlJc w:val="left"/>
      <w:pPr>
        <w:ind w:left="8920" w:hanging="548"/>
      </w:pPr>
      <w:rPr>
        <w:lang w:val="en-US" w:eastAsia="en-US" w:bidi="en-US"/>
      </w:rPr>
    </w:lvl>
    <w:lvl w:ilvl="8" w:tplc="B02AC9EA">
      <w:numFmt w:val="bullet"/>
      <w:lvlText w:val="•"/>
      <w:lvlJc w:val="left"/>
      <w:pPr>
        <w:ind w:left="9893" w:hanging="548"/>
      </w:pPr>
      <w:rPr>
        <w:lang w:val="en-US" w:eastAsia="en-US" w:bidi="en-US"/>
      </w:rPr>
    </w:lvl>
  </w:abstractNum>
  <w:abstractNum w:abstractNumId="69">
    <w:nsid w:val="66911AAF"/>
    <w:multiLevelType w:val="hybridMultilevel"/>
    <w:tmpl w:val="D6BA4184"/>
    <w:lvl w:ilvl="0" w:tplc="B09A7DE2">
      <w:start w:val="1"/>
      <w:numFmt w:val="lowerLetter"/>
      <w:lvlText w:val="(%1)"/>
      <w:lvlJc w:val="left"/>
      <w:pPr>
        <w:ind w:left="2534" w:hanging="548"/>
      </w:pPr>
      <w:rPr>
        <w:spacing w:val="-1"/>
        <w:w w:val="99"/>
        <w:u w:val="single" w:color="000000"/>
        <w:lang w:val="en-US" w:eastAsia="en-US" w:bidi="en-US"/>
      </w:rPr>
    </w:lvl>
    <w:lvl w:ilvl="1" w:tplc="A6C2F55E">
      <w:numFmt w:val="bullet"/>
      <w:lvlText w:val="•"/>
      <w:lvlJc w:val="left"/>
      <w:pPr>
        <w:ind w:left="3470" w:hanging="548"/>
      </w:pPr>
      <w:rPr>
        <w:lang w:val="en-US" w:eastAsia="en-US" w:bidi="en-US"/>
      </w:rPr>
    </w:lvl>
    <w:lvl w:ilvl="2" w:tplc="B986BD3A">
      <w:numFmt w:val="bullet"/>
      <w:lvlText w:val="•"/>
      <w:lvlJc w:val="left"/>
      <w:pPr>
        <w:ind w:left="4400" w:hanging="548"/>
      </w:pPr>
      <w:rPr>
        <w:lang w:val="en-US" w:eastAsia="en-US" w:bidi="en-US"/>
      </w:rPr>
    </w:lvl>
    <w:lvl w:ilvl="3" w:tplc="D61CB326">
      <w:numFmt w:val="bullet"/>
      <w:lvlText w:val="•"/>
      <w:lvlJc w:val="left"/>
      <w:pPr>
        <w:ind w:left="5330" w:hanging="548"/>
      </w:pPr>
      <w:rPr>
        <w:lang w:val="en-US" w:eastAsia="en-US" w:bidi="en-US"/>
      </w:rPr>
    </w:lvl>
    <w:lvl w:ilvl="4" w:tplc="25465D7E">
      <w:numFmt w:val="bullet"/>
      <w:lvlText w:val="•"/>
      <w:lvlJc w:val="left"/>
      <w:pPr>
        <w:ind w:left="6260" w:hanging="548"/>
      </w:pPr>
      <w:rPr>
        <w:lang w:val="en-US" w:eastAsia="en-US" w:bidi="en-US"/>
      </w:rPr>
    </w:lvl>
    <w:lvl w:ilvl="5" w:tplc="3790166A">
      <w:numFmt w:val="bullet"/>
      <w:lvlText w:val="•"/>
      <w:lvlJc w:val="left"/>
      <w:pPr>
        <w:ind w:left="7190" w:hanging="548"/>
      </w:pPr>
      <w:rPr>
        <w:lang w:val="en-US" w:eastAsia="en-US" w:bidi="en-US"/>
      </w:rPr>
    </w:lvl>
    <w:lvl w:ilvl="6" w:tplc="5B64A6C6">
      <w:numFmt w:val="bullet"/>
      <w:lvlText w:val="•"/>
      <w:lvlJc w:val="left"/>
      <w:pPr>
        <w:ind w:left="8120" w:hanging="548"/>
      </w:pPr>
      <w:rPr>
        <w:lang w:val="en-US" w:eastAsia="en-US" w:bidi="en-US"/>
      </w:rPr>
    </w:lvl>
    <w:lvl w:ilvl="7" w:tplc="89CE2EDE">
      <w:numFmt w:val="bullet"/>
      <w:lvlText w:val="•"/>
      <w:lvlJc w:val="left"/>
      <w:pPr>
        <w:ind w:left="9050" w:hanging="548"/>
      </w:pPr>
      <w:rPr>
        <w:lang w:val="en-US" w:eastAsia="en-US" w:bidi="en-US"/>
      </w:rPr>
    </w:lvl>
    <w:lvl w:ilvl="8" w:tplc="5A2E2D88">
      <w:numFmt w:val="bullet"/>
      <w:lvlText w:val="•"/>
      <w:lvlJc w:val="left"/>
      <w:pPr>
        <w:ind w:left="9980" w:hanging="548"/>
      </w:pPr>
      <w:rPr>
        <w:lang w:val="en-US" w:eastAsia="en-US" w:bidi="en-US"/>
      </w:rPr>
    </w:lvl>
  </w:abstractNum>
  <w:abstractNum w:abstractNumId="70">
    <w:nsid w:val="66CB3B0A"/>
    <w:multiLevelType w:val="hybridMultilevel"/>
    <w:tmpl w:val="EC74B116"/>
    <w:lvl w:ilvl="0" w:tplc="01E86A28">
      <w:start w:val="1"/>
      <w:numFmt w:val="lowerLetter"/>
      <w:lvlText w:val="(%1)"/>
      <w:lvlJc w:val="left"/>
      <w:pPr>
        <w:tabs>
          <w:tab w:val="num" w:pos="1072"/>
        </w:tabs>
        <w:ind w:left="107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1">
    <w:nsid w:val="67FD1CB1"/>
    <w:multiLevelType w:val="hybridMultilevel"/>
    <w:tmpl w:val="2D520E16"/>
    <w:lvl w:ilvl="0" w:tplc="862E2C22">
      <w:start w:val="1"/>
      <w:numFmt w:val="lowerLetter"/>
      <w:lvlText w:val="(%1)"/>
      <w:lvlJc w:val="left"/>
      <w:pPr>
        <w:tabs>
          <w:tab w:val="num" w:pos="1353"/>
        </w:tabs>
        <w:ind w:left="1353" w:hanging="360"/>
      </w:pPr>
      <w:rPr>
        <w:b w:val="0"/>
        <w:i w:val="0"/>
      </w:rPr>
    </w:lvl>
    <w:lvl w:ilvl="1" w:tplc="C58E84AC">
      <w:numFmt w:val="bullet"/>
      <w:lvlText w:val="•"/>
      <w:lvlJc w:val="left"/>
      <w:pPr>
        <w:ind w:left="1800" w:hanging="720"/>
      </w:pPr>
      <w:rPr>
        <w:rFonts w:ascii="Times New Roman" w:eastAsia="Times New Roman"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2">
    <w:nsid w:val="68D04E2C"/>
    <w:multiLevelType w:val="hybridMultilevel"/>
    <w:tmpl w:val="5E62436C"/>
    <w:lvl w:ilvl="0" w:tplc="062634E2">
      <w:start w:val="1"/>
      <w:numFmt w:val="lowerLetter"/>
      <w:lvlText w:val="(%1)"/>
      <w:lvlJc w:val="left"/>
      <w:pPr>
        <w:ind w:left="2520" w:hanging="541"/>
      </w:pPr>
      <w:rPr>
        <w:spacing w:val="-1"/>
        <w:w w:val="99"/>
        <w:u w:val="single" w:color="000000"/>
        <w:lang w:val="en-US" w:eastAsia="en-US" w:bidi="en-US"/>
      </w:rPr>
    </w:lvl>
    <w:lvl w:ilvl="1" w:tplc="25408D36">
      <w:numFmt w:val="bullet"/>
      <w:lvlText w:val="•"/>
      <w:lvlJc w:val="left"/>
      <w:pPr>
        <w:ind w:left="3452" w:hanging="541"/>
      </w:pPr>
      <w:rPr>
        <w:lang w:val="en-US" w:eastAsia="en-US" w:bidi="en-US"/>
      </w:rPr>
    </w:lvl>
    <w:lvl w:ilvl="2" w:tplc="F714514C">
      <w:numFmt w:val="bullet"/>
      <w:lvlText w:val="•"/>
      <w:lvlJc w:val="left"/>
      <w:pPr>
        <w:ind w:left="4384" w:hanging="541"/>
      </w:pPr>
      <w:rPr>
        <w:lang w:val="en-US" w:eastAsia="en-US" w:bidi="en-US"/>
      </w:rPr>
    </w:lvl>
    <w:lvl w:ilvl="3" w:tplc="39EEEEBA">
      <w:numFmt w:val="bullet"/>
      <w:lvlText w:val="•"/>
      <w:lvlJc w:val="left"/>
      <w:pPr>
        <w:ind w:left="5316" w:hanging="541"/>
      </w:pPr>
      <w:rPr>
        <w:lang w:val="en-US" w:eastAsia="en-US" w:bidi="en-US"/>
      </w:rPr>
    </w:lvl>
    <w:lvl w:ilvl="4" w:tplc="D6FAF1E0">
      <w:numFmt w:val="bullet"/>
      <w:lvlText w:val="•"/>
      <w:lvlJc w:val="left"/>
      <w:pPr>
        <w:ind w:left="6248" w:hanging="541"/>
      </w:pPr>
      <w:rPr>
        <w:lang w:val="en-US" w:eastAsia="en-US" w:bidi="en-US"/>
      </w:rPr>
    </w:lvl>
    <w:lvl w:ilvl="5" w:tplc="C45A5A20">
      <w:numFmt w:val="bullet"/>
      <w:lvlText w:val="•"/>
      <w:lvlJc w:val="left"/>
      <w:pPr>
        <w:ind w:left="7180" w:hanging="541"/>
      </w:pPr>
      <w:rPr>
        <w:lang w:val="en-US" w:eastAsia="en-US" w:bidi="en-US"/>
      </w:rPr>
    </w:lvl>
    <w:lvl w:ilvl="6" w:tplc="DB4A685E">
      <w:numFmt w:val="bullet"/>
      <w:lvlText w:val="•"/>
      <w:lvlJc w:val="left"/>
      <w:pPr>
        <w:ind w:left="8112" w:hanging="541"/>
      </w:pPr>
      <w:rPr>
        <w:lang w:val="en-US" w:eastAsia="en-US" w:bidi="en-US"/>
      </w:rPr>
    </w:lvl>
    <w:lvl w:ilvl="7" w:tplc="587E4322">
      <w:numFmt w:val="bullet"/>
      <w:lvlText w:val="•"/>
      <w:lvlJc w:val="left"/>
      <w:pPr>
        <w:ind w:left="9044" w:hanging="541"/>
      </w:pPr>
      <w:rPr>
        <w:lang w:val="en-US" w:eastAsia="en-US" w:bidi="en-US"/>
      </w:rPr>
    </w:lvl>
    <w:lvl w:ilvl="8" w:tplc="C36C7A5A">
      <w:numFmt w:val="bullet"/>
      <w:lvlText w:val="•"/>
      <w:lvlJc w:val="left"/>
      <w:pPr>
        <w:ind w:left="9976" w:hanging="541"/>
      </w:pPr>
      <w:rPr>
        <w:lang w:val="en-US" w:eastAsia="en-US" w:bidi="en-US"/>
      </w:rPr>
    </w:lvl>
  </w:abstractNum>
  <w:abstractNum w:abstractNumId="73">
    <w:nsid w:val="69D96F7E"/>
    <w:multiLevelType w:val="hybridMultilevel"/>
    <w:tmpl w:val="01F6A990"/>
    <w:lvl w:ilvl="0" w:tplc="A4B42EF0">
      <w:start w:val="1"/>
      <w:numFmt w:val="lowerLetter"/>
      <w:lvlText w:val="(%1)"/>
      <w:lvlJc w:val="left"/>
      <w:pPr>
        <w:ind w:left="2534" w:hanging="548"/>
      </w:pPr>
      <w:rPr>
        <w:spacing w:val="-1"/>
        <w:w w:val="99"/>
        <w:u w:val="single" w:color="000000"/>
        <w:lang w:val="en-US" w:eastAsia="en-US" w:bidi="en-US"/>
      </w:rPr>
    </w:lvl>
    <w:lvl w:ilvl="1" w:tplc="097C4AD6">
      <w:numFmt w:val="bullet"/>
      <w:lvlText w:val="•"/>
      <w:lvlJc w:val="left"/>
      <w:pPr>
        <w:ind w:left="3470" w:hanging="548"/>
      </w:pPr>
      <w:rPr>
        <w:lang w:val="en-US" w:eastAsia="en-US" w:bidi="en-US"/>
      </w:rPr>
    </w:lvl>
    <w:lvl w:ilvl="2" w:tplc="5BD2186E">
      <w:numFmt w:val="bullet"/>
      <w:lvlText w:val="•"/>
      <w:lvlJc w:val="left"/>
      <w:pPr>
        <w:ind w:left="4400" w:hanging="548"/>
      </w:pPr>
      <w:rPr>
        <w:lang w:val="en-US" w:eastAsia="en-US" w:bidi="en-US"/>
      </w:rPr>
    </w:lvl>
    <w:lvl w:ilvl="3" w:tplc="AD04053E">
      <w:numFmt w:val="bullet"/>
      <w:lvlText w:val="•"/>
      <w:lvlJc w:val="left"/>
      <w:pPr>
        <w:ind w:left="5330" w:hanging="548"/>
      </w:pPr>
      <w:rPr>
        <w:lang w:val="en-US" w:eastAsia="en-US" w:bidi="en-US"/>
      </w:rPr>
    </w:lvl>
    <w:lvl w:ilvl="4" w:tplc="9E2CAB8E">
      <w:numFmt w:val="bullet"/>
      <w:lvlText w:val="•"/>
      <w:lvlJc w:val="left"/>
      <w:pPr>
        <w:ind w:left="6260" w:hanging="548"/>
      </w:pPr>
      <w:rPr>
        <w:lang w:val="en-US" w:eastAsia="en-US" w:bidi="en-US"/>
      </w:rPr>
    </w:lvl>
    <w:lvl w:ilvl="5" w:tplc="19369136">
      <w:numFmt w:val="bullet"/>
      <w:lvlText w:val="•"/>
      <w:lvlJc w:val="left"/>
      <w:pPr>
        <w:ind w:left="7190" w:hanging="548"/>
      </w:pPr>
      <w:rPr>
        <w:lang w:val="en-US" w:eastAsia="en-US" w:bidi="en-US"/>
      </w:rPr>
    </w:lvl>
    <w:lvl w:ilvl="6" w:tplc="5EA66036">
      <w:numFmt w:val="bullet"/>
      <w:lvlText w:val="•"/>
      <w:lvlJc w:val="left"/>
      <w:pPr>
        <w:ind w:left="8120" w:hanging="548"/>
      </w:pPr>
      <w:rPr>
        <w:lang w:val="en-US" w:eastAsia="en-US" w:bidi="en-US"/>
      </w:rPr>
    </w:lvl>
    <w:lvl w:ilvl="7" w:tplc="656ECC64">
      <w:numFmt w:val="bullet"/>
      <w:lvlText w:val="•"/>
      <w:lvlJc w:val="left"/>
      <w:pPr>
        <w:ind w:left="9050" w:hanging="548"/>
      </w:pPr>
      <w:rPr>
        <w:lang w:val="en-US" w:eastAsia="en-US" w:bidi="en-US"/>
      </w:rPr>
    </w:lvl>
    <w:lvl w:ilvl="8" w:tplc="9EA81130">
      <w:numFmt w:val="bullet"/>
      <w:lvlText w:val="•"/>
      <w:lvlJc w:val="left"/>
      <w:pPr>
        <w:ind w:left="9980" w:hanging="548"/>
      </w:pPr>
      <w:rPr>
        <w:lang w:val="en-US" w:eastAsia="en-US" w:bidi="en-US"/>
      </w:rPr>
    </w:lvl>
  </w:abstractNum>
  <w:abstractNum w:abstractNumId="74">
    <w:nsid w:val="6A7F6ADC"/>
    <w:multiLevelType w:val="hybridMultilevel"/>
    <w:tmpl w:val="A1BE9D48"/>
    <w:lvl w:ilvl="0" w:tplc="862E2C22">
      <w:start w:val="1"/>
      <w:numFmt w:val="lowerLetter"/>
      <w:lvlText w:val="(%1)"/>
      <w:lvlJc w:val="left"/>
      <w:pPr>
        <w:tabs>
          <w:tab w:val="num" w:pos="1353"/>
        </w:tabs>
        <w:ind w:left="1353"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5">
    <w:nsid w:val="6AF20520"/>
    <w:multiLevelType w:val="hybridMultilevel"/>
    <w:tmpl w:val="AD0AD698"/>
    <w:lvl w:ilvl="0" w:tplc="1E122012">
      <w:start w:val="1"/>
      <w:numFmt w:val="lowerLetter"/>
      <w:lvlText w:val="(%1)"/>
      <w:lvlJc w:val="left"/>
      <w:pPr>
        <w:ind w:left="2534" w:hanging="548"/>
      </w:pPr>
      <w:rPr>
        <w:spacing w:val="-1"/>
        <w:w w:val="99"/>
        <w:u w:val="single" w:color="000000"/>
        <w:lang w:val="en-US" w:eastAsia="en-US" w:bidi="en-US"/>
      </w:rPr>
    </w:lvl>
    <w:lvl w:ilvl="1" w:tplc="BE6006EA">
      <w:numFmt w:val="bullet"/>
      <w:lvlText w:val="•"/>
      <w:lvlJc w:val="left"/>
      <w:pPr>
        <w:ind w:left="3470" w:hanging="548"/>
      </w:pPr>
      <w:rPr>
        <w:lang w:val="en-US" w:eastAsia="en-US" w:bidi="en-US"/>
      </w:rPr>
    </w:lvl>
    <w:lvl w:ilvl="2" w:tplc="9BC425A2">
      <w:numFmt w:val="bullet"/>
      <w:lvlText w:val="•"/>
      <w:lvlJc w:val="left"/>
      <w:pPr>
        <w:ind w:left="4400" w:hanging="548"/>
      </w:pPr>
      <w:rPr>
        <w:lang w:val="en-US" w:eastAsia="en-US" w:bidi="en-US"/>
      </w:rPr>
    </w:lvl>
    <w:lvl w:ilvl="3" w:tplc="047698EC">
      <w:numFmt w:val="bullet"/>
      <w:lvlText w:val="•"/>
      <w:lvlJc w:val="left"/>
      <w:pPr>
        <w:ind w:left="5330" w:hanging="548"/>
      </w:pPr>
      <w:rPr>
        <w:lang w:val="en-US" w:eastAsia="en-US" w:bidi="en-US"/>
      </w:rPr>
    </w:lvl>
    <w:lvl w:ilvl="4" w:tplc="020CEDFC">
      <w:numFmt w:val="bullet"/>
      <w:lvlText w:val="•"/>
      <w:lvlJc w:val="left"/>
      <w:pPr>
        <w:ind w:left="6260" w:hanging="548"/>
      </w:pPr>
      <w:rPr>
        <w:lang w:val="en-US" w:eastAsia="en-US" w:bidi="en-US"/>
      </w:rPr>
    </w:lvl>
    <w:lvl w:ilvl="5" w:tplc="9B5CA13A">
      <w:numFmt w:val="bullet"/>
      <w:lvlText w:val="•"/>
      <w:lvlJc w:val="left"/>
      <w:pPr>
        <w:ind w:left="7190" w:hanging="548"/>
      </w:pPr>
      <w:rPr>
        <w:lang w:val="en-US" w:eastAsia="en-US" w:bidi="en-US"/>
      </w:rPr>
    </w:lvl>
    <w:lvl w:ilvl="6" w:tplc="CC2C2E20">
      <w:numFmt w:val="bullet"/>
      <w:lvlText w:val="•"/>
      <w:lvlJc w:val="left"/>
      <w:pPr>
        <w:ind w:left="8120" w:hanging="548"/>
      </w:pPr>
      <w:rPr>
        <w:lang w:val="en-US" w:eastAsia="en-US" w:bidi="en-US"/>
      </w:rPr>
    </w:lvl>
    <w:lvl w:ilvl="7" w:tplc="CB7CE820">
      <w:numFmt w:val="bullet"/>
      <w:lvlText w:val="•"/>
      <w:lvlJc w:val="left"/>
      <w:pPr>
        <w:ind w:left="9050" w:hanging="548"/>
      </w:pPr>
      <w:rPr>
        <w:lang w:val="en-US" w:eastAsia="en-US" w:bidi="en-US"/>
      </w:rPr>
    </w:lvl>
    <w:lvl w:ilvl="8" w:tplc="D63C3B1C">
      <w:numFmt w:val="bullet"/>
      <w:lvlText w:val="•"/>
      <w:lvlJc w:val="left"/>
      <w:pPr>
        <w:ind w:left="9980" w:hanging="548"/>
      </w:pPr>
      <w:rPr>
        <w:lang w:val="en-US" w:eastAsia="en-US" w:bidi="en-US"/>
      </w:rPr>
    </w:lvl>
  </w:abstractNum>
  <w:abstractNum w:abstractNumId="76">
    <w:nsid w:val="6BCB07DE"/>
    <w:multiLevelType w:val="hybridMultilevel"/>
    <w:tmpl w:val="1250F540"/>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7">
    <w:nsid w:val="6F9A4078"/>
    <w:multiLevelType w:val="hybridMultilevel"/>
    <w:tmpl w:val="FC7E02E0"/>
    <w:lvl w:ilvl="0" w:tplc="88047024">
      <w:start w:val="1"/>
      <w:numFmt w:val="lowerLetter"/>
      <w:lvlText w:val="(%1)"/>
      <w:lvlJc w:val="left"/>
      <w:pPr>
        <w:ind w:left="2534" w:hanging="548"/>
      </w:pPr>
      <w:rPr>
        <w:spacing w:val="-1"/>
        <w:w w:val="99"/>
        <w:u w:val="single" w:color="000000"/>
        <w:lang w:val="en-US" w:eastAsia="en-US" w:bidi="en-US"/>
      </w:rPr>
    </w:lvl>
    <w:lvl w:ilvl="1" w:tplc="A5D6A11C">
      <w:numFmt w:val="bullet"/>
      <w:lvlText w:val="•"/>
      <w:lvlJc w:val="left"/>
      <w:pPr>
        <w:ind w:left="3470" w:hanging="548"/>
      </w:pPr>
      <w:rPr>
        <w:lang w:val="en-US" w:eastAsia="en-US" w:bidi="en-US"/>
      </w:rPr>
    </w:lvl>
    <w:lvl w:ilvl="2" w:tplc="2D965E2E">
      <w:numFmt w:val="bullet"/>
      <w:lvlText w:val="•"/>
      <w:lvlJc w:val="left"/>
      <w:pPr>
        <w:ind w:left="4400" w:hanging="548"/>
      </w:pPr>
      <w:rPr>
        <w:lang w:val="en-US" w:eastAsia="en-US" w:bidi="en-US"/>
      </w:rPr>
    </w:lvl>
    <w:lvl w:ilvl="3" w:tplc="7C10EF26">
      <w:numFmt w:val="bullet"/>
      <w:lvlText w:val="•"/>
      <w:lvlJc w:val="left"/>
      <w:pPr>
        <w:ind w:left="5330" w:hanging="548"/>
      </w:pPr>
      <w:rPr>
        <w:lang w:val="en-US" w:eastAsia="en-US" w:bidi="en-US"/>
      </w:rPr>
    </w:lvl>
    <w:lvl w:ilvl="4" w:tplc="3C503E90">
      <w:numFmt w:val="bullet"/>
      <w:lvlText w:val="•"/>
      <w:lvlJc w:val="left"/>
      <w:pPr>
        <w:ind w:left="6260" w:hanging="548"/>
      </w:pPr>
      <w:rPr>
        <w:lang w:val="en-US" w:eastAsia="en-US" w:bidi="en-US"/>
      </w:rPr>
    </w:lvl>
    <w:lvl w:ilvl="5" w:tplc="AA9009AE">
      <w:numFmt w:val="bullet"/>
      <w:lvlText w:val="•"/>
      <w:lvlJc w:val="left"/>
      <w:pPr>
        <w:ind w:left="7190" w:hanging="548"/>
      </w:pPr>
      <w:rPr>
        <w:lang w:val="en-US" w:eastAsia="en-US" w:bidi="en-US"/>
      </w:rPr>
    </w:lvl>
    <w:lvl w:ilvl="6" w:tplc="C0F042D4">
      <w:numFmt w:val="bullet"/>
      <w:lvlText w:val="•"/>
      <w:lvlJc w:val="left"/>
      <w:pPr>
        <w:ind w:left="8120" w:hanging="548"/>
      </w:pPr>
      <w:rPr>
        <w:lang w:val="en-US" w:eastAsia="en-US" w:bidi="en-US"/>
      </w:rPr>
    </w:lvl>
    <w:lvl w:ilvl="7" w:tplc="4A92340A">
      <w:numFmt w:val="bullet"/>
      <w:lvlText w:val="•"/>
      <w:lvlJc w:val="left"/>
      <w:pPr>
        <w:ind w:left="9050" w:hanging="548"/>
      </w:pPr>
      <w:rPr>
        <w:lang w:val="en-US" w:eastAsia="en-US" w:bidi="en-US"/>
      </w:rPr>
    </w:lvl>
    <w:lvl w:ilvl="8" w:tplc="E49CD626">
      <w:numFmt w:val="bullet"/>
      <w:lvlText w:val="•"/>
      <w:lvlJc w:val="left"/>
      <w:pPr>
        <w:ind w:left="9980" w:hanging="548"/>
      </w:pPr>
      <w:rPr>
        <w:lang w:val="en-US" w:eastAsia="en-US" w:bidi="en-US"/>
      </w:rPr>
    </w:lvl>
  </w:abstractNum>
  <w:abstractNum w:abstractNumId="78">
    <w:nsid w:val="751D1D32"/>
    <w:multiLevelType w:val="hybridMultilevel"/>
    <w:tmpl w:val="8F9271B8"/>
    <w:lvl w:ilvl="0" w:tplc="0890F3DE">
      <w:start w:val="1"/>
      <w:numFmt w:val="lowerLetter"/>
      <w:lvlText w:val="(%1)"/>
      <w:lvlJc w:val="left"/>
      <w:pPr>
        <w:ind w:left="2534" w:hanging="548"/>
      </w:pPr>
      <w:rPr>
        <w:spacing w:val="-1"/>
        <w:w w:val="99"/>
        <w:u w:val="single" w:color="000000"/>
        <w:lang w:val="en-US" w:eastAsia="en-US" w:bidi="en-US"/>
      </w:rPr>
    </w:lvl>
    <w:lvl w:ilvl="1" w:tplc="1B421600">
      <w:numFmt w:val="bullet"/>
      <w:lvlText w:val="•"/>
      <w:lvlJc w:val="left"/>
      <w:pPr>
        <w:ind w:left="3470" w:hanging="548"/>
      </w:pPr>
      <w:rPr>
        <w:lang w:val="en-US" w:eastAsia="en-US" w:bidi="en-US"/>
      </w:rPr>
    </w:lvl>
    <w:lvl w:ilvl="2" w:tplc="50D0978C">
      <w:numFmt w:val="bullet"/>
      <w:lvlText w:val="•"/>
      <w:lvlJc w:val="left"/>
      <w:pPr>
        <w:ind w:left="4400" w:hanging="548"/>
      </w:pPr>
      <w:rPr>
        <w:lang w:val="en-US" w:eastAsia="en-US" w:bidi="en-US"/>
      </w:rPr>
    </w:lvl>
    <w:lvl w:ilvl="3" w:tplc="73BEAA0E">
      <w:numFmt w:val="bullet"/>
      <w:lvlText w:val="•"/>
      <w:lvlJc w:val="left"/>
      <w:pPr>
        <w:ind w:left="5330" w:hanging="548"/>
      </w:pPr>
      <w:rPr>
        <w:lang w:val="en-US" w:eastAsia="en-US" w:bidi="en-US"/>
      </w:rPr>
    </w:lvl>
    <w:lvl w:ilvl="4" w:tplc="46B8945C">
      <w:numFmt w:val="bullet"/>
      <w:lvlText w:val="•"/>
      <w:lvlJc w:val="left"/>
      <w:pPr>
        <w:ind w:left="6260" w:hanging="548"/>
      </w:pPr>
      <w:rPr>
        <w:lang w:val="en-US" w:eastAsia="en-US" w:bidi="en-US"/>
      </w:rPr>
    </w:lvl>
    <w:lvl w:ilvl="5" w:tplc="192E3FEC">
      <w:numFmt w:val="bullet"/>
      <w:lvlText w:val="•"/>
      <w:lvlJc w:val="left"/>
      <w:pPr>
        <w:ind w:left="7190" w:hanging="548"/>
      </w:pPr>
      <w:rPr>
        <w:lang w:val="en-US" w:eastAsia="en-US" w:bidi="en-US"/>
      </w:rPr>
    </w:lvl>
    <w:lvl w:ilvl="6" w:tplc="8ED4E340">
      <w:numFmt w:val="bullet"/>
      <w:lvlText w:val="•"/>
      <w:lvlJc w:val="left"/>
      <w:pPr>
        <w:ind w:left="8120" w:hanging="548"/>
      </w:pPr>
      <w:rPr>
        <w:lang w:val="en-US" w:eastAsia="en-US" w:bidi="en-US"/>
      </w:rPr>
    </w:lvl>
    <w:lvl w:ilvl="7" w:tplc="D2EC6560">
      <w:numFmt w:val="bullet"/>
      <w:lvlText w:val="•"/>
      <w:lvlJc w:val="left"/>
      <w:pPr>
        <w:ind w:left="9050" w:hanging="548"/>
      </w:pPr>
      <w:rPr>
        <w:lang w:val="en-US" w:eastAsia="en-US" w:bidi="en-US"/>
      </w:rPr>
    </w:lvl>
    <w:lvl w:ilvl="8" w:tplc="A9E2F8BE">
      <w:numFmt w:val="bullet"/>
      <w:lvlText w:val="•"/>
      <w:lvlJc w:val="left"/>
      <w:pPr>
        <w:ind w:left="9980" w:hanging="548"/>
      </w:pPr>
      <w:rPr>
        <w:lang w:val="en-US" w:eastAsia="en-US" w:bidi="en-US"/>
      </w:rPr>
    </w:lvl>
  </w:abstractNum>
  <w:abstractNum w:abstractNumId="79">
    <w:nsid w:val="75AF1B44"/>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0">
    <w:nsid w:val="75F34A68"/>
    <w:multiLevelType w:val="hybridMultilevel"/>
    <w:tmpl w:val="FC04E82E"/>
    <w:lvl w:ilvl="0" w:tplc="862E2C22">
      <w:start w:val="1"/>
      <w:numFmt w:val="lowerLetter"/>
      <w:lvlText w:val="(%1)"/>
      <w:lvlJc w:val="left"/>
      <w:pPr>
        <w:tabs>
          <w:tab w:val="num" w:pos="1070"/>
        </w:tabs>
        <w:ind w:left="1070" w:hanging="360"/>
      </w:pPr>
      <w:rPr>
        <w:b w:val="0"/>
        <w:i w:val="0"/>
      </w:rPr>
    </w:lvl>
    <w:lvl w:ilvl="1" w:tplc="F2A2E2D4">
      <w:start w:val="1"/>
      <w:numFmt w:val="lowerRoman"/>
      <w:lvlText w:val="(%2) "/>
      <w:lvlJc w:val="left"/>
      <w:pPr>
        <w:tabs>
          <w:tab w:val="num" w:pos="1920"/>
        </w:tabs>
        <w:ind w:left="1920" w:hanging="360"/>
      </w:pPr>
      <w:rPr>
        <w:lang w:val="pt-P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1">
    <w:nsid w:val="7BB10EA7"/>
    <w:multiLevelType w:val="hybridMultilevel"/>
    <w:tmpl w:val="7AFEEAB0"/>
    <w:lvl w:ilvl="0" w:tplc="9C667222">
      <w:start w:val="1"/>
      <w:numFmt w:val="lowerRoman"/>
      <w:lvlText w:val="(%1) "/>
      <w:lvlJc w:val="center"/>
      <w:pPr>
        <w:tabs>
          <w:tab w:val="num" w:pos="1920"/>
        </w:tabs>
        <w:ind w:left="1920" w:hanging="360"/>
      </w:pPr>
      <w:rPr>
        <w:lang w:val="pt-BR"/>
      </w:rPr>
    </w:lvl>
    <w:lvl w:ilvl="1" w:tplc="E2F45132">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2">
    <w:nsid w:val="7BFF394C"/>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nsid w:val="7C982151"/>
    <w:multiLevelType w:val="hybridMultilevel"/>
    <w:tmpl w:val="A1BE9D48"/>
    <w:lvl w:ilvl="0" w:tplc="862E2C22">
      <w:start w:val="1"/>
      <w:numFmt w:val="lowerLetter"/>
      <w:lvlText w:val="(%1)"/>
      <w:lvlJc w:val="left"/>
      <w:pPr>
        <w:tabs>
          <w:tab w:val="num" w:pos="1070"/>
        </w:tabs>
        <w:ind w:left="107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4">
    <w:nsid w:val="7E3F7AD1"/>
    <w:multiLevelType w:val="hybridMultilevel"/>
    <w:tmpl w:val="F4D41D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7EAF5182"/>
    <w:multiLevelType w:val="hybridMultilevel"/>
    <w:tmpl w:val="69C895DA"/>
    <w:lvl w:ilvl="0" w:tplc="7618F6A8">
      <w:start w:val="1"/>
      <w:numFmt w:val="lowerLetter"/>
      <w:lvlText w:val="(%1)"/>
      <w:lvlJc w:val="left"/>
      <w:pPr>
        <w:ind w:left="2534" w:hanging="548"/>
      </w:pPr>
      <w:rPr>
        <w:spacing w:val="-1"/>
        <w:w w:val="99"/>
        <w:u w:val="single" w:color="000000"/>
        <w:lang w:val="en-US" w:eastAsia="en-US" w:bidi="en-US"/>
      </w:rPr>
    </w:lvl>
    <w:lvl w:ilvl="1" w:tplc="20F835EA">
      <w:numFmt w:val="bullet"/>
      <w:lvlText w:val="•"/>
      <w:lvlJc w:val="left"/>
      <w:pPr>
        <w:ind w:left="3470" w:hanging="548"/>
      </w:pPr>
      <w:rPr>
        <w:lang w:val="en-US" w:eastAsia="en-US" w:bidi="en-US"/>
      </w:rPr>
    </w:lvl>
    <w:lvl w:ilvl="2" w:tplc="A4805AD2">
      <w:numFmt w:val="bullet"/>
      <w:lvlText w:val="•"/>
      <w:lvlJc w:val="left"/>
      <w:pPr>
        <w:ind w:left="4400" w:hanging="548"/>
      </w:pPr>
      <w:rPr>
        <w:lang w:val="en-US" w:eastAsia="en-US" w:bidi="en-US"/>
      </w:rPr>
    </w:lvl>
    <w:lvl w:ilvl="3" w:tplc="ADF8B81E">
      <w:numFmt w:val="bullet"/>
      <w:lvlText w:val="•"/>
      <w:lvlJc w:val="left"/>
      <w:pPr>
        <w:ind w:left="5330" w:hanging="548"/>
      </w:pPr>
      <w:rPr>
        <w:lang w:val="en-US" w:eastAsia="en-US" w:bidi="en-US"/>
      </w:rPr>
    </w:lvl>
    <w:lvl w:ilvl="4" w:tplc="ECD2EBD4">
      <w:numFmt w:val="bullet"/>
      <w:lvlText w:val="•"/>
      <w:lvlJc w:val="left"/>
      <w:pPr>
        <w:ind w:left="6260" w:hanging="548"/>
      </w:pPr>
      <w:rPr>
        <w:lang w:val="en-US" w:eastAsia="en-US" w:bidi="en-US"/>
      </w:rPr>
    </w:lvl>
    <w:lvl w:ilvl="5" w:tplc="DFDCBC30">
      <w:numFmt w:val="bullet"/>
      <w:lvlText w:val="•"/>
      <w:lvlJc w:val="left"/>
      <w:pPr>
        <w:ind w:left="7190" w:hanging="548"/>
      </w:pPr>
      <w:rPr>
        <w:lang w:val="en-US" w:eastAsia="en-US" w:bidi="en-US"/>
      </w:rPr>
    </w:lvl>
    <w:lvl w:ilvl="6" w:tplc="0D32B580">
      <w:numFmt w:val="bullet"/>
      <w:lvlText w:val="•"/>
      <w:lvlJc w:val="left"/>
      <w:pPr>
        <w:ind w:left="8120" w:hanging="548"/>
      </w:pPr>
      <w:rPr>
        <w:lang w:val="en-US" w:eastAsia="en-US" w:bidi="en-US"/>
      </w:rPr>
    </w:lvl>
    <w:lvl w:ilvl="7" w:tplc="96083FB0">
      <w:numFmt w:val="bullet"/>
      <w:lvlText w:val="•"/>
      <w:lvlJc w:val="left"/>
      <w:pPr>
        <w:ind w:left="9050" w:hanging="548"/>
      </w:pPr>
      <w:rPr>
        <w:lang w:val="en-US" w:eastAsia="en-US" w:bidi="en-US"/>
      </w:rPr>
    </w:lvl>
    <w:lvl w:ilvl="8" w:tplc="A4B66EC6">
      <w:numFmt w:val="bullet"/>
      <w:lvlText w:val="•"/>
      <w:lvlJc w:val="left"/>
      <w:pPr>
        <w:ind w:left="9980" w:hanging="548"/>
      </w:pPr>
      <w:rPr>
        <w:lang w:val="en-US" w:eastAsia="en-US" w:bidi="en-US"/>
      </w:rPr>
    </w:lvl>
  </w:abstractNum>
  <w:abstractNum w:abstractNumId="86">
    <w:nsid w:val="7EC81AB9"/>
    <w:multiLevelType w:val="hybridMultilevel"/>
    <w:tmpl w:val="B39E2EFC"/>
    <w:lvl w:ilvl="0" w:tplc="F9BAD71C">
      <w:start w:val="1"/>
      <w:numFmt w:val="lowerLetter"/>
      <w:lvlText w:val="(%1)"/>
      <w:lvlJc w:val="left"/>
      <w:pPr>
        <w:ind w:left="2767" w:hanging="783"/>
      </w:pPr>
      <w:rPr>
        <w:rFonts w:ascii="Arial" w:eastAsia="Arial" w:hAnsi="Arial" w:cs="Arial" w:hint="default"/>
        <w:spacing w:val="-1"/>
        <w:w w:val="99"/>
        <w:sz w:val="20"/>
        <w:szCs w:val="20"/>
        <w:lang w:val="en-US" w:eastAsia="en-US" w:bidi="en-US"/>
      </w:rPr>
    </w:lvl>
    <w:lvl w:ilvl="1" w:tplc="E39A1BC6">
      <w:numFmt w:val="bullet"/>
      <w:lvlText w:val="•"/>
      <w:lvlJc w:val="left"/>
      <w:pPr>
        <w:ind w:left="3668" w:hanging="783"/>
      </w:pPr>
      <w:rPr>
        <w:lang w:val="en-US" w:eastAsia="en-US" w:bidi="en-US"/>
      </w:rPr>
    </w:lvl>
    <w:lvl w:ilvl="2" w:tplc="0194D93A">
      <w:numFmt w:val="bullet"/>
      <w:lvlText w:val="•"/>
      <w:lvlJc w:val="left"/>
      <w:pPr>
        <w:ind w:left="4576" w:hanging="783"/>
      </w:pPr>
      <w:rPr>
        <w:lang w:val="en-US" w:eastAsia="en-US" w:bidi="en-US"/>
      </w:rPr>
    </w:lvl>
    <w:lvl w:ilvl="3" w:tplc="0CF6AA4E">
      <w:numFmt w:val="bullet"/>
      <w:lvlText w:val="•"/>
      <w:lvlJc w:val="left"/>
      <w:pPr>
        <w:ind w:left="5484" w:hanging="783"/>
      </w:pPr>
      <w:rPr>
        <w:lang w:val="en-US" w:eastAsia="en-US" w:bidi="en-US"/>
      </w:rPr>
    </w:lvl>
    <w:lvl w:ilvl="4" w:tplc="20A824B6">
      <w:numFmt w:val="bullet"/>
      <w:lvlText w:val="•"/>
      <w:lvlJc w:val="left"/>
      <w:pPr>
        <w:ind w:left="6392" w:hanging="783"/>
      </w:pPr>
      <w:rPr>
        <w:lang w:val="en-US" w:eastAsia="en-US" w:bidi="en-US"/>
      </w:rPr>
    </w:lvl>
    <w:lvl w:ilvl="5" w:tplc="D2B05628">
      <w:numFmt w:val="bullet"/>
      <w:lvlText w:val="•"/>
      <w:lvlJc w:val="left"/>
      <w:pPr>
        <w:ind w:left="7300" w:hanging="783"/>
      </w:pPr>
      <w:rPr>
        <w:lang w:val="en-US" w:eastAsia="en-US" w:bidi="en-US"/>
      </w:rPr>
    </w:lvl>
    <w:lvl w:ilvl="6" w:tplc="9DCAC34C">
      <w:numFmt w:val="bullet"/>
      <w:lvlText w:val="•"/>
      <w:lvlJc w:val="left"/>
      <w:pPr>
        <w:ind w:left="8208" w:hanging="783"/>
      </w:pPr>
      <w:rPr>
        <w:lang w:val="en-US" w:eastAsia="en-US" w:bidi="en-US"/>
      </w:rPr>
    </w:lvl>
    <w:lvl w:ilvl="7" w:tplc="B7CCA3F8">
      <w:numFmt w:val="bullet"/>
      <w:lvlText w:val="•"/>
      <w:lvlJc w:val="left"/>
      <w:pPr>
        <w:ind w:left="9116" w:hanging="783"/>
      </w:pPr>
      <w:rPr>
        <w:lang w:val="en-US" w:eastAsia="en-US" w:bidi="en-US"/>
      </w:rPr>
    </w:lvl>
    <w:lvl w:ilvl="8" w:tplc="08B8DF82">
      <w:numFmt w:val="bullet"/>
      <w:lvlText w:val="•"/>
      <w:lvlJc w:val="left"/>
      <w:pPr>
        <w:ind w:left="10024" w:hanging="783"/>
      </w:pPr>
      <w:rPr>
        <w:lang w:val="en-US" w:eastAsia="en-US" w:bidi="en-US"/>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9"/>
  </w:num>
  <w:num w:numId="37">
    <w:abstractNumId w:val="9"/>
  </w:num>
  <w:num w:numId="38">
    <w:abstractNumId w:val="67"/>
  </w:num>
  <w:num w:numId="39">
    <w:abstractNumId w:val="21"/>
  </w:num>
  <w:num w:numId="40">
    <w:abstractNumId w:val="1"/>
  </w:num>
  <w:num w:numId="41">
    <w:abstractNumId w:val="84"/>
  </w:num>
  <w:num w:numId="42">
    <w:abstractNumId w:val="39"/>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72"/>
    <w:lvlOverride w:ilvl="0">
      <w:startOverride w:val="1"/>
    </w:lvlOverride>
    <w:lvlOverride w:ilvl="1"/>
    <w:lvlOverride w:ilvl="2"/>
    <w:lvlOverride w:ilvl="3"/>
    <w:lvlOverride w:ilvl="4"/>
    <w:lvlOverride w:ilvl="5"/>
    <w:lvlOverride w:ilvl="6"/>
    <w:lvlOverride w:ilvl="7"/>
    <w:lvlOverride w:ilvl="8"/>
  </w:num>
  <w:num w:numId="45">
    <w:abstractNumId w:val="48"/>
    <w:lvlOverride w:ilvl="0">
      <w:startOverride w:val="1"/>
    </w:lvlOverride>
    <w:lvlOverride w:ilvl="1"/>
    <w:lvlOverride w:ilvl="2"/>
    <w:lvlOverride w:ilvl="3"/>
    <w:lvlOverride w:ilvl="4"/>
    <w:lvlOverride w:ilvl="5"/>
    <w:lvlOverride w:ilvl="6"/>
    <w:lvlOverride w:ilvl="7"/>
    <w:lvlOverride w:ilvl="8"/>
  </w:num>
  <w:num w:numId="46">
    <w:abstractNumId w:val="29"/>
    <w:lvlOverride w:ilvl="0">
      <w:startOverride w:val="1"/>
    </w:lvlOverride>
    <w:lvlOverride w:ilvl="1"/>
    <w:lvlOverride w:ilvl="2"/>
    <w:lvlOverride w:ilvl="3"/>
    <w:lvlOverride w:ilvl="4"/>
    <w:lvlOverride w:ilvl="5"/>
    <w:lvlOverride w:ilvl="6"/>
    <w:lvlOverride w:ilvl="7"/>
    <w:lvlOverride w:ilvl="8"/>
  </w:num>
  <w:num w:numId="47">
    <w:abstractNumId w:val="57"/>
    <w:lvlOverride w:ilvl="0">
      <w:startOverride w:val="1"/>
    </w:lvlOverride>
    <w:lvlOverride w:ilvl="1"/>
    <w:lvlOverride w:ilvl="2"/>
    <w:lvlOverride w:ilvl="3"/>
    <w:lvlOverride w:ilvl="4"/>
    <w:lvlOverride w:ilvl="5"/>
    <w:lvlOverride w:ilvl="6"/>
    <w:lvlOverride w:ilvl="7"/>
    <w:lvlOverride w:ilvl="8"/>
  </w:num>
  <w:num w:numId="48">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34"/>
    <w:lvlOverride w:ilvl="0">
      <w:startOverride w:val="24"/>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26"/>
    <w:lvlOverride w:ilvl="0">
      <w:startOverride w:val="7"/>
    </w:lvlOverride>
    <w:lvlOverride w:ilvl="1"/>
    <w:lvlOverride w:ilvl="2"/>
    <w:lvlOverride w:ilvl="3"/>
    <w:lvlOverride w:ilvl="4"/>
    <w:lvlOverride w:ilvl="5"/>
    <w:lvlOverride w:ilvl="6"/>
    <w:lvlOverride w:ilvl="7"/>
    <w:lvlOverride w:ilvl="8"/>
  </w:num>
  <w:num w:numId="51">
    <w:abstractNumId w:val="53"/>
    <w:lvlOverride w:ilvl="0">
      <w:startOverride w:val="1"/>
    </w:lvlOverride>
    <w:lvlOverride w:ilvl="1"/>
    <w:lvlOverride w:ilvl="2"/>
    <w:lvlOverride w:ilvl="3"/>
    <w:lvlOverride w:ilvl="4"/>
    <w:lvlOverride w:ilvl="5"/>
    <w:lvlOverride w:ilvl="6"/>
    <w:lvlOverride w:ilvl="7"/>
    <w:lvlOverride w:ilvl="8"/>
  </w:num>
  <w:num w:numId="52">
    <w:abstractNumId w:val="18"/>
    <w:lvlOverride w:ilvl="0">
      <w:startOverride w:val="1"/>
    </w:lvlOverride>
    <w:lvlOverride w:ilvl="1"/>
    <w:lvlOverride w:ilvl="2"/>
    <w:lvlOverride w:ilvl="3"/>
    <w:lvlOverride w:ilvl="4"/>
    <w:lvlOverride w:ilvl="5"/>
    <w:lvlOverride w:ilvl="6"/>
    <w:lvlOverride w:ilvl="7"/>
    <w:lvlOverride w:ilvl="8"/>
  </w:num>
  <w:num w:numId="53">
    <w:abstractNumId w:val="22"/>
    <w:lvlOverride w:ilvl="0">
      <w:startOverride w:val="1"/>
    </w:lvlOverride>
    <w:lvlOverride w:ilvl="1"/>
    <w:lvlOverride w:ilvl="2"/>
    <w:lvlOverride w:ilvl="3"/>
    <w:lvlOverride w:ilvl="4"/>
    <w:lvlOverride w:ilvl="5"/>
    <w:lvlOverride w:ilvl="6"/>
    <w:lvlOverride w:ilvl="7"/>
    <w:lvlOverride w:ilvl="8"/>
  </w:num>
  <w:num w:numId="54">
    <w:abstractNumId w:val="86"/>
    <w:lvlOverride w:ilvl="0">
      <w:startOverride w:val="1"/>
    </w:lvlOverride>
    <w:lvlOverride w:ilvl="1"/>
    <w:lvlOverride w:ilvl="2"/>
    <w:lvlOverride w:ilvl="3"/>
    <w:lvlOverride w:ilvl="4"/>
    <w:lvlOverride w:ilvl="5"/>
    <w:lvlOverride w:ilvl="6"/>
    <w:lvlOverride w:ilvl="7"/>
    <w:lvlOverride w:ilvl="8"/>
  </w:num>
  <w:num w:numId="55">
    <w:abstractNumId w:val="13"/>
    <w:lvlOverride w:ilvl="0">
      <w:startOverride w:val="1"/>
    </w:lvlOverride>
    <w:lvlOverride w:ilvl="1"/>
    <w:lvlOverride w:ilvl="2"/>
    <w:lvlOverride w:ilvl="3"/>
    <w:lvlOverride w:ilvl="4"/>
    <w:lvlOverride w:ilvl="5"/>
    <w:lvlOverride w:ilvl="6"/>
    <w:lvlOverride w:ilvl="7"/>
    <w:lvlOverride w:ilvl="8"/>
  </w:num>
  <w:num w:numId="56">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15"/>
    <w:lvlOverride w:ilvl="0">
      <w:startOverride w:val="1"/>
    </w:lvlOverride>
    <w:lvlOverride w:ilvl="1"/>
    <w:lvlOverride w:ilvl="2"/>
    <w:lvlOverride w:ilvl="3"/>
    <w:lvlOverride w:ilvl="4"/>
    <w:lvlOverride w:ilvl="5"/>
    <w:lvlOverride w:ilvl="6"/>
    <w:lvlOverride w:ilvl="7"/>
    <w:lvlOverride w:ilvl="8"/>
  </w:num>
  <w:num w:numId="58">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60">
    <w:abstractNumId w:val="42"/>
    <w:lvlOverride w:ilvl="0">
      <w:startOverride w:val="3"/>
    </w:lvlOverride>
    <w:lvlOverride w:ilvl="1"/>
    <w:lvlOverride w:ilvl="2"/>
    <w:lvlOverride w:ilvl="3"/>
    <w:lvlOverride w:ilvl="4"/>
    <w:lvlOverride w:ilvl="5"/>
    <w:lvlOverride w:ilvl="6"/>
    <w:lvlOverride w:ilvl="7"/>
    <w:lvlOverride w:ilvl="8"/>
  </w:num>
  <w:num w:numId="61">
    <w:abstractNumId w:val="5"/>
    <w:lvlOverride w:ilvl="0">
      <w:startOverride w:val="1"/>
    </w:lvlOverride>
    <w:lvlOverride w:ilvl="1"/>
    <w:lvlOverride w:ilvl="2"/>
    <w:lvlOverride w:ilvl="3"/>
    <w:lvlOverride w:ilvl="4"/>
    <w:lvlOverride w:ilvl="5"/>
    <w:lvlOverride w:ilvl="6"/>
    <w:lvlOverride w:ilvl="7"/>
    <w:lvlOverride w:ilvl="8"/>
  </w:num>
  <w:num w:numId="62">
    <w:abstractNumId w:val="69"/>
    <w:lvlOverride w:ilvl="0">
      <w:startOverride w:val="1"/>
    </w:lvlOverride>
    <w:lvlOverride w:ilvl="1"/>
    <w:lvlOverride w:ilvl="2"/>
    <w:lvlOverride w:ilvl="3"/>
    <w:lvlOverride w:ilvl="4"/>
    <w:lvlOverride w:ilvl="5"/>
    <w:lvlOverride w:ilvl="6"/>
    <w:lvlOverride w:ilvl="7"/>
    <w:lvlOverride w:ilvl="8"/>
  </w:num>
  <w:num w:numId="63">
    <w:abstractNumId w:val="54"/>
    <w:lvlOverride w:ilvl="0">
      <w:startOverride w:val="1"/>
    </w:lvlOverride>
    <w:lvlOverride w:ilvl="1"/>
    <w:lvlOverride w:ilvl="2"/>
    <w:lvlOverride w:ilvl="3"/>
    <w:lvlOverride w:ilvl="4"/>
    <w:lvlOverride w:ilvl="5"/>
    <w:lvlOverride w:ilvl="6"/>
    <w:lvlOverride w:ilvl="7"/>
    <w:lvlOverride w:ilvl="8"/>
  </w:num>
  <w:num w:numId="64">
    <w:abstractNumId w:val="62"/>
    <w:lvlOverride w:ilvl="0">
      <w:startOverride w:val="1"/>
    </w:lvlOverride>
    <w:lvlOverride w:ilvl="1"/>
    <w:lvlOverride w:ilvl="2"/>
    <w:lvlOverride w:ilvl="3"/>
    <w:lvlOverride w:ilvl="4"/>
    <w:lvlOverride w:ilvl="5"/>
    <w:lvlOverride w:ilvl="6"/>
    <w:lvlOverride w:ilvl="7"/>
    <w:lvlOverride w:ilvl="8"/>
  </w:num>
  <w:num w:numId="65">
    <w:abstractNumId w:val="64"/>
    <w:lvlOverride w:ilvl="0">
      <w:startOverride w:val="1"/>
    </w:lvlOverride>
    <w:lvlOverride w:ilvl="1"/>
    <w:lvlOverride w:ilvl="2"/>
    <w:lvlOverride w:ilvl="3"/>
    <w:lvlOverride w:ilvl="4"/>
    <w:lvlOverride w:ilvl="5"/>
    <w:lvlOverride w:ilvl="6"/>
    <w:lvlOverride w:ilvl="7"/>
    <w:lvlOverride w:ilvl="8"/>
  </w:num>
  <w:num w:numId="66">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33"/>
    <w:lvlOverride w:ilvl="0">
      <w:startOverride w:val="1"/>
    </w:lvlOverride>
    <w:lvlOverride w:ilvl="1"/>
    <w:lvlOverride w:ilvl="2"/>
    <w:lvlOverride w:ilvl="3"/>
    <w:lvlOverride w:ilvl="4"/>
    <w:lvlOverride w:ilvl="5"/>
    <w:lvlOverride w:ilvl="6"/>
    <w:lvlOverride w:ilvl="7"/>
    <w:lvlOverride w:ilvl="8"/>
  </w:num>
  <w:num w:numId="70">
    <w:abstractNumId w:val="6"/>
    <w:lvlOverride w:ilvl="0">
      <w:startOverride w:val="1"/>
    </w:lvlOverride>
    <w:lvlOverride w:ilvl="1"/>
    <w:lvlOverride w:ilvl="2"/>
    <w:lvlOverride w:ilvl="3"/>
    <w:lvlOverride w:ilvl="4"/>
    <w:lvlOverride w:ilvl="5"/>
    <w:lvlOverride w:ilvl="6"/>
    <w:lvlOverride w:ilvl="7"/>
    <w:lvlOverride w:ilvl="8"/>
  </w:num>
  <w:num w:numId="71">
    <w:abstractNumId w:val="43"/>
    <w:lvlOverride w:ilvl="0">
      <w:startOverride w:val="1"/>
    </w:lvlOverride>
    <w:lvlOverride w:ilvl="1"/>
    <w:lvlOverride w:ilvl="2"/>
    <w:lvlOverride w:ilvl="3"/>
    <w:lvlOverride w:ilvl="4"/>
    <w:lvlOverride w:ilvl="5"/>
    <w:lvlOverride w:ilvl="6"/>
    <w:lvlOverride w:ilvl="7"/>
    <w:lvlOverride w:ilvl="8"/>
  </w:num>
  <w:num w:numId="72">
    <w:abstractNumId w:val="66"/>
    <w:lvlOverride w:ilvl="0">
      <w:startOverride w:val="2"/>
    </w:lvlOverride>
    <w:lvlOverride w:ilvl="1"/>
    <w:lvlOverride w:ilvl="2"/>
    <w:lvlOverride w:ilvl="3"/>
    <w:lvlOverride w:ilvl="4"/>
    <w:lvlOverride w:ilvl="5"/>
    <w:lvlOverride w:ilvl="6"/>
    <w:lvlOverride w:ilvl="7"/>
    <w:lvlOverride w:ilvl="8"/>
  </w:num>
  <w:num w:numId="7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2"/>
    <w:lvlOverride w:ilvl="0">
      <w:startOverride w:val="43"/>
    </w:lvlOverride>
    <w:lvlOverride w:ilvl="1">
      <w:startOverride w:val="1"/>
    </w:lvlOverride>
    <w:lvlOverride w:ilvl="2"/>
    <w:lvlOverride w:ilvl="3"/>
    <w:lvlOverride w:ilvl="4"/>
    <w:lvlOverride w:ilvl="5"/>
    <w:lvlOverride w:ilvl="6"/>
    <w:lvlOverride w:ilvl="7"/>
    <w:lvlOverride w:ilvl="8"/>
  </w:num>
  <w:num w:numId="75">
    <w:abstractNumId w:val="85"/>
    <w:lvlOverride w:ilvl="0">
      <w:startOverride w:val="1"/>
    </w:lvlOverride>
    <w:lvlOverride w:ilvl="1"/>
    <w:lvlOverride w:ilvl="2"/>
    <w:lvlOverride w:ilvl="3"/>
    <w:lvlOverride w:ilvl="4"/>
    <w:lvlOverride w:ilvl="5"/>
    <w:lvlOverride w:ilvl="6"/>
    <w:lvlOverride w:ilvl="7"/>
    <w:lvlOverride w:ilvl="8"/>
  </w:num>
  <w:num w:numId="76">
    <w:abstractNumId w:val="24"/>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63"/>
    <w:lvlOverride w:ilvl="0">
      <w:startOverride w:val="1"/>
    </w:lvlOverride>
    <w:lvlOverride w:ilvl="1"/>
    <w:lvlOverride w:ilvl="2"/>
    <w:lvlOverride w:ilvl="3"/>
    <w:lvlOverride w:ilvl="4"/>
    <w:lvlOverride w:ilvl="5"/>
    <w:lvlOverride w:ilvl="6"/>
    <w:lvlOverride w:ilvl="7"/>
    <w:lvlOverride w:ilvl="8"/>
  </w:num>
  <w:num w:numId="79">
    <w:abstractNumId w:val="73"/>
    <w:lvlOverride w:ilvl="0">
      <w:startOverride w:val="1"/>
    </w:lvlOverride>
    <w:lvlOverride w:ilvl="1"/>
    <w:lvlOverride w:ilvl="2"/>
    <w:lvlOverride w:ilvl="3"/>
    <w:lvlOverride w:ilvl="4"/>
    <w:lvlOverride w:ilvl="5"/>
    <w:lvlOverride w:ilvl="6"/>
    <w:lvlOverride w:ilvl="7"/>
    <w:lvlOverride w:ilvl="8"/>
  </w:num>
  <w:num w:numId="80">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81">
    <w:abstractNumId w:val="77"/>
    <w:lvlOverride w:ilvl="0">
      <w:startOverride w:val="1"/>
    </w:lvlOverride>
    <w:lvlOverride w:ilvl="1"/>
    <w:lvlOverride w:ilvl="2"/>
    <w:lvlOverride w:ilvl="3"/>
    <w:lvlOverride w:ilvl="4"/>
    <w:lvlOverride w:ilvl="5"/>
    <w:lvlOverride w:ilvl="6"/>
    <w:lvlOverride w:ilvl="7"/>
    <w:lvlOverride w:ilvl="8"/>
  </w:num>
  <w:num w:numId="82">
    <w:abstractNumId w:val="50"/>
    <w:lvlOverride w:ilvl="0">
      <w:startOverride w:val="1"/>
    </w:lvlOverride>
    <w:lvlOverride w:ilvl="1"/>
    <w:lvlOverride w:ilvl="2"/>
    <w:lvlOverride w:ilvl="3"/>
    <w:lvlOverride w:ilvl="4"/>
    <w:lvlOverride w:ilvl="5"/>
    <w:lvlOverride w:ilvl="6"/>
    <w:lvlOverride w:ilvl="7"/>
    <w:lvlOverride w:ilvl="8"/>
  </w:num>
  <w:num w:numId="83">
    <w:abstractNumId w:val="16"/>
    <w:lvlOverride w:ilvl="0">
      <w:startOverride w:val="1"/>
    </w:lvlOverride>
    <w:lvlOverride w:ilvl="1"/>
    <w:lvlOverride w:ilvl="2"/>
    <w:lvlOverride w:ilvl="3"/>
    <w:lvlOverride w:ilvl="4"/>
    <w:lvlOverride w:ilvl="5"/>
    <w:lvlOverride w:ilvl="6"/>
    <w:lvlOverride w:ilvl="7"/>
    <w:lvlOverride w:ilvl="8"/>
  </w:num>
  <w:num w:numId="84">
    <w:abstractNumId w:val="75"/>
    <w:lvlOverride w:ilvl="0">
      <w:startOverride w:val="1"/>
    </w:lvlOverride>
    <w:lvlOverride w:ilvl="1"/>
    <w:lvlOverride w:ilvl="2"/>
    <w:lvlOverride w:ilvl="3"/>
    <w:lvlOverride w:ilvl="4"/>
    <w:lvlOverride w:ilvl="5"/>
    <w:lvlOverride w:ilvl="6"/>
    <w:lvlOverride w:ilvl="7"/>
    <w:lvlOverride w:ilvl="8"/>
  </w:num>
  <w:num w:numId="85">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55"/>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90">
    <w:abstractNumId w:val="0"/>
  </w:num>
  <w:num w:numId="91">
    <w:abstractNumId w:val="1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FAZ">
    <w15:presenceInfo w15:providerId="None" w15:userId="SEFAZ"/>
  </w15:person>
  <w15:person w15:author="Bruno Dias">
    <w15:presenceInfo w15:providerId="None" w15:userId="Bruno Dias"/>
  </w15:person>
  <w15:person w15:author="Leonardo Silveira do Nascimento">
    <w15:presenceInfo w15:providerId="AD" w15:userId="S::leonardo.nascimento@tesouro.gov.br::bf4224b2-735d-48a7-ab44-10eda09742d9"/>
  </w15:person>
  <w15:person w15:author="Patrícia Varela">
    <w15:presenceInfo w15:providerId="None" w15:userId="Patrícia Vare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097A42"/>
    <w:rsid w:val="00002433"/>
    <w:rsid w:val="000030FE"/>
    <w:rsid w:val="000101B0"/>
    <w:rsid w:val="00011732"/>
    <w:rsid w:val="0001226A"/>
    <w:rsid w:val="0001441D"/>
    <w:rsid w:val="00014AC1"/>
    <w:rsid w:val="00015E20"/>
    <w:rsid w:val="00027201"/>
    <w:rsid w:val="00027B6A"/>
    <w:rsid w:val="00035BB6"/>
    <w:rsid w:val="00043B93"/>
    <w:rsid w:val="0004433C"/>
    <w:rsid w:val="00044443"/>
    <w:rsid w:val="00054027"/>
    <w:rsid w:val="000609A9"/>
    <w:rsid w:val="00070219"/>
    <w:rsid w:val="000706B3"/>
    <w:rsid w:val="00072DD0"/>
    <w:rsid w:val="00073CDF"/>
    <w:rsid w:val="00074151"/>
    <w:rsid w:val="00075016"/>
    <w:rsid w:val="000805E8"/>
    <w:rsid w:val="00080F96"/>
    <w:rsid w:val="0008320E"/>
    <w:rsid w:val="00084ED5"/>
    <w:rsid w:val="000863A9"/>
    <w:rsid w:val="00086E75"/>
    <w:rsid w:val="000870C0"/>
    <w:rsid w:val="00091E86"/>
    <w:rsid w:val="000933A9"/>
    <w:rsid w:val="00096CD1"/>
    <w:rsid w:val="00097A42"/>
    <w:rsid w:val="000A7992"/>
    <w:rsid w:val="000C4D5D"/>
    <w:rsid w:val="000D6592"/>
    <w:rsid w:val="000E1796"/>
    <w:rsid w:val="000E55E0"/>
    <w:rsid w:val="000E6E19"/>
    <w:rsid w:val="000F0F63"/>
    <w:rsid w:val="000F120E"/>
    <w:rsid w:val="000F555E"/>
    <w:rsid w:val="000F6E7B"/>
    <w:rsid w:val="00100C5F"/>
    <w:rsid w:val="00107279"/>
    <w:rsid w:val="00110F13"/>
    <w:rsid w:val="001217CB"/>
    <w:rsid w:val="00127AA4"/>
    <w:rsid w:val="00127B33"/>
    <w:rsid w:val="00130E2B"/>
    <w:rsid w:val="001321DC"/>
    <w:rsid w:val="00141402"/>
    <w:rsid w:val="00141912"/>
    <w:rsid w:val="00141E54"/>
    <w:rsid w:val="00143CFB"/>
    <w:rsid w:val="001468A2"/>
    <w:rsid w:val="00147FE1"/>
    <w:rsid w:val="001562D6"/>
    <w:rsid w:val="00156AB7"/>
    <w:rsid w:val="00157B5D"/>
    <w:rsid w:val="001609F3"/>
    <w:rsid w:val="00161865"/>
    <w:rsid w:val="00161BB7"/>
    <w:rsid w:val="00164E3C"/>
    <w:rsid w:val="00164F67"/>
    <w:rsid w:val="0016580C"/>
    <w:rsid w:val="0016643D"/>
    <w:rsid w:val="00167E15"/>
    <w:rsid w:val="0017027A"/>
    <w:rsid w:val="00172C09"/>
    <w:rsid w:val="00173066"/>
    <w:rsid w:val="00174588"/>
    <w:rsid w:val="00182A7B"/>
    <w:rsid w:val="00182A7F"/>
    <w:rsid w:val="00183F9F"/>
    <w:rsid w:val="00195327"/>
    <w:rsid w:val="001A0B89"/>
    <w:rsid w:val="001A0F55"/>
    <w:rsid w:val="001A4A23"/>
    <w:rsid w:val="001A5E77"/>
    <w:rsid w:val="001B090A"/>
    <w:rsid w:val="001B2C27"/>
    <w:rsid w:val="001B52C6"/>
    <w:rsid w:val="001B560B"/>
    <w:rsid w:val="001C26F9"/>
    <w:rsid w:val="001D1E5A"/>
    <w:rsid w:val="001D29C2"/>
    <w:rsid w:val="001D70E5"/>
    <w:rsid w:val="001E12C8"/>
    <w:rsid w:val="001E24ED"/>
    <w:rsid w:val="001F00A1"/>
    <w:rsid w:val="001F0871"/>
    <w:rsid w:val="001F597E"/>
    <w:rsid w:val="001F5AB8"/>
    <w:rsid w:val="001F7DF6"/>
    <w:rsid w:val="002015C6"/>
    <w:rsid w:val="00206B4B"/>
    <w:rsid w:val="00214971"/>
    <w:rsid w:val="0022270D"/>
    <w:rsid w:val="00223A72"/>
    <w:rsid w:val="00225381"/>
    <w:rsid w:val="0022648E"/>
    <w:rsid w:val="002364FC"/>
    <w:rsid w:val="00241AE5"/>
    <w:rsid w:val="00241D0E"/>
    <w:rsid w:val="00244024"/>
    <w:rsid w:val="00256253"/>
    <w:rsid w:val="00256761"/>
    <w:rsid w:val="00261602"/>
    <w:rsid w:val="00261B47"/>
    <w:rsid w:val="00262AED"/>
    <w:rsid w:val="002657EC"/>
    <w:rsid w:val="00266426"/>
    <w:rsid w:val="0026694D"/>
    <w:rsid w:val="00270090"/>
    <w:rsid w:val="00271FD5"/>
    <w:rsid w:val="002748CA"/>
    <w:rsid w:val="00274AF6"/>
    <w:rsid w:val="002773C9"/>
    <w:rsid w:val="00281038"/>
    <w:rsid w:val="002854DF"/>
    <w:rsid w:val="00286022"/>
    <w:rsid w:val="00297877"/>
    <w:rsid w:val="002A14A6"/>
    <w:rsid w:val="002A1771"/>
    <w:rsid w:val="002A1924"/>
    <w:rsid w:val="002A257E"/>
    <w:rsid w:val="002A55C9"/>
    <w:rsid w:val="002A5CD9"/>
    <w:rsid w:val="002B1148"/>
    <w:rsid w:val="002B64F3"/>
    <w:rsid w:val="002B6E30"/>
    <w:rsid w:val="002B7419"/>
    <w:rsid w:val="002C1505"/>
    <w:rsid w:val="002C1508"/>
    <w:rsid w:val="002D2243"/>
    <w:rsid w:val="002D500C"/>
    <w:rsid w:val="002D51C7"/>
    <w:rsid w:val="002D63F1"/>
    <w:rsid w:val="002D73F2"/>
    <w:rsid w:val="002E07AD"/>
    <w:rsid w:val="002E0EF4"/>
    <w:rsid w:val="002E5B94"/>
    <w:rsid w:val="002F0B27"/>
    <w:rsid w:val="002F16BD"/>
    <w:rsid w:val="002F79D2"/>
    <w:rsid w:val="00300B2A"/>
    <w:rsid w:val="00301D0E"/>
    <w:rsid w:val="00303B90"/>
    <w:rsid w:val="00311E59"/>
    <w:rsid w:val="00312716"/>
    <w:rsid w:val="003155EA"/>
    <w:rsid w:val="00315A12"/>
    <w:rsid w:val="00317507"/>
    <w:rsid w:val="0031775F"/>
    <w:rsid w:val="00321891"/>
    <w:rsid w:val="00333DDD"/>
    <w:rsid w:val="00333F5F"/>
    <w:rsid w:val="00342A2C"/>
    <w:rsid w:val="00342CD9"/>
    <w:rsid w:val="00345F31"/>
    <w:rsid w:val="00353CBE"/>
    <w:rsid w:val="00356AD3"/>
    <w:rsid w:val="00362EEA"/>
    <w:rsid w:val="0037127F"/>
    <w:rsid w:val="00377964"/>
    <w:rsid w:val="00384FBA"/>
    <w:rsid w:val="003854D8"/>
    <w:rsid w:val="00387A1B"/>
    <w:rsid w:val="0039180F"/>
    <w:rsid w:val="003A29E8"/>
    <w:rsid w:val="003A4754"/>
    <w:rsid w:val="003A63CC"/>
    <w:rsid w:val="003B051B"/>
    <w:rsid w:val="003B4DE4"/>
    <w:rsid w:val="003B784A"/>
    <w:rsid w:val="003C4CD3"/>
    <w:rsid w:val="003C62A4"/>
    <w:rsid w:val="003C6368"/>
    <w:rsid w:val="003D6075"/>
    <w:rsid w:val="003D6EF2"/>
    <w:rsid w:val="003D7C01"/>
    <w:rsid w:val="003E02C7"/>
    <w:rsid w:val="003E0DED"/>
    <w:rsid w:val="003E0E3C"/>
    <w:rsid w:val="003E36F5"/>
    <w:rsid w:val="003E4FDA"/>
    <w:rsid w:val="003F66D7"/>
    <w:rsid w:val="003F6D58"/>
    <w:rsid w:val="0040022B"/>
    <w:rsid w:val="0040148D"/>
    <w:rsid w:val="00410AE3"/>
    <w:rsid w:val="0041345F"/>
    <w:rsid w:val="004165BD"/>
    <w:rsid w:val="00425EAD"/>
    <w:rsid w:val="00430552"/>
    <w:rsid w:val="004305BC"/>
    <w:rsid w:val="00432D8C"/>
    <w:rsid w:val="004361DC"/>
    <w:rsid w:val="00440B24"/>
    <w:rsid w:val="004412B9"/>
    <w:rsid w:val="004423B1"/>
    <w:rsid w:val="00455AF9"/>
    <w:rsid w:val="004615A1"/>
    <w:rsid w:val="0047287B"/>
    <w:rsid w:val="00475932"/>
    <w:rsid w:val="004857E0"/>
    <w:rsid w:val="00485A1C"/>
    <w:rsid w:val="00486E0A"/>
    <w:rsid w:val="00491AC3"/>
    <w:rsid w:val="00492784"/>
    <w:rsid w:val="00493658"/>
    <w:rsid w:val="004967F8"/>
    <w:rsid w:val="004A1256"/>
    <w:rsid w:val="004A1806"/>
    <w:rsid w:val="004A2EE2"/>
    <w:rsid w:val="004A79BF"/>
    <w:rsid w:val="004A7D74"/>
    <w:rsid w:val="004B6662"/>
    <w:rsid w:val="004C18EB"/>
    <w:rsid w:val="004C2D87"/>
    <w:rsid w:val="004D036B"/>
    <w:rsid w:val="004E17AF"/>
    <w:rsid w:val="004E189E"/>
    <w:rsid w:val="004E3670"/>
    <w:rsid w:val="004F0C95"/>
    <w:rsid w:val="00502660"/>
    <w:rsid w:val="00503792"/>
    <w:rsid w:val="00515245"/>
    <w:rsid w:val="00520694"/>
    <w:rsid w:val="005209A4"/>
    <w:rsid w:val="005223A1"/>
    <w:rsid w:val="005306C6"/>
    <w:rsid w:val="00531F19"/>
    <w:rsid w:val="005441DD"/>
    <w:rsid w:val="00546E5D"/>
    <w:rsid w:val="00555727"/>
    <w:rsid w:val="00561E49"/>
    <w:rsid w:val="00562172"/>
    <w:rsid w:val="00564820"/>
    <w:rsid w:val="005664EA"/>
    <w:rsid w:val="00567A87"/>
    <w:rsid w:val="00570171"/>
    <w:rsid w:val="005722D7"/>
    <w:rsid w:val="005755CF"/>
    <w:rsid w:val="00576C1E"/>
    <w:rsid w:val="00582A97"/>
    <w:rsid w:val="00583269"/>
    <w:rsid w:val="00583EE8"/>
    <w:rsid w:val="00584495"/>
    <w:rsid w:val="005845B0"/>
    <w:rsid w:val="0058644A"/>
    <w:rsid w:val="005902CB"/>
    <w:rsid w:val="005968E2"/>
    <w:rsid w:val="00596E3D"/>
    <w:rsid w:val="005A0282"/>
    <w:rsid w:val="005B06E3"/>
    <w:rsid w:val="005B6400"/>
    <w:rsid w:val="005C4A8E"/>
    <w:rsid w:val="005C58FB"/>
    <w:rsid w:val="005D0A03"/>
    <w:rsid w:val="005D3EDC"/>
    <w:rsid w:val="005D5782"/>
    <w:rsid w:val="005D657C"/>
    <w:rsid w:val="005E0773"/>
    <w:rsid w:val="005E7562"/>
    <w:rsid w:val="005F25AA"/>
    <w:rsid w:val="005F4767"/>
    <w:rsid w:val="006007D6"/>
    <w:rsid w:val="0060271C"/>
    <w:rsid w:val="00602F0C"/>
    <w:rsid w:val="00606CDE"/>
    <w:rsid w:val="00615593"/>
    <w:rsid w:val="00616575"/>
    <w:rsid w:val="00617001"/>
    <w:rsid w:val="00617FE0"/>
    <w:rsid w:val="006213EA"/>
    <w:rsid w:val="00622013"/>
    <w:rsid w:val="00633637"/>
    <w:rsid w:val="00634E9B"/>
    <w:rsid w:val="006367CB"/>
    <w:rsid w:val="006405CA"/>
    <w:rsid w:val="0064516C"/>
    <w:rsid w:val="00646EE3"/>
    <w:rsid w:val="00653019"/>
    <w:rsid w:val="00657EEE"/>
    <w:rsid w:val="00661290"/>
    <w:rsid w:val="0066363C"/>
    <w:rsid w:val="0067526A"/>
    <w:rsid w:val="00676AF3"/>
    <w:rsid w:val="006770EB"/>
    <w:rsid w:val="00680144"/>
    <w:rsid w:val="00680C31"/>
    <w:rsid w:val="00686BDF"/>
    <w:rsid w:val="0069000B"/>
    <w:rsid w:val="006916C5"/>
    <w:rsid w:val="00695474"/>
    <w:rsid w:val="006A0B9A"/>
    <w:rsid w:val="006A3339"/>
    <w:rsid w:val="006A784B"/>
    <w:rsid w:val="006A799E"/>
    <w:rsid w:val="006A7CE7"/>
    <w:rsid w:val="006B4764"/>
    <w:rsid w:val="006B50F2"/>
    <w:rsid w:val="006B643E"/>
    <w:rsid w:val="006B75C5"/>
    <w:rsid w:val="006C0FC1"/>
    <w:rsid w:val="006C15F7"/>
    <w:rsid w:val="006C58B5"/>
    <w:rsid w:val="006C6DAC"/>
    <w:rsid w:val="006D03C0"/>
    <w:rsid w:val="006D0871"/>
    <w:rsid w:val="006D14A3"/>
    <w:rsid w:val="006D16C8"/>
    <w:rsid w:val="006D5A34"/>
    <w:rsid w:val="006D7162"/>
    <w:rsid w:val="006E1F60"/>
    <w:rsid w:val="006E38CF"/>
    <w:rsid w:val="006E6631"/>
    <w:rsid w:val="006E71B2"/>
    <w:rsid w:val="006F5DEC"/>
    <w:rsid w:val="00702A8A"/>
    <w:rsid w:val="00703682"/>
    <w:rsid w:val="00703C4D"/>
    <w:rsid w:val="00716571"/>
    <w:rsid w:val="007201B5"/>
    <w:rsid w:val="00721B00"/>
    <w:rsid w:val="00721BA8"/>
    <w:rsid w:val="007308AD"/>
    <w:rsid w:val="00743E20"/>
    <w:rsid w:val="007516D6"/>
    <w:rsid w:val="00754E32"/>
    <w:rsid w:val="0075585D"/>
    <w:rsid w:val="00761B4A"/>
    <w:rsid w:val="00765B2A"/>
    <w:rsid w:val="0077143C"/>
    <w:rsid w:val="00780104"/>
    <w:rsid w:val="00784A3F"/>
    <w:rsid w:val="00787C89"/>
    <w:rsid w:val="007902CA"/>
    <w:rsid w:val="00793DD2"/>
    <w:rsid w:val="007970A3"/>
    <w:rsid w:val="007A0EBB"/>
    <w:rsid w:val="007A43FD"/>
    <w:rsid w:val="007A63E2"/>
    <w:rsid w:val="007A7691"/>
    <w:rsid w:val="007A7BD2"/>
    <w:rsid w:val="007B4D7E"/>
    <w:rsid w:val="007C5735"/>
    <w:rsid w:val="007D4A47"/>
    <w:rsid w:val="007D69C5"/>
    <w:rsid w:val="007D7658"/>
    <w:rsid w:val="007E4738"/>
    <w:rsid w:val="007E57FC"/>
    <w:rsid w:val="007E7E1E"/>
    <w:rsid w:val="007F0EC9"/>
    <w:rsid w:val="007F27F6"/>
    <w:rsid w:val="007F3891"/>
    <w:rsid w:val="007F5304"/>
    <w:rsid w:val="007F5A27"/>
    <w:rsid w:val="007F64EA"/>
    <w:rsid w:val="007F71F3"/>
    <w:rsid w:val="008015FB"/>
    <w:rsid w:val="00804562"/>
    <w:rsid w:val="00806DC0"/>
    <w:rsid w:val="00814031"/>
    <w:rsid w:val="00815BF4"/>
    <w:rsid w:val="00815EEF"/>
    <w:rsid w:val="008175DD"/>
    <w:rsid w:val="008205E6"/>
    <w:rsid w:val="00820B46"/>
    <w:rsid w:val="008306C5"/>
    <w:rsid w:val="00831F84"/>
    <w:rsid w:val="00834C89"/>
    <w:rsid w:val="00841A5D"/>
    <w:rsid w:val="0084294D"/>
    <w:rsid w:val="008447D3"/>
    <w:rsid w:val="008509C4"/>
    <w:rsid w:val="008526A4"/>
    <w:rsid w:val="00852FE7"/>
    <w:rsid w:val="00853CDA"/>
    <w:rsid w:val="008542E6"/>
    <w:rsid w:val="008562E1"/>
    <w:rsid w:val="0085630F"/>
    <w:rsid w:val="00857271"/>
    <w:rsid w:val="008603E6"/>
    <w:rsid w:val="0086063E"/>
    <w:rsid w:val="0086170B"/>
    <w:rsid w:val="00862B53"/>
    <w:rsid w:val="00862F55"/>
    <w:rsid w:val="00862F5E"/>
    <w:rsid w:val="0086338B"/>
    <w:rsid w:val="00863BF0"/>
    <w:rsid w:val="00864BAB"/>
    <w:rsid w:val="00866C16"/>
    <w:rsid w:val="00867945"/>
    <w:rsid w:val="00870AB9"/>
    <w:rsid w:val="008722B9"/>
    <w:rsid w:val="00872C1A"/>
    <w:rsid w:val="008740F4"/>
    <w:rsid w:val="00874E4C"/>
    <w:rsid w:val="00875791"/>
    <w:rsid w:val="0087671C"/>
    <w:rsid w:val="008853CB"/>
    <w:rsid w:val="00886428"/>
    <w:rsid w:val="00890371"/>
    <w:rsid w:val="00894B95"/>
    <w:rsid w:val="00896984"/>
    <w:rsid w:val="00897D19"/>
    <w:rsid w:val="008A182A"/>
    <w:rsid w:val="008A3E5B"/>
    <w:rsid w:val="008A4C6D"/>
    <w:rsid w:val="008A53F6"/>
    <w:rsid w:val="008A7E34"/>
    <w:rsid w:val="008B7AEC"/>
    <w:rsid w:val="008C0BA7"/>
    <w:rsid w:val="008C3FC2"/>
    <w:rsid w:val="008C4558"/>
    <w:rsid w:val="008C4D39"/>
    <w:rsid w:val="008C5A95"/>
    <w:rsid w:val="008D4649"/>
    <w:rsid w:val="008D6618"/>
    <w:rsid w:val="008D7D65"/>
    <w:rsid w:val="008E486A"/>
    <w:rsid w:val="008E51D1"/>
    <w:rsid w:val="008E61FE"/>
    <w:rsid w:val="008F00CD"/>
    <w:rsid w:val="008F0B4C"/>
    <w:rsid w:val="008F4214"/>
    <w:rsid w:val="00903173"/>
    <w:rsid w:val="00911A65"/>
    <w:rsid w:val="0091369C"/>
    <w:rsid w:val="00920BB5"/>
    <w:rsid w:val="009244EC"/>
    <w:rsid w:val="00931572"/>
    <w:rsid w:val="00931972"/>
    <w:rsid w:val="00934717"/>
    <w:rsid w:val="0093573A"/>
    <w:rsid w:val="00937681"/>
    <w:rsid w:val="00940A6D"/>
    <w:rsid w:val="009456B6"/>
    <w:rsid w:val="00945C98"/>
    <w:rsid w:val="00947637"/>
    <w:rsid w:val="00947CC0"/>
    <w:rsid w:val="0095286F"/>
    <w:rsid w:val="009555EA"/>
    <w:rsid w:val="00955F94"/>
    <w:rsid w:val="00957379"/>
    <w:rsid w:val="00961BCC"/>
    <w:rsid w:val="00962F57"/>
    <w:rsid w:val="00971253"/>
    <w:rsid w:val="00974335"/>
    <w:rsid w:val="009749C1"/>
    <w:rsid w:val="009778A4"/>
    <w:rsid w:val="00980BDF"/>
    <w:rsid w:val="00992895"/>
    <w:rsid w:val="009938FA"/>
    <w:rsid w:val="009A02ED"/>
    <w:rsid w:val="009A2F23"/>
    <w:rsid w:val="009A59DE"/>
    <w:rsid w:val="009A741A"/>
    <w:rsid w:val="009B3B7F"/>
    <w:rsid w:val="009C0441"/>
    <w:rsid w:val="009C0F08"/>
    <w:rsid w:val="009C2C9C"/>
    <w:rsid w:val="009C348A"/>
    <w:rsid w:val="009D30D1"/>
    <w:rsid w:val="009D4D4B"/>
    <w:rsid w:val="009D4F5D"/>
    <w:rsid w:val="009E1014"/>
    <w:rsid w:val="009E7095"/>
    <w:rsid w:val="009F015C"/>
    <w:rsid w:val="009F4896"/>
    <w:rsid w:val="009F638A"/>
    <w:rsid w:val="009F749C"/>
    <w:rsid w:val="00A022A4"/>
    <w:rsid w:val="00A02544"/>
    <w:rsid w:val="00A032A6"/>
    <w:rsid w:val="00A10A36"/>
    <w:rsid w:val="00A1179A"/>
    <w:rsid w:val="00A1363E"/>
    <w:rsid w:val="00A137D3"/>
    <w:rsid w:val="00A144FB"/>
    <w:rsid w:val="00A20EB8"/>
    <w:rsid w:val="00A24E41"/>
    <w:rsid w:val="00A304B9"/>
    <w:rsid w:val="00A33393"/>
    <w:rsid w:val="00A33EF8"/>
    <w:rsid w:val="00A36085"/>
    <w:rsid w:val="00A362DE"/>
    <w:rsid w:val="00A3633C"/>
    <w:rsid w:val="00A36DCD"/>
    <w:rsid w:val="00A40C85"/>
    <w:rsid w:val="00A46E69"/>
    <w:rsid w:val="00A52B85"/>
    <w:rsid w:val="00A5353A"/>
    <w:rsid w:val="00A54B59"/>
    <w:rsid w:val="00A574BE"/>
    <w:rsid w:val="00A60EEF"/>
    <w:rsid w:val="00A65191"/>
    <w:rsid w:val="00A669B2"/>
    <w:rsid w:val="00A72491"/>
    <w:rsid w:val="00A7348C"/>
    <w:rsid w:val="00A7506B"/>
    <w:rsid w:val="00A81319"/>
    <w:rsid w:val="00A818FA"/>
    <w:rsid w:val="00A8282B"/>
    <w:rsid w:val="00A82D32"/>
    <w:rsid w:val="00A86083"/>
    <w:rsid w:val="00A87F99"/>
    <w:rsid w:val="00A92CC4"/>
    <w:rsid w:val="00A94C63"/>
    <w:rsid w:val="00A95BFA"/>
    <w:rsid w:val="00A969A4"/>
    <w:rsid w:val="00A97F68"/>
    <w:rsid w:val="00AA1488"/>
    <w:rsid w:val="00AA3D89"/>
    <w:rsid w:val="00AA4624"/>
    <w:rsid w:val="00AA4FF1"/>
    <w:rsid w:val="00AA73BF"/>
    <w:rsid w:val="00AB154E"/>
    <w:rsid w:val="00AB57EB"/>
    <w:rsid w:val="00AB6ECB"/>
    <w:rsid w:val="00AC04A5"/>
    <w:rsid w:val="00AC04E6"/>
    <w:rsid w:val="00AC5227"/>
    <w:rsid w:val="00AD3A23"/>
    <w:rsid w:val="00AD5155"/>
    <w:rsid w:val="00AD5DA5"/>
    <w:rsid w:val="00AD6120"/>
    <w:rsid w:val="00AE10DD"/>
    <w:rsid w:val="00AE393B"/>
    <w:rsid w:val="00AE3A05"/>
    <w:rsid w:val="00AE456A"/>
    <w:rsid w:val="00AF1BCF"/>
    <w:rsid w:val="00AF2C87"/>
    <w:rsid w:val="00AF36C0"/>
    <w:rsid w:val="00AF42FD"/>
    <w:rsid w:val="00B0023B"/>
    <w:rsid w:val="00B0137C"/>
    <w:rsid w:val="00B0437C"/>
    <w:rsid w:val="00B048E8"/>
    <w:rsid w:val="00B102BD"/>
    <w:rsid w:val="00B10D13"/>
    <w:rsid w:val="00B119B3"/>
    <w:rsid w:val="00B124F5"/>
    <w:rsid w:val="00B13DC2"/>
    <w:rsid w:val="00B208BE"/>
    <w:rsid w:val="00B21CC1"/>
    <w:rsid w:val="00B22AB4"/>
    <w:rsid w:val="00B25327"/>
    <w:rsid w:val="00B3324F"/>
    <w:rsid w:val="00B349CC"/>
    <w:rsid w:val="00B41CB4"/>
    <w:rsid w:val="00B44B9F"/>
    <w:rsid w:val="00B4507B"/>
    <w:rsid w:val="00B45A6D"/>
    <w:rsid w:val="00B50768"/>
    <w:rsid w:val="00B52398"/>
    <w:rsid w:val="00B530B6"/>
    <w:rsid w:val="00B557CC"/>
    <w:rsid w:val="00B55C5D"/>
    <w:rsid w:val="00B56487"/>
    <w:rsid w:val="00B61E04"/>
    <w:rsid w:val="00B633B4"/>
    <w:rsid w:val="00B6492B"/>
    <w:rsid w:val="00B65220"/>
    <w:rsid w:val="00B6611A"/>
    <w:rsid w:val="00B67158"/>
    <w:rsid w:val="00B7234C"/>
    <w:rsid w:val="00B8081A"/>
    <w:rsid w:val="00B84089"/>
    <w:rsid w:val="00B914C7"/>
    <w:rsid w:val="00B91FA7"/>
    <w:rsid w:val="00BA1AA6"/>
    <w:rsid w:val="00BA330C"/>
    <w:rsid w:val="00BA41CF"/>
    <w:rsid w:val="00BA50F2"/>
    <w:rsid w:val="00BA5C97"/>
    <w:rsid w:val="00BA68A8"/>
    <w:rsid w:val="00BA6AEE"/>
    <w:rsid w:val="00BB243A"/>
    <w:rsid w:val="00BB2B0D"/>
    <w:rsid w:val="00BB3071"/>
    <w:rsid w:val="00BB4FF1"/>
    <w:rsid w:val="00BC05D4"/>
    <w:rsid w:val="00BD6639"/>
    <w:rsid w:val="00BD7197"/>
    <w:rsid w:val="00BE090C"/>
    <w:rsid w:val="00BE57DB"/>
    <w:rsid w:val="00BE70CA"/>
    <w:rsid w:val="00BE73DF"/>
    <w:rsid w:val="00BF0AE6"/>
    <w:rsid w:val="00BF1041"/>
    <w:rsid w:val="00BF1414"/>
    <w:rsid w:val="00BF1898"/>
    <w:rsid w:val="00BF33C0"/>
    <w:rsid w:val="00BF3EE6"/>
    <w:rsid w:val="00C006E9"/>
    <w:rsid w:val="00C033D5"/>
    <w:rsid w:val="00C03CE8"/>
    <w:rsid w:val="00C06617"/>
    <w:rsid w:val="00C07DA8"/>
    <w:rsid w:val="00C13FC1"/>
    <w:rsid w:val="00C173E2"/>
    <w:rsid w:val="00C234B8"/>
    <w:rsid w:val="00C23C80"/>
    <w:rsid w:val="00C2658C"/>
    <w:rsid w:val="00C265B2"/>
    <w:rsid w:val="00C3046B"/>
    <w:rsid w:val="00C31A95"/>
    <w:rsid w:val="00C36DC5"/>
    <w:rsid w:val="00C37E9C"/>
    <w:rsid w:val="00C44359"/>
    <w:rsid w:val="00C47163"/>
    <w:rsid w:val="00C51380"/>
    <w:rsid w:val="00C532B3"/>
    <w:rsid w:val="00C5416C"/>
    <w:rsid w:val="00C561F2"/>
    <w:rsid w:val="00C5754C"/>
    <w:rsid w:val="00C63895"/>
    <w:rsid w:val="00C6611C"/>
    <w:rsid w:val="00C67289"/>
    <w:rsid w:val="00C75E56"/>
    <w:rsid w:val="00C76773"/>
    <w:rsid w:val="00C77A6D"/>
    <w:rsid w:val="00C81075"/>
    <w:rsid w:val="00C82BA0"/>
    <w:rsid w:val="00C831F7"/>
    <w:rsid w:val="00C83FD9"/>
    <w:rsid w:val="00C9085A"/>
    <w:rsid w:val="00C9120A"/>
    <w:rsid w:val="00C934AB"/>
    <w:rsid w:val="00C94540"/>
    <w:rsid w:val="00C97F6A"/>
    <w:rsid w:val="00CA3B6F"/>
    <w:rsid w:val="00CA6273"/>
    <w:rsid w:val="00CB0BA8"/>
    <w:rsid w:val="00CB66C8"/>
    <w:rsid w:val="00CC398C"/>
    <w:rsid w:val="00CC3B79"/>
    <w:rsid w:val="00CD13BD"/>
    <w:rsid w:val="00CD53D8"/>
    <w:rsid w:val="00CD5888"/>
    <w:rsid w:val="00CE154D"/>
    <w:rsid w:val="00CE2F51"/>
    <w:rsid w:val="00CF2E29"/>
    <w:rsid w:val="00CF4740"/>
    <w:rsid w:val="00CF5F7A"/>
    <w:rsid w:val="00D017A7"/>
    <w:rsid w:val="00D06FF5"/>
    <w:rsid w:val="00D11C40"/>
    <w:rsid w:val="00D1221C"/>
    <w:rsid w:val="00D21234"/>
    <w:rsid w:val="00D21A79"/>
    <w:rsid w:val="00D23810"/>
    <w:rsid w:val="00D30237"/>
    <w:rsid w:val="00D30E4D"/>
    <w:rsid w:val="00D348FD"/>
    <w:rsid w:val="00D362CE"/>
    <w:rsid w:val="00D40B7A"/>
    <w:rsid w:val="00D40CA1"/>
    <w:rsid w:val="00D44DB3"/>
    <w:rsid w:val="00D44DCB"/>
    <w:rsid w:val="00D47A16"/>
    <w:rsid w:val="00D52C3F"/>
    <w:rsid w:val="00D53D26"/>
    <w:rsid w:val="00D5482D"/>
    <w:rsid w:val="00D54DAA"/>
    <w:rsid w:val="00D559D6"/>
    <w:rsid w:val="00D55F1C"/>
    <w:rsid w:val="00D570C1"/>
    <w:rsid w:val="00D61D38"/>
    <w:rsid w:val="00D63B40"/>
    <w:rsid w:val="00D64154"/>
    <w:rsid w:val="00D673F4"/>
    <w:rsid w:val="00D703BB"/>
    <w:rsid w:val="00D736F4"/>
    <w:rsid w:val="00D75A63"/>
    <w:rsid w:val="00D7728D"/>
    <w:rsid w:val="00D82DA3"/>
    <w:rsid w:val="00D8324D"/>
    <w:rsid w:val="00D839E7"/>
    <w:rsid w:val="00D83F06"/>
    <w:rsid w:val="00DA1F38"/>
    <w:rsid w:val="00DA3924"/>
    <w:rsid w:val="00DA4F45"/>
    <w:rsid w:val="00DA6182"/>
    <w:rsid w:val="00DB3255"/>
    <w:rsid w:val="00DB438B"/>
    <w:rsid w:val="00DB4A7A"/>
    <w:rsid w:val="00DB533D"/>
    <w:rsid w:val="00DC1C0D"/>
    <w:rsid w:val="00DD0348"/>
    <w:rsid w:val="00DD2836"/>
    <w:rsid w:val="00DD35C4"/>
    <w:rsid w:val="00DE794B"/>
    <w:rsid w:val="00DE7E25"/>
    <w:rsid w:val="00DF2A00"/>
    <w:rsid w:val="00E04ED7"/>
    <w:rsid w:val="00E112E2"/>
    <w:rsid w:val="00E22B14"/>
    <w:rsid w:val="00E22B7E"/>
    <w:rsid w:val="00E304FF"/>
    <w:rsid w:val="00E341CD"/>
    <w:rsid w:val="00E35E29"/>
    <w:rsid w:val="00E412C3"/>
    <w:rsid w:val="00E42D1C"/>
    <w:rsid w:val="00E47DCD"/>
    <w:rsid w:val="00E514F8"/>
    <w:rsid w:val="00E520EB"/>
    <w:rsid w:val="00E528A4"/>
    <w:rsid w:val="00E568C6"/>
    <w:rsid w:val="00E66135"/>
    <w:rsid w:val="00E66970"/>
    <w:rsid w:val="00E740E6"/>
    <w:rsid w:val="00E74EB0"/>
    <w:rsid w:val="00E77A76"/>
    <w:rsid w:val="00E80255"/>
    <w:rsid w:val="00E814AC"/>
    <w:rsid w:val="00E81F9D"/>
    <w:rsid w:val="00E828DD"/>
    <w:rsid w:val="00E82A37"/>
    <w:rsid w:val="00E84B06"/>
    <w:rsid w:val="00E8519A"/>
    <w:rsid w:val="00E952BB"/>
    <w:rsid w:val="00E95300"/>
    <w:rsid w:val="00E96954"/>
    <w:rsid w:val="00E974DD"/>
    <w:rsid w:val="00E978C7"/>
    <w:rsid w:val="00EA28CD"/>
    <w:rsid w:val="00EA5CAB"/>
    <w:rsid w:val="00EB0092"/>
    <w:rsid w:val="00EB50AE"/>
    <w:rsid w:val="00EB54E1"/>
    <w:rsid w:val="00EB5718"/>
    <w:rsid w:val="00EB5A78"/>
    <w:rsid w:val="00EC00BC"/>
    <w:rsid w:val="00EC4C36"/>
    <w:rsid w:val="00EC621E"/>
    <w:rsid w:val="00EC64AD"/>
    <w:rsid w:val="00EC77DD"/>
    <w:rsid w:val="00EC7E45"/>
    <w:rsid w:val="00ED3A73"/>
    <w:rsid w:val="00ED6251"/>
    <w:rsid w:val="00ED68E2"/>
    <w:rsid w:val="00EE2E98"/>
    <w:rsid w:val="00EF6D08"/>
    <w:rsid w:val="00EF7BE2"/>
    <w:rsid w:val="00F027E3"/>
    <w:rsid w:val="00F05DD7"/>
    <w:rsid w:val="00F06B91"/>
    <w:rsid w:val="00F14981"/>
    <w:rsid w:val="00F17C98"/>
    <w:rsid w:val="00F2066E"/>
    <w:rsid w:val="00F21C8C"/>
    <w:rsid w:val="00F23CD2"/>
    <w:rsid w:val="00F25391"/>
    <w:rsid w:val="00F310BD"/>
    <w:rsid w:val="00F416F9"/>
    <w:rsid w:val="00F41D03"/>
    <w:rsid w:val="00F42408"/>
    <w:rsid w:val="00F45530"/>
    <w:rsid w:val="00F5549D"/>
    <w:rsid w:val="00F57CD6"/>
    <w:rsid w:val="00F60CDD"/>
    <w:rsid w:val="00F616FF"/>
    <w:rsid w:val="00F6270E"/>
    <w:rsid w:val="00F65F77"/>
    <w:rsid w:val="00F71DCB"/>
    <w:rsid w:val="00F72053"/>
    <w:rsid w:val="00F72E3F"/>
    <w:rsid w:val="00F745BA"/>
    <w:rsid w:val="00F752DE"/>
    <w:rsid w:val="00F76D9A"/>
    <w:rsid w:val="00F8067C"/>
    <w:rsid w:val="00F83140"/>
    <w:rsid w:val="00F83ED8"/>
    <w:rsid w:val="00F8679F"/>
    <w:rsid w:val="00F86840"/>
    <w:rsid w:val="00F907C0"/>
    <w:rsid w:val="00F934FD"/>
    <w:rsid w:val="00F9651B"/>
    <w:rsid w:val="00FA605F"/>
    <w:rsid w:val="00FA7390"/>
    <w:rsid w:val="00FA74A2"/>
    <w:rsid w:val="00FA7A74"/>
    <w:rsid w:val="00FA7C0D"/>
    <w:rsid w:val="00FB0B7A"/>
    <w:rsid w:val="00FB36CE"/>
    <w:rsid w:val="00FB3714"/>
    <w:rsid w:val="00FB3B02"/>
    <w:rsid w:val="00FC0757"/>
    <w:rsid w:val="00FC32E6"/>
    <w:rsid w:val="00FD401F"/>
    <w:rsid w:val="00FD5038"/>
    <w:rsid w:val="00FD653C"/>
    <w:rsid w:val="00FE2304"/>
    <w:rsid w:val="00FF0D86"/>
    <w:rsid w:val="00FF3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59"/>
    <w:rsid w:val="00D82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link w:val="TextoemblocoChar"/>
    <w:uiPriority w:val="99"/>
    <w:rsid w:val="00D82DA3"/>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Textodenotaderodap">
    <w:name w:val="footnote text"/>
    <w:basedOn w:val="Normal"/>
    <w:link w:val="TextodenotaderodapChar"/>
    <w:semiHidden/>
    <w:rsid w:val="00D82D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semiHidden/>
    <w:unhideWhenUsed/>
    <w:rsid w:val="008C5A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C5A95"/>
  </w:style>
  <w:style w:type="paragraph" w:styleId="Rodap">
    <w:name w:val="footer"/>
    <w:basedOn w:val="Normal"/>
    <w:link w:val="RodapChar"/>
    <w:unhideWhenUsed/>
    <w:rsid w:val="008C5A95"/>
    <w:pPr>
      <w:tabs>
        <w:tab w:val="center" w:pos="4252"/>
        <w:tab w:val="right" w:pos="8504"/>
      </w:tabs>
      <w:spacing w:after="0" w:line="240" w:lineRule="auto"/>
    </w:pPr>
  </w:style>
  <w:style w:type="character" w:customStyle="1" w:styleId="RodapChar">
    <w:name w:val="Rodapé Char"/>
    <w:basedOn w:val="Fontepargpadro"/>
    <w:link w:val="Rodap"/>
    <w:rsid w:val="008C5A95"/>
  </w:style>
  <w:style w:type="character" w:styleId="Nmerodepgina">
    <w:name w:val="page number"/>
    <w:basedOn w:val="Fontepargpadro"/>
    <w:rsid w:val="008C5A95"/>
  </w:style>
  <w:style w:type="character" w:styleId="TextodoEspaoReservado">
    <w:name w:val="Placeholder Text"/>
    <w:basedOn w:val="Fontepargpadro"/>
    <w:uiPriority w:val="99"/>
    <w:semiHidden/>
    <w:rsid w:val="00B124F5"/>
    <w:rPr>
      <w:color w:val="808080"/>
    </w:rPr>
  </w:style>
  <w:style w:type="paragraph" w:styleId="Textodebalo">
    <w:name w:val="Balloon Text"/>
    <w:basedOn w:val="Normal"/>
    <w:link w:val="TextodebaloChar"/>
    <w:uiPriority w:val="99"/>
    <w:semiHidden/>
    <w:unhideWhenUsed/>
    <w:rsid w:val="00B12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4F5"/>
    <w:rPr>
      <w:rFonts w:ascii="Tahoma" w:hAnsi="Tahoma" w:cs="Tahoma"/>
      <w:sz w:val="16"/>
      <w:szCs w:val="16"/>
    </w:rPr>
  </w:style>
  <w:style w:type="character" w:styleId="Hyperlink">
    <w:name w:val="Hyperlink"/>
    <w:basedOn w:val="Fontepargpadro"/>
    <w:unhideWhenUsed/>
    <w:rsid w:val="00F42408"/>
    <w:rPr>
      <w:color w:val="0000FF" w:themeColor="hyperlink"/>
      <w:u w:val="single"/>
    </w:rPr>
  </w:style>
  <w:style w:type="paragraph" w:styleId="Corpodetexto">
    <w:name w:val="Body Text"/>
    <w:basedOn w:val="Normal"/>
    <w:link w:val="CorpodetextoChar"/>
    <w:uiPriority w:val="1"/>
    <w:unhideWhenUsed/>
    <w:qFormat/>
    <w:rsid w:val="00947637"/>
    <w:pPr>
      <w:widowControl w:val="0"/>
      <w:autoSpaceDE w:val="0"/>
      <w:autoSpaceDN w:val="0"/>
      <w:spacing w:after="0" w:line="240" w:lineRule="auto"/>
    </w:pPr>
    <w:rPr>
      <w:rFonts w:ascii="Arial" w:eastAsia="Arial" w:hAnsi="Arial" w:cs="Arial"/>
      <w:sz w:val="20"/>
      <w:szCs w:val="20"/>
      <w:lang w:val="en-US" w:bidi="en-US"/>
    </w:rPr>
  </w:style>
  <w:style w:type="character" w:customStyle="1" w:styleId="CorpodetextoChar">
    <w:name w:val="Corpo de texto Char"/>
    <w:basedOn w:val="Fontepargpadro"/>
    <w:link w:val="Corpodetexto"/>
    <w:uiPriority w:val="1"/>
    <w:rsid w:val="00947637"/>
    <w:rPr>
      <w:rFonts w:ascii="Arial" w:eastAsia="Arial" w:hAnsi="Arial" w:cs="Arial"/>
      <w:sz w:val="20"/>
      <w:szCs w:val="20"/>
      <w:lang w:val="en-US" w:bidi="en-US"/>
    </w:rPr>
  </w:style>
  <w:style w:type="paragraph" w:customStyle="1" w:styleId="Ttulo21">
    <w:name w:val="Título 21"/>
    <w:basedOn w:val="Normal"/>
    <w:uiPriority w:val="1"/>
    <w:qFormat/>
    <w:rsid w:val="00D11C40"/>
    <w:pPr>
      <w:widowControl w:val="0"/>
      <w:autoSpaceDE w:val="0"/>
      <w:autoSpaceDN w:val="0"/>
      <w:spacing w:after="0" w:line="240" w:lineRule="auto"/>
      <w:ind w:left="1440"/>
      <w:outlineLvl w:val="2"/>
    </w:pPr>
    <w:rPr>
      <w:rFonts w:ascii="Arial" w:eastAsia="Arial" w:hAnsi="Arial" w:cs="Arial"/>
      <w:b/>
      <w:bCs/>
      <w:sz w:val="24"/>
      <w:szCs w:val="24"/>
      <w:lang w:val="en-US" w:bidi="en-US"/>
    </w:rPr>
  </w:style>
  <w:style w:type="character" w:customStyle="1" w:styleId="TextoemblocoChar">
    <w:name w:val="Texto em bloco Char"/>
    <w:link w:val="Textoembloco"/>
    <w:uiPriority w:val="99"/>
    <w:locked/>
    <w:rsid w:val="006A784B"/>
    <w:rPr>
      <w:rFonts w:ascii="Arial" w:eastAsia="Times New Roman" w:hAnsi="Arial" w:cs="Arial"/>
      <w:sz w:val="20"/>
      <w:szCs w:val="24"/>
      <w:lang w:val="pt-PT" w:eastAsia="pt-BR"/>
    </w:rPr>
  </w:style>
  <w:style w:type="paragraph" w:customStyle="1" w:styleId="western">
    <w:name w:val="western"/>
    <w:basedOn w:val="Normal"/>
    <w:rsid w:val="00B0023B"/>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6B75C5"/>
    <w:rPr>
      <w:color w:val="605E5C"/>
      <w:shd w:val="clear" w:color="auto" w:fill="E1DFDD"/>
    </w:rPr>
  </w:style>
  <w:style w:type="character" w:styleId="nfase">
    <w:name w:val="Emphasis"/>
    <w:basedOn w:val="Fontepargpadro"/>
    <w:uiPriority w:val="20"/>
    <w:qFormat/>
    <w:rsid w:val="00615593"/>
    <w:rPr>
      <w:i/>
      <w:iCs/>
    </w:rPr>
  </w:style>
  <w:style w:type="character" w:styleId="HiperlinkVisitado">
    <w:name w:val="FollowedHyperlink"/>
    <w:basedOn w:val="Fontepargpadro"/>
    <w:uiPriority w:val="99"/>
    <w:semiHidden/>
    <w:unhideWhenUsed/>
    <w:rsid w:val="00B67158"/>
    <w:rPr>
      <w:color w:val="800080" w:themeColor="followedHyperlink"/>
      <w:u w:val="single"/>
    </w:rPr>
  </w:style>
  <w:style w:type="character" w:styleId="CitaoHTML">
    <w:name w:val="HTML Cite"/>
    <w:basedOn w:val="Fontepargpadro"/>
    <w:uiPriority w:val="99"/>
    <w:semiHidden/>
    <w:unhideWhenUsed/>
    <w:rsid w:val="00BA50F2"/>
    <w:rPr>
      <w:i/>
      <w:iCs/>
    </w:rPr>
  </w:style>
  <w:style w:type="character" w:styleId="Refdecomentrio">
    <w:name w:val="annotation reference"/>
    <w:basedOn w:val="Fontepargpadro"/>
    <w:uiPriority w:val="99"/>
    <w:semiHidden/>
    <w:unhideWhenUsed/>
    <w:rsid w:val="007F5A27"/>
    <w:rPr>
      <w:sz w:val="16"/>
      <w:szCs w:val="16"/>
    </w:rPr>
  </w:style>
  <w:style w:type="paragraph" w:styleId="Textodecomentrio">
    <w:name w:val="annotation text"/>
    <w:basedOn w:val="Normal"/>
    <w:link w:val="TextodecomentrioChar"/>
    <w:uiPriority w:val="99"/>
    <w:semiHidden/>
    <w:unhideWhenUsed/>
    <w:rsid w:val="007F5A2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F5A27"/>
    <w:rPr>
      <w:sz w:val="20"/>
      <w:szCs w:val="20"/>
    </w:rPr>
  </w:style>
  <w:style w:type="paragraph" w:styleId="Assuntodocomentrio">
    <w:name w:val="annotation subject"/>
    <w:basedOn w:val="Textodecomentrio"/>
    <w:next w:val="Textodecomentrio"/>
    <w:link w:val="AssuntodocomentrioChar"/>
    <w:uiPriority w:val="99"/>
    <w:semiHidden/>
    <w:unhideWhenUsed/>
    <w:rsid w:val="00BA6AEE"/>
    <w:rPr>
      <w:b/>
      <w:bCs/>
    </w:rPr>
  </w:style>
  <w:style w:type="character" w:customStyle="1" w:styleId="AssuntodocomentrioChar">
    <w:name w:val="Assunto do comentário Char"/>
    <w:basedOn w:val="TextodecomentrioChar"/>
    <w:link w:val="Assuntodocomentrio"/>
    <w:uiPriority w:val="99"/>
    <w:semiHidden/>
    <w:rsid w:val="00BA6AEE"/>
    <w:rPr>
      <w:b/>
      <w:bCs/>
      <w:sz w:val="20"/>
      <w:szCs w:val="20"/>
    </w:rPr>
  </w:style>
</w:styles>
</file>

<file path=word/webSettings.xml><?xml version="1.0" encoding="utf-8"?>
<w:webSettings xmlns:r="http://schemas.openxmlformats.org/officeDocument/2006/relationships" xmlns:w="http://schemas.openxmlformats.org/wordprocessingml/2006/main">
  <w:divs>
    <w:div w:id="23408185">
      <w:bodyDiv w:val="1"/>
      <w:marLeft w:val="0"/>
      <w:marRight w:val="0"/>
      <w:marTop w:val="0"/>
      <w:marBottom w:val="0"/>
      <w:divBdr>
        <w:top w:val="none" w:sz="0" w:space="0" w:color="auto"/>
        <w:left w:val="none" w:sz="0" w:space="0" w:color="auto"/>
        <w:bottom w:val="none" w:sz="0" w:space="0" w:color="auto"/>
        <w:right w:val="none" w:sz="0" w:space="0" w:color="auto"/>
      </w:divBdr>
    </w:div>
    <w:div w:id="38749062">
      <w:bodyDiv w:val="1"/>
      <w:marLeft w:val="0"/>
      <w:marRight w:val="0"/>
      <w:marTop w:val="0"/>
      <w:marBottom w:val="0"/>
      <w:divBdr>
        <w:top w:val="none" w:sz="0" w:space="0" w:color="auto"/>
        <w:left w:val="none" w:sz="0" w:space="0" w:color="auto"/>
        <w:bottom w:val="none" w:sz="0" w:space="0" w:color="auto"/>
        <w:right w:val="none" w:sz="0" w:space="0" w:color="auto"/>
      </w:divBdr>
    </w:div>
    <w:div w:id="47580040">
      <w:bodyDiv w:val="1"/>
      <w:marLeft w:val="0"/>
      <w:marRight w:val="0"/>
      <w:marTop w:val="0"/>
      <w:marBottom w:val="0"/>
      <w:divBdr>
        <w:top w:val="none" w:sz="0" w:space="0" w:color="auto"/>
        <w:left w:val="none" w:sz="0" w:space="0" w:color="auto"/>
        <w:bottom w:val="none" w:sz="0" w:space="0" w:color="auto"/>
        <w:right w:val="none" w:sz="0" w:space="0" w:color="auto"/>
      </w:divBdr>
    </w:div>
    <w:div w:id="53311626">
      <w:bodyDiv w:val="1"/>
      <w:marLeft w:val="0"/>
      <w:marRight w:val="0"/>
      <w:marTop w:val="0"/>
      <w:marBottom w:val="0"/>
      <w:divBdr>
        <w:top w:val="none" w:sz="0" w:space="0" w:color="auto"/>
        <w:left w:val="none" w:sz="0" w:space="0" w:color="auto"/>
        <w:bottom w:val="none" w:sz="0" w:space="0" w:color="auto"/>
        <w:right w:val="none" w:sz="0" w:space="0" w:color="auto"/>
      </w:divBdr>
    </w:div>
    <w:div w:id="71783270">
      <w:bodyDiv w:val="1"/>
      <w:marLeft w:val="0"/>
      <w:marRight w:val="0"/>
      <w:marTop w:val="0"/>
      <w:marBottom w:val="0"/>
      <w:divBdr>
        <w:top w:val="none" w:sz="0" w:space="0" w:color="auto"/>
        <w:left w:val="none" w:sz="0" w:space="0" w:color="auto"/>
        <w:bottom w:val="none" w:sz="0" w:space="0" w:color="auto"/>
        <w:right w:val="none" w:sz="0" w:space="0" w:color="auto"/>
      </w:divBdr>
    </w:div>
    <w:div w:id="80759123">
      <w:bodyDiv w:val="1"/>
      <w:marLeft w:val="0"/>
      <w:marRight w:val="0"/>
      <w:marTop w:val="0"/>
      <w:marBottom w:val="0"/>
      <w:divBdr>
        <w:top w:val="none" w:sz="0" w:space="0" w:color="auto"/>
        <w:left w:val="none" w:sz="0" w:space="0" w:color="auto"/>
        <w:bottom w:val="none" w:sz="0" w:space="0" w:color="auto"/>
        <w:right w:val="none" w:sz="0" w:space="0" w:color="auto"/>
      </w:divBdr>
    </w:div>
    <w:div w:id="82840616">
      <w:bodyDiv w:val="1"/>
      <w:marLeft w:val="0"/>
      <w:marRight w:val="0"/>
      <w:marTop w:val="0"/>
      <w:marBottom w:val="0"/>
      <w:divBdr>
        <w:top w:val="none" w:sz="0" w:space="0" w:color="auto"/>
        <w:left w:val="none" w:sz="0" w:space="0" w:color="auto"/>
        <w:bottom w:val="none" w:sz="0" w:space="0" w:color="auto"/>
        <w:right w:val="none" w:sz="0" w:space="0" w:color="auto"/>
      </w:divBdr>
    </w:div>
    <w:div w:id="107244035">
      <w:bodyDiv w:val="1"/>
      <w:marLeft w:val="0"/>
      <w:marRight w:val="0"/>
      <w:marTop w:val="0"/>
      <w:marBottom w:val="0"/>
      <w:divBdr>
        <w:top w:val="none" w:sz="0" w:space="0" w:color="auto"/>
        <w:left w:val="none" w:sz="0" w:space="0" w:color="auto"/>
        <w:bottom w:val="none" w:sz="0" w:space="0" w:color="auto"/>
        <w:right w:val="none" w:sz="0" w:space="0" w:color="auto"/>
      </w:divBdr>
    </w:div>
    <w:div w:id="125588338">
      <w:bodyDiv w:val="1"/>
      <w:marLeft w:val="0"/>
      <w:marRight w:val="0"/>
      <w:marTop w:val="0"/>
      <w:marBottom w:val="0"/>
      <w:divBdr>
        <w:top w:val="none" w:sz="0" w:space="0" w:color="auto"/>
        <w:left w:val="none" w:sz="0" w:space="0" w:color="auto"/>
        <w:bottom w:val="none" w:sz="0" w:space="0" w:color="auto"/>
        <w:right w:val="none" w:sz="0" w:space="0" w:color="auto"/>
      </w:divBdr>
    </w:div>
    <w:div w:id="132645856">
      <w:bodyDiv w:val="1"/>
      <w:marLeft w:val="0"/>
      <w:marRight w:val="0"/>
      <w:marTop w:val="0"/>
      <w:marBottom w:val="0"/>
      <w:divBdr>
        <w:top w:val="none" w:sz="0" w:space="0" w:color="auto"/>
        <w:left w:val="none" w:sz="0" w:space="0" w:color="auto"/>
        <w:bottom w:val="none" w:sz="0" w:space="0" w:color="auto"/>
        <w:right w:val="none" w:sz="0" w:space="0" w:color="auto"/>
      </w:divBdr>
    </w:div>
    <w:div w:id="182326586">
      <w:bodyDiv w:val="1"/>
      <w:marLeft w:val="0"/>
      <w:marRight w:val="0"/>
      <w:marTop w:val="0"/>
      <w:marBottom w:val="0"/>
      <w:divBdr>
        <w:top w:val="none" w:sz="0" w:space="0" w:color="auto"/>
        <w:left w:val="none" w:sz="0" w:space="0" w:color="auto"/>
        <w:bottom w:val="none" w:sz="0" w:space="0" w:color="auto"/>
        <w:right w:val="none" w:sz="0" w:space="0" w:color="auto"/>
      </w:divBdr>
    </w:div>
    <w:div w:id="199585616">
      <w:bodyDiv w:val="1"/>
      <w:marLeft w:val="0"/>
      <w:marRight w:val="0"/>
      <w:marTop w:val="0"/>
      <w:marBottom w:val="0"/>
      <w:divBdr>
        <w:top w:val="none" w:sz="0" w:space="0" w:color="auto"/>
        <w:left w:val="none" w:sz="0" w:space="0" w:color="auto"/>
        <w:bottom w:val="none" w:sz="0" w:space="0" w:color="auto"/>
        <w:right w:val="none" w:sz="0" w:space="0" w:color="auto"/>
      </w:divBdr>
    </w:div>
    <w:div w:id="228417542">
      <w:bodyDiv w:val="1"/>
      <w:marLeft w:val="0"/>
      <w:marRight w:val="0"/>
      <w:marTop w:val="0"/>
      <w:marBottom w:val="0"/>
      <w:divBdr>
        <w:top w:val="none" w:sz="0" w:space="0" w:color="auto"/>
        <w:left w:val="none" w:sz="0" w:space="0" w:color="auto"/>
        <w:bottom w:val="none" w:sz="0" w:space="0" w:color="auto"/>
        <w:right w:val="none" w:sz="0" w:space="0" w:color="auto"/>
      </w:divBdr>
    </w:div>
    <w:div w:id="242227301">
      <w:bodyDiv w:val="1"/>
      <w:marLeft w:val="0"/>
      <w:marRight w:val="0"/>
      <w:marTop w:val="0"/>
      <w:marBottom w:val="0"/>
      <w:divBdr>
        <w:top w:val="none" w:sz="0" w:space="0" w:color="auto"/>
        <w:left w:val="none" w:sz="0" w:space="0" w:color="auto"/>
        <w:bottom w:val="none" w:sz="0" w:space="0" w:color="auto"/>
        <w:right w:val="none" w:sz="0" w:space="0" w:color="auto"/>
      </w:divBdr>
    </w:div>
    <w:div w:id="248584681">
      <w:bodyDiv w:val="1"/>
      <w:marLeft w:val="0"/>
      <w:marRight w:val="0"/>
      <w:marTop w:val="0"/>
      <w:marBottom w:val="0"/>
      <w:divBdr>
        <w:top w:val="none" w:sz="0" w:space="0" w:color="auto"/>
        <w:left w:val="none" w:sz="0" w:space="0" w:color="auto"/>
        <w:bottom w:val="none" w:sz="0" w:space="0" w:color="auto"/>
        <w:right w:val="none" w:sz="0" w:space="0" w:color="auto"/>
      </w:divBdr>
    </w:div>
    <w:div w:id="254705116">
      <w:bodyDiv w:val="1"/>
      <w:marLeft w:val="0"/>
      <w:marRight w:val="0"/>
      <w:marTop w:val="0"/>
      <w:marBottom w:val="0"/>
      <w:divBdr>
        <w:top w:val="none" w:sz="0" w:space="0" w:color="auto"/>
        <w:left w:val="none" w:sz="0" w:space="0" w:color="auto"/>
        <w:bottom w:val="none" w:sz="0" w:space="0" w:color="auto"/>
        <w:right w:val="none" w:sz="0" w:space="0" w:color="auto"/>
      </w:divBdr>
    </w:div>
    <w:div w:id="269632820">
      <w:bodyDiv w:val="1"/>
      <w:marLeft w:val="0"/>
      <w:marRight w:val="0"/>
      <w:marTop w:val="0"/>
      <w:marBottom w:val="0"/>
      <w:divBdr>
        <w:top w:val="none" w:sz="0" w:space="0" w:color="auto"/>
        <w:left w:val="none" w:sz="0" w:space="0" w:color="auto"/>
        <w:bottom w:val="none" w:sz="0" w:space="0" w:color="auto"/>
        <w:right w:val="none" w:sz="0" w:space="0" w:color="auto"/>
      </w:divBdr>
    </w:div>
    <w:div w:id="297300912">
      <w:bodyDiv w:val="1"/>
      <w:marLeft w:val="0"/>
      <w:marRight w:val="0"/>
      <w:marTop w:val="0"/>
      <w:marBottom w:val="0"/>
      <w:divBdr>
        <w:top w:val="none" w:sz="0" w:space="0" w:color="auto"/>
        <w:left w:val="none" w:sz="0" w:space="0" w:color="auto"/>
        <w:bottom w:val="none" w:sz="0" w:space="0" w:color="auto"/>
        <w:right w:val="none" w:sz="0" w:space="0" w:color="auto"/>
      </w:divBdr>
    </w:div>
    <w:div w:id="309017990">
      <w:bodyDiv w:val="1"/>
      <w:marLeft w:val="0"/>
      <w:marRight w:val="0"/>
      <w:marTop w:val="0"/>
      <w:marBottom w:val="0"/>
      <w:divBdr>
        <w:top w:val="none" w:sz="0" w:space="0" w:color="auto"/>
        <w:left w:val="none" w:sz="0" w:space="0" w:color="auto"/>
        <w:bottom w:val="none" w:sz="0" w:space="0" w:color="auto"/>
        <w:right w:val="none" w:sz="0" w:space="0" w:color="auto"/>
      </w:divBdr>
    </w:div>
    <w:div w:id="325791992">
      <w:bodyDiv w:val="1"/>
      <w:marLeft w:val="0"/>
      <w:marRight w:val="0"/>
      <w:marTop w:val="0"/>
      <w:marBottom w:val="0"/>
      <w:divBdr>
        <w:top w:val="none" w:sz="0" w:space="0" w:color="auto"/>
        <w:left w:val="none" w:sz="0" w:space="0" w:color="auto"/>
        <w:bottom w:val="none" w:sz="0" w:space="0" w:color="auto"/>
        <w:right w:val="none" w:sz="0" w:space="0" w:color="auto"/>
      </w:divBdr>
    </w:div>
    <w:div w:id="331297877">
      <w:bodyDiv w:val="1"/>
      <w:marLeft w:val="0"/>
      <w:marRight w:val="0"/>
      <w:marTop w:val="0"/>
      <w:marBottom w:val="0"/>
      <w:divBdr>
        <w:top w:val="none" w:sz="0" w:space="0" w:color="auto"/>
        <w:left w:val="none" w:sz="0" w:space="0" w:color="auto"/>
        <w:bottom w:val="none" w:sz="0" w:space="0" w:color="auto"/>
        <w:right w:val="none" w:sz="0" w:space="0" w:color="auto"/>
      </w:divBdr>
    </w:div>
    <w:div w:id="357708265">
      <w:bodyDiv w:val="1"/>
      <w:marLeft w:val="0"/>
      <w:marRight w:val="0"/>
      <w:marTop w:val="0"/>
      <w:marBottom w:val="0"/>
      <w:divBdr>
        <w:top w:val="none" w:sz="0" w:space="0" w:color="auto"/>
        <w:left w:val="none" w:sz="0" w:space="0" w:color="auto"/>
        <w:bottom w:val="none" w:sz="0" w:space="0" w:color="auto"/>
        <w:right w:val="none" w:sz="0" w:space="0" w:color="auto"/>
      </w:divBdr>
    </w:div>
    <w:div w:id="361712389">
      <w:bodyDiv w:val="1"/>
      <w:marLeft w:val="0"/>
      <w:marRight w:val="0"/>
      <w:marTop w:val="0"/>
      <w:marBottom w:val="0"/>
      <w:divBdr>
        <w:top w:val="none" w:sz="0" w:space="0" w:color="auto"/>
        <w:left w:val="none" w:sz="0" w:space="0" w:color="auto"/>
        <w:bottom w:val="none" w:sz="0" w:space="0" w:color="auto"/>
        <w:right w:val="none" w:sz="0" w:space="0" w:color="auto"/>
      </w:divBdr>
    </w:div>
    <w:div w:id="364251691">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384719305">
      <w:bodyDiv w:val="1"/>
      <w:marLeft w:val="0"/>
      <w:marRight w:val="0"/>
      <w:marTop w:val="0"/>
      <w:marBottom w:val="0"/>
      <w:divBdr>
        <w:top w:val="none" w:sz="0" w:space="0" w:color="auto"/>
        <w:left w:val="none" w:sz="0" w:space="0" w:color="auto"/>
        <w:bottom w:val="none" w:sz="0" w:space="0" w:color="auto"/>
        <w:right w:val="none" w:sz="0" w:space="0" w:color="auto"/>
      </w:divBdr>
    </w:div>
    <w:div w:id="394353675">
      <w:bodyDiv w:val="1"/>
      <w:marLeft w:val="0"/>
      <w:marRight w:val="0"/>
      <w:marTop w:val="0"/>
      <w:marBottom w:val="0"/>
      <w:divBdr>
        <w:top w:val="none" w:sz="0" w:space="0" w:color="auto"/>
        <w:left w:val="none" w:sz="0" w:space="0" w:color="auto"/>
        <w:bottom w:val="none" w:sz="0" w:space="0" w:color="auto"/>
        <w:right w:val="none" w:sz="0" w:space="0" w:color="auto"/>
      </w:divBdr>
    </w:div>
    <w:div w:id="420562819">
      <w:bodyDiv w:val="1"/>
      <w:marLeft w:val="0"/>
      <w:marRight w:val="0"/>
      <w:marTop w:val="0"/>
      <w:marBottom w:val="0"/>
      <w:divBdr>
        <w:top w:val="none" w:sz="0" w:space="0" w:color="auto"/>
        <w:left w:val="none" w:sz="0" w:space="0" w:color="auto"/>
        <w:bottom w:val="none" w:sz="0" w:space="0" w:color="auto"/>
        <w:right w:val="none" w:sz="0" w:space="0" w:color="auto"/>
      </w:divBdr>
    </w:div>
    <w:div w:id="466241616">
      <w:bodyDiv w:val="1"/>
      <w:marLeft w:val="0"/>
      <w:marRight w:val="0"/>
      <w:marTop w:val="0"/>
      <w:marBottom w:val="0"/>
      <w:divBdr>
        <w:top w:val="none" w:sz="0" w:space="0" w:color="auto"/>
        <w:left w:val="none" w:sz="0" w:space="0" w:color="auto"/>
        <w:bottom w:val="none" w:sz="0" w:space="0" w:color="auto"/>
        <w:right w:val="none" w:sz="0" w:space="0" w:color="auto"/>
      </w:divBdr>
    </w:div>
    <w:div w:id="498540538">
      <w:bodyDiv w:val="1"/>
      <w:marLeft w:val="0"/>
      <w:marRight w:val="0"/>
      <w:marTop w:val="0"/>
      <w:marBottom w:val="0"/>
      <w:divBdr>
        <w:top w:val="none" w:sz="0" w:space="0" w:color="auto"/>
        <w:left w:val="none" w:sz="0" w:space="0" w:color="auto"/>
        <w:bottom w:val="none" w:sz="0" w:space="0" w:color="auto"/>
        <w:right w:val="none" w:sz="0" w:space="0" w:color="auto"/>
      </w:divBdr>
    </w:div>
    <w:div w:id="503866016">
      <w:bodyDiv w:val="1"/>
      <w:marLeft w:val="0"/>
      <w:marRight w:val="0"/>
      <w:marTop w:val="0"/>
      <w:marBottom w:val="0"/>
      <w:divBdr>
        <w:top w:val="none" w:sz="0" w:space="0" w:color="auto"/>
        <w:left w:val="none" w:sz="0" w:space="0" w:color="auto"/>
        <w:bottom w:val="none" w:sz="0" w:space="0" w:color="auto"/>
        <w:right w:val="none" w:sz="0" w:space="0" w:color="auto"/>
      </w:divBdr>
    </w:div>
    <w:div w:id="533886114">
      <w:bodyDiv w:val="1"/>
      <w:marLeft w:val="0"/>
      <w:marRight w:val="0"/>
      <w:marTop w:val="0"/>
      <w:marBottom w:val="0"/>
      <w:divBdr>
        <w:top w:val="none" w:sz="0" w:space="0" w:color="auto"/>
        <w:left w:val="none" w:sz="0" w:space="0" w:color="auto"/>
        <w:bottom w:val="none" w:sz="0" w:space="0" w:color="auto"/>
        <w:right w:val="none" w:sz="0" w:space="0" w:color="auto"/>
      </w:divBdr>
    </w:div>
    <w:div w:id="536312688">
      <w:bodyDiv w:val="1"/>
      <w:marLeft w:val="0"/>
      <w:marRight w:val="0"/>
      <w:marTop w:val="0"/>
      <w:marBottom w:val="0"/>
      <w:divBdr>
        <w:top w:val="none" w:sz="0" w:space="0" w:color="auto"/>
        <w:left w:val="none" w:sz="0" w:space="0" w:color="auto"/>
        <w:bottom w:val="none" w:sz="0" w:space="0" w:color="auto"/>
        <w:right w:val="none" w:sz="0" w:space="0" w:color="auto"/>
      </w:divBdr>
    </w:div>
    <w:div w:id="538666640">
      <w:bodyDiv w:val="1"/>
      <w:marLeft w:val="0"/>
      <w:marRight w:val="0"/>
      <w:marTop w:val="0"/>
      <w:marBottom w:val="0"/>
      <w:divBdr>
        <w:top w:val="none" w:sz="0" w:space="0" w:color="auto"/>
        <w:left w:val="none" w:sz="0" w:space="0" w:color="auto"/>
        <w:bottom w:val="none" w:sz="0" w:space="0" w:color="auto"/>
        <w:right w:val="none" w:sz="0" w:space="0" w:color="auto"/>
      </w:divBdr>
    </w:div>
    <w:div w:id="543249177">
      <w:bodyDiv w:val="1"/>
      <w:marLeft w:val="0"/>
      <w:marRight w:val="0"/>
      <w:marTop w:val="0"/>
      <w:marBottom w:val="0"/>
      <w:divBdr>
        <w:top w:val="none" w:sz="0" w:space="0" w:color="auto"/>
        <w:left w:val="none" w:sz="0" w:space="0" w:color="auto"/>
        <w:bottom w:val="none" w:sz="0" w:space="0" w:color="auto"/>
        <w:right w:val="none" w:sz="0" w:space="0" w:color="auto"/>
      </w:divBdr>
    </w:div>
    <w:div w:id="560558679">
      <w:bodyDiv w:val="1"/>
      <w:marLeft w:val="0"/>
      <w:marRight w:val="0"/>
      <w:marTop w:val="0"/>
      <w:marBottom w:val="0"/>
      <w:divBdr>
        <w:top w:val="none" w:sz="0" w:space="0" w:color="auto"/>
        <w:left w:val="none" w:sz="0" w:space="0" w:color="auto"/>
        <w:bottom w:val="none" w:sz="0" w:space="0" w:color="auto"/>
        <w:right w:val="none" w:sz="0" w:space="0" w:color="auto"/>
      </w:divBdr>
    </w:div>
    <w:div w:id="561139109">
      <w:bodyDiv w:val="1"/>
      <w:marLeft w:val="0"/>
      <w:marRight w:val="0"/>
      <w:marTop w:val="0"/>
      <w:marBottom w:val="0"/>
      <w:divBdr>
        <w:top w:val="none" w:sz="0" w:space="0" w:color="auto"/>
        <w:left w:val="none" w:sz="0" w:space="0" w:color="auto"/>
        <w:bottom w:val="none" w:sz="0" w:space="0" w:color="auto"/>
        <w:right w:val="none" w:sz="0" w:space="0" w:color="auto"/>
      </w:divBdr>
    </w:div>
    <w:div w:id="590965285">
      <w:bodyDiv w:val="1"/>
      <w:marLeft w:val="0"/>
      <w:marRight w:val="0"/>
      <w:marTop w:val="0"/>
      <w:marBottom w:val="0"/>
      <w:divBdr>
        <w:top w:val="none" w:sz="0" w:space="0" w:color="auto"/>
        <w:left w:val="none" w:sz="0" w:space="0" w:color="auto"/>
        <w:bottom w:val="none" w:sz="0" w:space="0" w:color="auto"/>
        <w:right w:val="none" w:sz="0" w:space="0" w:color="auto"/>
      </w:divBdr>
    </w:div>
    <w:div w:id="591938346">
      <w:bodyDiv w:val="1"/>
      <w:marLeft w:val="0"/>
      <w:marRight w:val="0"/>
      <w:marTop w:val="0"/>
      <w:marBottom w:val="0"/>
      <w:divBdr>
        <w:top w:val="none" w:sz="0" w:space="0" w:color="auto"/>
        <w:left w:val="none" w:sz="0" w:space="0" w:color="auto"/>
        <w:bottom w:val="none" w:sz="0" w:space="0" w:color="auto"/>
        <w:right w:val="none" w:sz="0" w:space="0" w:color="auto"/>
      </w:divBdr>
    </w:div>
    <w:div w:id="607741485">
      <w:bodyDiv w:val="1"/>
      <w:marLeft w:val="0"/>
      <w:marRight w:val="0"/>
      <w:marTop w:val="0"/>
      <w:marBottom w:val="0"/>
      <w:divBdr>
        <w:top w:val="none" w:sz="0" w:space="0" w:color="auto"/>
        <w:left w:val="none" w:sz="0" w:space="0" w:color="auto"/>
        <w:bottom w:val="none" w:sz="0" w:space="0" w:color="auto"/>
        <w:right w:val="none" w:sz="0" w:space="0" w:color="auto"/>
      </w:divBdr>
    </w:div>
    <w:div w:id="622999800">
      <w:bodyDiv w:val="1"/>
      <w:marLeft w:val="0"/>
      <w:marRight w:val="0"/>
      <w:marTop w:val="0"/>
      <w:marBottom w:val="0"/>
      <w:divBdr>
        <w:top w:val="none" w:sz="0" w:space="0" w:color="auto"/>
        <w:left w:val="none" w:sz="0" w:space="0" w:color="auto"/>
        <w:bottom w:val="none" w:sz="0" w:space="0" w:color="auto"/>
        <w:right w:val="none" w:sz="0" w:space="0" w:color="auto"/>
      </w:divBdr>
    </w:div>
    <w:div w:id="635184541">
      <w:bodyDiv w:val="1"/>
      <w:marLeft w:val="0"/>
      <w:marRight w:val="0"/>
      <w:marTop w:val="0"/>
      <w:marBottom w:val="0"/>
      <w:divBdr>
        <w:top w:val="none" w:sz="0" w:space="0" w:color="auto"/>
        <w:left w:val="none" w:sz="0" w:space="0" w:color="auto"/>
        <w:bottom w:val="none" w:sz="0" w:space="0" w:color="auto"/>
        <w:right w:val="none" w:sz="0" w:space="0" w:color="auto"/>
      </w:divBdr>
    </w:div>
    <w:div w:id="647855254">
      <w:bodyDiv w:val="1"/>
      <w:marLeft w:val="0"/>
      <w:marRight w:val="0"/>
      <w:marTop w:val="0"/>
      <w:marBottom w:val="0"/>
      <w:divBdr>
        <w:top w:val="none" w:sz="0" w:space="0" w:color="auto"/>
        <w:left w:val="none" w:sz="0" w:space="0" w:color="auto"/>
        <w:bottom w:val="none" w:sz="0" w:space="0" w:color="auto"/>
        <w:right w:val="none" w:sz="0" w:space="0" w:color="auto"/>
      </w:divBdr>
    </w:div>
    <w:div w:id="648679650">
      <w:bodyDiv w:val="1"/>
      <w:marLeft w:val="0"/>
      <w:marRight w:val="0"/>
      <w:marTop w:val="0"/>
      <w:marBottom w:val="0"/>
      <w:divBdr>
        <w:top w:val="none" w:sz="0" w:space="0" w:color="auto"/>
        <w:left w:val="none" w:sz="0" w:space="0" w:color="auto"/>
        <w:bottom w:val="none" w:sz="0" w:space="0" w:color="auto"/>
        <w:right w:val="none" w:sz="0" w:space="0" w:color="auto"/>
      </w:divBdr>
    </w:div>
    <w:div w:id="662777598">
      <w:bodyDiv w:val="1"/>
      <w:marLeft w:val="0"/>
      <w:marRight w:val="0"/>
      <w:marTop w:val="0"/>
      <w:marBottom w:val="0"/>
      <w:divBdr>
        <w:top w:val="none" w:sz="0" w:space="0" w:color="auto"/>
        <w:left w:val="none" w:sz="0" w:space="0" w:color="auto"/>
        <w:bottom w:val="none" w:sz="0" w:space="0" w:color="auto"/>
        <w:right w:val="none" w:sz="0" w:space="0" w:color="auto"/>
      </w:divBdr>
    </w:div>
    <w:div w:id="699622264">
      <w:bodyDiv w:val="1"/>
      <w:marLeft w:val="0"/>
      <w:marRight w:val="0"/>
      <w:marTop w:val="0"/>
      <w:marBottom w:val="0"/>
      <w:divBdr>
        <w:top w:val="none" w:sz="0" w:space="0" w:color="auto"/>
        <w:left w:val="none" w:sz="0" w:space="0" w:color="auto"/>
        <w:bottom w:val="none" w:sz="0" w:space="0" w:color="auto"/>
        <w:right w:val="none" w:sz="0" w:space="0" w:color="auto"/>
      </w:divBdr>
    </w:div>
    <w:div w:id="704867601">
      <w:bodyDiv w:val="1"/>
      <w:marLeft w:val="0"/>
      <w:marRight w:val="0"/>
      <w:marTop w:val="0"/>
      <w:marBottom w:val="0"/>
      <w:divBdr>
        <w:top w:val="none" w:sz="0" w:space="0" w:color="auto"/>
        <w:left w:val="none" w:sz="0" w:space="0" w:color="auto"/>
        <w:bottom w:val="none" w:sz="0" w:space="0" w:color="auto"/>
        <w:right w:val="none" w:sz="0" w:space="0" w:color="auto"/>
      </w:divBdr>
    </w:div>
    <w:div w:id="711226342">
      <w:bodyDiv w:val="1"/>
      <w:marLeft w:val="0"/>
      <w:marRight w:val="0"/>
      <w:marTop w:val="0"/>
      <w:marBottom w:val="0"/>
      <w:divBdr>
        <w:top w:val="none" w:sz="0" w:space="0" w:color="auto"/>
        <w:left w:val="none" w:sz="0" w:space="0" w:color="auto"/>
        <w:bottom w:val="none" w:sz="0" w:space="0" w:color="auto"/>
        <w:right w:val="none" w:sz="0" w:space="0" w:color="auto"/>
      </w:divBdr>
    </w:div>
    <w:div w:id="719012013">
      <w:bodyDiv w:val="1"/>
      <w:marLeft w:val="0"/>
      <w:marRight w:val="0"/>
      <w:marTop w:val="0"/>
      <w:marBottom w:val="0"/>
      <w:divBdr>
        <w:top w:val="none" w:sz="0" w:space="0" w:color="auto"/>
        <w:left w:val="none" w:sz="0" w:space="0" w:color="auto"/>
        <w:bottom w:val="none" w:sz="0" w:space="0" w:color="auto"/>
        <w:right w:val="none" w:sz="0" w:space="0" w:color="auto"/>
      </w:divBdr>
    </w:div>
    <w:div w:id="722214646">
      <w:bodyDiv w:val="1"/>
      <w:marLeft w:val="0"/>
      <w:marRight w:val="0"/>
      <w:marTop w:val="0"/>
      <w:marBottom w:val="0"/>
      <w:divBdr>
        <w:top w:val="none" w:sz="0" w:space="0" w:color="auto"/>
        <w:left w:val="none" w:sz="0" w:space="0" w:color="auto"/>
        <w:bottom w:val="none" w:sz="0" w:space="0" w:color="auto"/>
        <w:right w:val="none" w:sz="0" w:space="0" w:color="auto"/>
      </w:divBdr>
    </w:div>
    <w:div w:id="734157569">
      <w:bodyDiv w:val="1"/>
      <w:marLeft w:val="0"/>
      <w:marRight w:val="0"/>
      <w:marTop w:val="0"/>
      <w:marBottom w:val="0"/>
      <w:divBdr>
        <w:top w:val="none" w:sz="0" w:space="0" w:color="auto"/>
        <w:left w:val="none" w:sz="0" w:space="0" w:color="auto"/>
        <w:bottom w:val="none" w:sz="0" w:space="0" w:color="auto"/>
        <w:right w:val="none" w:sz="0" w:space="0" w:color="auto"/>
      </w:divBdr>
    </w:div>
    <w:div w:id="737897312">
      <w:bodyDiv w:val="1"/>
      <w:marLeft w:val="0"/>
      <w:marRight w:val="0"/>
      <w:marTop w:val="0"/>
      <w:marBottom w:val="0"/>
      <w:divBdr>
        <w:top w:val="none" w:sz="0" w:space="0" w:color="auto"/>
        <w:left w:val="none" w:sz="0" w:space="0" w:color="auto"/>
        <w:bottom w:val="none" w:sz="0" w:space="0" w:color="auto"/>
        <w:right w:val="none" w:sz="0" w:space="0" w:color="auto"/>
      </w:divBdr>
    </w:div>
    <w:div w:id="741097465">
      <w:bodyDiv w:val="1"/>
      <w:marLeft w:val="0"/>
      <w:marRight w:val="0"/>
      <w:marTop w:val="0"/>
      <w:marBottom w:val="0"/>
      <w:divBdr>
        <w:top w:val="none" w:sz="0" w:space="0" w:color="auto"/>
        <w:left w:val="none" w:sz="0" w:space="0" w:color="auto"/>
        <w:bottom w:val="none" w:sz="0" w:space="0" w:color="auto"/>
        <w:right w:val="none" w:sz="0" w:space="0" w:color="auto"/>
      </w:divBdr>
    </w:div>
    <w:div w:id="742803216">
      <w:bodyDiv w:val="1"/>
      <w:marLeft w:val="0"/>
      <w:marRight w:val="0"/>
      <w:marTop w:val="0"/>
      <w:marBottom w:val="0"/>
      <w:divBdr>
        <w:top w:val="none" w:sz="0" w:space="0" w:color="auto"/>
        <w:left w:val="none" w:sz="0" w:space="0" w:color="auto"/>
        <w:bottom w:val="none" w:sz="0" w:space="0" w:color="auto"/>
        <w:right w:val="none" w:sz="0" w:space="0" w:color="auto"/>
      </w:divBdr>
    </w:div>
    <w:div w:id="763915602">
      <w:bodyDiv w:val="1"/>
      <w:marLeft w:val="0"/>
      <w:marRight w:val="0"/>
      <w:marTop w:val="0"/>
      <w:marBottom w:val="0"/>
      <w:divBdr>
        <w:top w:val="none" w:sz="0" w:space="0" w:color="auto"/>
        <w:left w:val="none" w:sz="0" w:space="0" w:color="auto"/>
        <w:bottom w:val="none" w:sz="0" w:space="0" w:color="auto"/>
        <w:right w:val="none" w:sz="0" w:space="0" w:color="auto"/>
      </w:divBdr>
    </w:div>
    <w:div w:id="766854268">
      <w:bodyDiv w:val="1"/>
      <w:marLeft w:val="0"/>
      <w:marRight w:val="0"/>
      <w:marTop w:val="0"/>
      <w:marBottom w:val="0"/>
      <w:divBdr>
        <w:top w:val="none" w:sz="0" w:space="0" w:color="auto"/>
        <w:left w:val="none" w:sz="0" w:space="0" w:color="auto"/>
        <w:bottom w:val="none" w:sz="0" w:space="0" w:color="auto"/>
        <w:right w:val="none" w:sz="0" w:space="0" w:color="auto"/>
      </w:divBdr>
    </w:div>
    <w:div w:id="767820329">
      <w:bodyDiv w:val="1"/>
      <w:marLeft w:val="0"/>
      <w:marRight w:val="0"/>
      <w:marTop w:val="0"/>
      <w:marBottom w:val="0"/>
      <w:divBdr>
        <w:top w:val="none" w:sz="0" w:space="0" w:color="auto"/>
        <w:left w:val="none" w:sz="0" w:space="0" w:color="auto"/>
        <w:bottom w:val="none" w:sz="0" w:space="0" w:color="auto"/>
        <w:right w:val="none" w:sz="0" w:space="0" w:color="auto"/>
      </w:divBdr>
    </w:div>
    <w:div w:id="790712358">
      <w:bodyDiv w:val="1"/>
      <w:marLeft w:val="0"/>
      <w:marRight w:val="0"/>
      <w:marTop w:val="0"/>
      <w:marBottom w:val="0"/>
      <w:divBdr>
        <w:top w:val="none" w:sz="0" w:space="0" w:color="auto"/>
        <w:left w:val="none" w:sz="0" w:space="0" w:color="auto"/>
        <w:bottom w:val="none" w:sz="0" w:space="0" w:color="auto"/>
        <w:right w:val="none" w:sz="0" w:space="0" w:color="auto"/>
      </w:divBdr>
    </w:div>
    <w:div w:id="808664838">
      <w:bodyDiv w:val="1"/>
      <w:marLeft w:val="0"/>
      <w:marRight w:val="0"/>
      <w:marTop w:val="0"/>
      <w:marBottom w:val="0"/>
      <w:divBdr>
        <w:top w:val="none" w:sz="0" w:space="0" w:color="auto"/>
        <w:left w:val="none" w:sz="0" w:space="0" w:color="auto"/>
        <w:bottom w:val="none" w:sz="0" w:space="0" w:color="auto"/>
        <w:right w:val="none" w:sz="0" w:space="0" w:color="auto"/>
      </w:divBdr>
    </w:div>
    <w:div w:id="816142434">
      <w:bodyDiv w:val="1"/>
      <w:marLeft w:val="0"/>
      <w:marRight w:val="0"/>
      <w:marTop w:val="0"/>
      <w:marBottom w:val="0"/>
      <w:divBdr>
        <w:top w:val="none" w:sz="0" w:space="0" w:color="auto"/>
        <w:left w:val="none" w:sz="0" w:space="0" w:color="auto"/>
        <w:bottom w:val="none" w:sz="0" w:space="0" w:color="auto"/>
        <w:right w:val="none" w:sz="0" w:space="0" w:color="auto"/>
      </w:divBdr>
    </w:div>
    <w:div w:id="831215121">
      <w:bodyDiv w:val="1"/>
      <w:marLeft w:val="0"/>
      <w:marRight w:val="0"/>
      <w:marTop w:val="0"/>
      <w:marBottom w:val="0"/>
      <w:divBdr>
        <w:top w:val="none" w:sz="0" w:space="0" w:color="auto"/>
        <w:left w:val="none" w:sz="0" w:space="0" w:color="auto"/>
        <w:bottom w:val="none" w:sz="0" w:space="0" w:color="auto"/>
        <w:right w:val="none" w:sz="0" w:space="0" w:color="auto"/>
      </w:divBdr>
    </w:div>
    <w:div w:id="846402135">
      <w:bodyDiv w:val="1"/>
      <w:marLeft w:val="0"/>
      <w:marRight w:val="0"/>
      <w:marTop w:val="0"/>
      <w:marBottom w:val="0"/>
      <w:divBdr>
        <w:top w:val="none" w:sz="0" w:space="0" w:color="auto"/>
        <w:left w:val="none" w:sz="0" w:space="0" w:color="auto"/>
        <w:bottom w:val="none" w:sz="0" w:space="0" w:color="auto"/>
        <w:right w:val="none" w:sz="0" w:space="0" w:color="auto"/>
      </w:divBdr>
    </w:div>
    <w:div w:id="849950471">
      <w:bodyDiv w:val="1"/>
      <w:marLeft w:val="0"/>
      <w:marRight w:val="0"/>
      <w:marTop w:val="0"/>
      <w:marBottom w:val="0"/>
      <w:divBdr>
        <w:top w:val="none" w:sz="0" w:space="0" w:color="auto"/>
        <w:left w:val="none" w:sz="0" w:space="0" w:color="auto"/>
        <w:bottom w:val="none" w:sz="0" w:space="0" w:color="auto"/>
        <w:right w:val="none" w:sz="0" w:space="0" w:color="auto"/>
      </w:divBdr>
    </w:div>
    <w:div w:id="872352475">
      <w:bodyDiv w:val="1"/>
      <w:marLeft w:val="0"/>
      <w:marRight w:val="0"/>
      <w:marTop w:val="0"/>
      <w:marBottom w:val="0"/>
      <w:divBdr>
        <w:top w:val="none" w:sz="0" w:space="0" w:color="auto"/>
        <w:left w:val="none" w:sz="0" w:space="0" w:color="auto"/>
        <w:bottom w:val="none" w:sz="0" w:space="0" w:color="auto"/>
        <w:right w:val="none" w:sz="0" w:space="0" w:color="auto"/>
      </w:divBdr>
    </w:div>
    <w:div w:id="892740909">
      <w:bodyDiv w:val="1"/>
      <w:marLeft w:val="0"/>
      <w:marRight w:val="0"/>
      <w:marTop w:val="0"/>
      <w:marBottom w:val="0"/>
      <w:divBdr>
        <w:top w:val="none" w:sz="0" w:space="0" w:color="auto"/>
        <w:left w:val="none" w:sz="0" w:space="0" w:color="auto"/>
        <w:bottom w:val="none" w:sz="0" w:space="0" w:color="auto"/>
        <w:right w:val="none" w:sz="0" w:space="0" w:color="auto"/>
      </w:divBdr>
    </w:div>
    <w:div w:id="904297224">
      <w:bodyDiv w:val="1"/>
      <w:marLeft w:val="0"/>
      <w:marRight w:val="0"/>
      <w:marTop w:val="0"/>
      <w:marBottom w:val="0"/>
      <w:divBdr>
        <w:top w:val="none" w:sz="0" w:space="0" w:color="auto"/>
        <w:left w:val="none" w:sz="0" w:space="0" w:color="auto"/>
        <w:bottom w:val="none" w:sz="0" w:space="0" w:color="auto"/>
        <w:right w:val="none" w:sz="0" w:space="0" w:color="auto"/>
      </w:divBdr>
    </w:div>
    <w:div w:id="918906522">
      <w:bodyDiv w:val="1"/>
      <w:marLeft w:val="0"/>
      <w:marRight w:val="0"/>
      <w:marTop w:val="0"/>
      <w:marBottom w:val="0"/>
      <w:divBdr>
        <w:top w:val="none" w:sz="0" w:space="0" w:color="auto"/>
        <w:left w:val="none" w:sz="0" w:space="0" w:color="auto"/>
        <w:bottom w:val="none" w:sz="0" w:space="0" w:color="auto"/>
        <w:right w:val="none" w:sz="0" w:space="0" w:color="auto"/>
      </w:divBdr>
    </w:div>
    <w:div w:id="922185209">
      <w:bodyDiv w:val="1"/>
      <w:marLeft w:val="0"/>
      <w:marRight w:val="0"/>
      <w:marTop w:val="0"/>
      <w:marBottom w:val="0"/>
      <w:divBdr>
        <w:top w:val="none" w:sz="0" w:space="0" w:color="auto"/>
        <w:left w:val="none" w:sz="0" w:space="0" w:color="auto"/>
        <w:bottom w:val="none" w:sz="0" w:space="0" w:color="auto"/>
        <w:right w:val="none" w:sz="0" w:space="0" w:color="auto"/>
      </w:divBdr>
    </w:div>
    <w:div w:id="945692529">
      <w:bodyDiv w:val="1"/>
      <w:marLeft w:val="0"/>
      <w:marRight w:val="0"/>
      <w:marTop w:val="0"/>
      <w:marBottom w:val="0"/>
      <w:divBdr>
        <w:top w:val="none" w:sz="0" w:space="0" w:color="auto"/>
        <w:left w:val="none" w:sz="0" w:space="0" w:color="auto"/>
        <w:bottom w:val="none" w:sz="0" w:space="0" w:color="auto"/>
        <w:right w:val="none" w:sz="0" w:space="0" w:color="auto"/>
      </w:divBdr>
    </w:div>
    <w:div w:id="964239152">
      <w:bodyDiv w:val="1"/>
      <w:marLeft w:val="0"/>
      <w:marRight w:val="0"/>
      <w:marTop w:val="0"/>
      <w:marBottom w:val="0"/>
      <w:divBdr>
        <w:top w:val="none" w:sz="0" w:space="0" w:color="auto"/>
        <w:left w:val="none" w:sz="0" w:space="0" w:color="auto"/>
        <w:bottom w:val="none" w:sz="0" w:space="0" w:color="auto"/>
        <w:right w:val="none" w:sz="0" w:space="0" w:color="auto"/>
      </w:divBdr>
    </w:div>
    <w:div w:id="981734147">
      <w:bodyDiv w:val="1"/>
      <w:marLeft w:val="0"/>
      <w:marRight w:val="0"/>
      <w:marTop w:val="0"/>
      <w:marBottom w:val="0"/>
      <w:divBdr>
        <w:top w:val="none" w:sz="0" w:space="0" w:color="auto"/>
        <w:left w:val="none" w:sz="0" w:space="0" w:color="auto"/>
        <w:bottom w:val="none" w:sz="0" w:space="0" w:color="auto"/>
        <w:right w:val="none" w:sz="0" w:space="0" w:color="auto"/>
      </w:divBdr>
    </w:div>
    <w:div w:id="983582002">
      <w:bodyDiv w:val="1"/>
      <w:marLeft w:val="0"/>
      <w:marRight w:val="0"/>
      <w:marTop w:val="0"/>
      <w:marBottom w:val="0"/>
      <w:divBdr>
        <w:top w:val="none" w:sz="0" w:space="0" w:color="auto"/>
        <w:left w:val="none" w:sz="0" w:space="0" w:color="auto"/>
        <w:bottom w:val="none" w:sz="0" w:space="0" w:color="auto"/>
        <w:right w:val="none" w:sz="0" w:space="0" w:color="auto"/>
      </w:divBdr>
    </w:div>
    <w:div w:id="1007630476">
      <w:bodyDiv w:val="1"/>
      <w:marLeft w:val="0"/>
      <w:marRight w:val="0"/>
      <w:marTop w:val="0"/>
      <w:marBottom w:val="0"/>
      <w:divBdr>
        <w:top w:val="none" w:sz="0" w:space="0" w:color="auto"/>
        <w:left w:val="none" w:sz="0" w:space="0" w:color="auto"/>
        <w:bottom w:val="none" w:sz="0" w:space="0" w:color="auto"/>
        <w:right w:val="none" w:sz="0" w:space="0" w:color="auto"/>
      </w:divBdr>
    </w:div>
    <w:div w:id="1010984598">
      <w:bodyDiv w:val="1"/>
      <w:marLeft w:val="0"/>
      <w:marRight w:val="0"/>
      <w:marTop w:val="0"/>
      <w:marBottom w:val="0"/>
      <w:divBdr>
        <w:top w:val="none" w:sz="0" w:space="0" w:color="auto"/>
        <w:left w:val="none" w:sz="0" w:space="0" w:color="auto"/>
        <w:bottom w:val="none" w:sz="0" w:space="0" w:color="auto"/>
        <w:right w:val="none" w:sz="0" w:space="0" w:color="auto"/>
      </w:divBdr>
    </w:div>
    <w:div w:id="1037435595">
      <w:bodyDiv w:val="1"/>
      <w:marLeft w:val="0"/>
      <w:marRight w:val="0"/>
      <w:marTop w:val="0"/>
      <w:marBottom w:val="0"/>
      <w:divBdr>
        <w:top w:val="none" w:sz="0" w:space="0" w:color="auto"/>
        <w:left w:val="none" w:sz="0" w:space="0" w:color="auto"/>
        <w:bottom w:val="none" w:sz="0" w:space="0" w:color="auto"/>
        <w:right w:val="none" w:sz="0" w:space="0" w:color="auto"/>
      </w:divBdr>
    </w:div>
    <w:div w:id="1051542663">
      <w:bodyDiv w:val="1"/>
      <w:marLeft w:val="0"/>
      <w:marRight w:val="0"/>
      <w:marTop w:val="0"/>
      <w:marBottom w:val="0"/>
      <w:divBdr>
        <w:top w:val="none" w:sz="0" w:space="0" w:color="auto"/>
        <w:left w:val="none" w:sz="0" w:space="0" w:color="auto"/>
        <w:bottom w:val="none" w:sz="0" w:space="0" w:color="auto"/>
        <w:right w:val="none" w:sz="0" w:space="0" w:color="auto"/>
      </w:divBdr>
    </w:div>
    <w:div w:id="1062213602">
      <w:bodyDiv w:val="1"/>
      <w:marLeft w:val="0"/>
      <w:marRight w:val="0"/>
      <w:marTop w:val="0"/>
      <w:marBottom w:val="0"/>
      <w:divBdr>
        <w:top w:val="none" w:sz="0" w:space="0" w:color="auto"/>
        <w:left w:val="none" w:sz="0" w:space="0" w:color="auto"/>
        <w:bottom w:val="none" w:sz="0" w:space="0" w:color="auto"/>
        <w:right w:val="none" w:sz="0" w:space="0" w:color="auto"/>
      </w:divBdr>
    </w:div>
    <w:div w:id="1067416025">
      <w:bodyDiv w:val="1"/>
      <w:marLeft w:val="0"/>
      <w:marRight w:val="0"/>
      <w:marTop w:val="0"/>
      <w:marBottom w:val="0"/>
      <w:divBdr>
        <w:top w:val="none" w:sz="0" w:space="0" w:color="auto"/>
        <w:left w:val="none" w:sz="0" w:space="0" w:color="auto"/>
        <w:bottom w:val="none" w:sz="0" w:space="0" w:color="auto"/>
        <w:right w:val="none" w:sz="0" w:space="0" w:color="auto"/>
      </w:divBdr>
    </w:div>
    <w:div w:id="1083800316">
      <w:bodyDiv w:val="1"/>
      <w:marLeft w:val="0"/>
      <w:marRight w:val="0"/>
      <w:marTop w:val="0"/>
      <w:marBottom w:val="0"/>
      <w:divBdr>
        <w:top w:val="none" w:sz="0" w:space="0" w:color="auto"/>
        <w:left w:val="none" w:sz="0" w:space="0" w:color="auto"/>
        <w:bottom w:val="none" w:sz="0" w:space="0" w:color="auto"/>
        <w:right w:val="none" w:sz="0" w:space="0" w:color="auto"/>
      </w:divBdr>
    </w:div>
    <w:div w:id="1091665216">
      <w:bodyDiv w:val="1"/>
      <w:marLeft w:val="0"/>
      <w:marRight w:val="0"/>
      <w:marTop w:val="0"/>
      <w:marBottom w:val="0"/>
      <w:divBdr>
        <w:top w:val="none" w:sz="0" w:space="0" w:color="auto"/>
        <w:left w:val="none" w:sz="0" w:space="0" w:color="auto"/>
        <w:bottom w:val="none" w:sz="0" w:space="0" w:color="auto"/>
        <w:right w:val="none" w:sz="0" w:space="0" w:color="auto"/>
      </w:divBdr>
    </w:div>
    <w:div w:id="1104349500">
      <w:bodyDiv w:val="1"/>
      <w:marLeft w:val="0"/>
      <w:marRight w:val="0"/>
      <w:marTop w:val="0"/>
      <w:marBottom w:val="0"/>
      <w:divBdr>
        <w:top w:val="none" w:sz="0" w:space="0" w:color="auto"/>
        <w:left w:val="none" w:sz="0" w:space="0" w:color="auto"/>
        <w:bottom w:val="none" w:sz="0" w:space="0" w:color="auto"/>
        <w:right w:val="none" w:sz="0" w:space="0" w:color="auto"/>
      </w:divBdr>
    </w:div>
    <w:div w:id="1106123685">
      <w:bodyDiv w:val="1"/>
      <w:marLeft w:val="0"/>
      <w:marRight w:val="0"/>
      <w:marTop w:val="0"/>
      <w:marBottom w:val="0"/>
      <w:divBdr>
        <w:top w:val="none" w:sz="0" w:space="0" w:color="auto"/>
        <w:left w:val="none" w:sz="0" w:space="0" w:color="auto"/>
        <w:bottom w:val="none" w:sz="0" w:space="0" w:color="auto"/>
        <w:right w:val="none" w:sz="0" w:space="0" w:color="auto"/>
      </w:divBdr>
    </w:div>
    <w:div w:id="1126699180">
      <w:bodyDiv w:val="1"/>
      <w:marLeft w:val="0"/>
      <w:marRight w:val="0"/>
      <w:marTop w:val="0"/>
      <w:marBottom w:val="0"/>
      <w:divBdr>
        <w:top w:val="none" w:sz="0" w:space="0" w:color="auto"/>
        <w:left w:val="none" w:sz="0" w:space="0" w:color="auto"/>
        <w:bottom w:val="none" w:sz="0" w:space="0" w:color="auto"/>
        <w:right w:val="none" w:sz="0" w:space="0" w:color="auto"/>
      </w:divBdr>
    </w:div>
    <w:div w:id="1153259777">
      <w:bodyDiv w:val="1"/>
      <w:marLeft w:val="0"/>
      <w:marRight w:val="0"/>
      <w:marTop w:val="0"/>
      <w:marBottom w:val="0"/>
      <w:divBdr>
        <w:top w:val="none" w:sz="0" w:space="0" w:color="auto"/>
        <w:left w:val="none" w:sz="0" w:space="0" w:color="auto"/>
        <w:bottom w:val="none" w:sz="0" w:space="0" w:color="auto"/>
        <w:right w:val="none" w:sz="0" w:space="0" w:color="auto"/>
      </w:divBdr>
    </w:div>
    <w:div w:id="1154100099">
      <w:bodyDiv w:val="1"/>
      <w:marLeft w:val="0"/>
      <w:marRight w:val="0"/>
      <w:marTop w:val="0"/>
      <w:marBottom w:val="0"/>
      <w:divBdr>
        <w:top w:val="none" w:sz="0" w:space="0" w:color="auto"/>
        <w:left w:val="none" w:sz="0" w:space="0" w:color="auto"/>
        <w:bottom w:val="none" w:sz="0" w:space="0" w:color="auto"/>
        <w:right w:val="none" w:sz="0" w:space="0" w:color="auto"/>
      </w:divBdr>
    </w:div>
    <w:div w:id="1180509658">
      <w:bodyDiv w:val="1"/>
      <w:marLeft w:val="0"/>
      <w:marRight w:val="0"/>
      <w:marTop w:val="0"/>
      <w:marBottom w:val="0"/>
      <w:divBdr>
        <w:top w:val="none" w:sz="0" w:space="0" w:color="auto"/>
        <w:left w:val="none" w:sz="0" w:space="0" w:color="auto"/>
        <w:bottom w:val="none" w:sz="0" w:space="0" w:color="auto"/>
        <w:right w:val="none" w:sz="0" w:space="0" w:color="auto"/>
      </w:divBdr>
    </w:div>
    <w:div w:id="1207063795">
      <w:bodyDiv w:val="1"/>
      <w:marLeft w:val="0"/>
      <w:marRight w:val="0"/>
      <w:marTop w:val="0"/>
      <w:marBottom w:val="0"/>
      <w:divBdr>
        <w:top w:val="none" w:sz="0" w:space="0" w:color="auto"/>
        <w:left w:val="none" w:sz="0" w:space="0" w:color="auto"/>
        <w:bottom w:val="none" w:sz="0" w:space="0" w:color="auto"/>
        <w:right w:val="none" w:sz="0" w:space="0" w:color="auto"/>
      </w:divBdr>
    </w:div>
    <w:div w:id="1210918937">
      <w:bodyDiv w:val="1"/>
      <w:marLeft w:val="0"/>
      <w:marRight w:val="0"/>
      <w:marTop w:val="0"/>
      <w:marBottom w:val="0"/>
      <w:divBdr>
        <w:top w:val="none" w:sz="0" w:space="0" w:color="auto"/>
        <w:left w:val="none" w:sz="0" w:space="0" w:color="auto"/>
        <w:bottom w:val="none" w:sz="0" w:space="0" w:color="auto"/>
        <w:right w:val="none" w:sz="0" w:space="0" w:color="auto"/>
      </w:divBdr>
    </w:div>
    <w:div w:id="1212108781">
      <w:bodyDiv w:val="1"/>
      <w:marLeft w:val="0"/>
      <w:marRight w:val="0"/>
      <w:marTop w:val="0"/>
      <w:marBottom w:val="0"/>
      <w:divBdr>
        <w:top w:val="none" w:sz="0" w:space="0" w:color="auto"/>
        <w:left w:val="none" w:sz="0" w:space="0" w:color="auto"/>
        <w:bottom w:val="none" w:sz="0" w:space="0" w:color="auto"/>
        <w:right w:val="none" w:sz="0" w:space="0" w:color="auto"/>
      </w:divBdr>
    </w:div>
    <w:div w:id="1215660023">
      <w:bodyDiv w:val="1"/>
      <w:marLeft w:val="0"/>
      <w:marRight w:val="0"/>
      <w:marTop w:val="0"/>
      <w:marBottom w:val="0"/>
      <w:divBdr>
        <w:top w:val="none" w:sz="0" w:space="0" w:color="auto"/>
        <w:left w:val="none" w:sz="0" w:space="0" w:color="auto"/>
        <w:bottom w:val="none" w:sz="0" w:space="0" w:color="auto"/>
        <w:right w:val="none" w:sz="0" w:space="0" w:color="auto"/>
      </w:divBdr>
    </w:div>
    <w:div w:id="1222525777">
      <w:bodyDiv w:val="1"/>
      <w:marLeft w:val="0"/>
      <w:marRight w:val="0"/>
      <w:marTop w:val="0"/>
      <w:marBottom w:val="0"/>
      <w:divBdr>
        <w:top w:val="none" w:sz="0" w:space="0" w:color="auto"/>
        <w:left w:val="none" w:sz="0" w:space="0" w:color="auto"/>
        <w:bottom w:val="none" w:sz="0" w:space="0" w:color="auto"/>
        <w:right w:val="none" w:sz="0" w:space="0" w:color="auto"/>
      </w:divBdr>
    </w:div>
    <w:div w:id="1227187040">
      <w:bodyDiv w:val="1"/>
      <w:marLeft w:val="0"/>
      <w:marRight w:val="0"/>
      <w:marTop w:val="0"/>
      <w:marBottom w:val="0"/>
      <w:divBdr>
        <w:top w:val="none" w:sz="0" w:space="0" w:color="auto"/>
        <w:left w:val="none" w:sz="0" w:space="0" w:color="auto"/>
        <w:bottom w:val="none" w:sz="0" w:space="0" w:color="auto"/>
        <w:right w:val="none" w:sz="0" w:space="0" w:color="auto"/>
      </w:divBdr>
    </w:div>
    <w:div w:id="1280602139">
      <w:bodyDiv w:val="1"/>
      <w:marLeft w:val="0"/>
      <w:marRight w:val="0"/>
      <w:marTop w:val="0"/>
      <w:marBottom w:val="0"/>
      <w:divBdr>
        <w:top w:val="none" w:sz="0" w:space="0" w:color="auto"/>
        <w:left w:val="none" w:sz="0" w:space="0" w:color="auto"/>
        <w:bottom w:val="none" w:sz="0" w:space="0" w:color="auto"/>
        <w:right w:val="none" w:sz="0" w:space="0" w:color="auto"/>
      </w:divBdr>
    </w:div>
    <w:div w:id="1297448824">
      <w:bodyDiv w:val="1"/>
      <w:marLeft w:val="0"/>
      <w:marRight w:val="0"/>
      <w:marTop w:val="0"/>
      <w:marBottom w:val="0"/>
      <w:divBdr>
        <w:top w:val="none" w:sz="0" w:space="0" w:color="auto"/>
        <w:left w:val="none" w:sz="0" w:space="0" w:color="auto"/>
        <w:bottom w:val="none" w:sz="0" w:space="0" w:color="auto"/>
        <w:right w:val="none" w:sz="0" w:space="0" w:color="auto"/>
      </w:divBdr>
    </w:div>
    <w:div w:id="1300526551">
      <w:bodyDiv w:val="1"/>
      <w:marLeft w:val="0"/>
      <w:marRight w:val="0"/>
      <w:marTop w:val="0"/>
      <w:marBottom w:val="0"/>
      <w:divBdr>
        <w:top w:val="none" w:sz="0" w:space="0" w:color="auto"/>
        <w:left w:val="none" w:sz="0" w:space="0" w:color="auto"/>
        <w:bottom w:val="none" w:sz="0" w:space="0" w:color="auto"/>
        <w:right w:val="none" w:sz="0" w:space="0" w:color="auto"/>
      </w:divBdr>
    </w:div>
    <w:div w:id="1301880662">
      <w:bodyDiv w:val="1"/>
      <w:marLeft w:val="0"/>
      <w:marRight w:val="0"/>
      <w:marTop w:val="0"/>
      <w:marBottom w:val="0"/>
      <w:divBdr>
        <w:top w:val="none" w:sz="0" w:space="0" w:color="auto"/>
        <w:left w:val="none" w:sz="0" w:space="0" w:color="auto"/>
        <w:bottom w:val="none" w:sz="0" w:space="0" w:color="auto"/>
        <w:right w:val="none" w:sz="0" w:space="0" w:color="auto"/>
      </w:divBdr>
    </w:div>
    <w:div w:id="1340623610">
      <w:bodyDiv w:val="1"/>
      <w:marLeft w:val="0"/>
      <w:marRight w:val="0"/>
      <w:marTop w:val="0"/>
      <w:marBottom w:val="0"/>
      <w:divBdr>
        <w:top w:val="none" w:sz="0" w:space="0" w:color="auto"/>
        <w:left w:val="none" w:sz="0" w:space="0" w:color="auto"/>
        <w:bottom w:val="none" w:sz="0" w:space="0" w:color="auto"/>
        <w:right w:val="none" w:sz="0" w:space="0" w:color="auto"/>
      </w:divBdr>
    </w:div>
    <w:div w:id="1370912227">
      <w:bodyDiv w:val="1"/>
      <w:marLeft w:val="0"/>
      <w:marRight w:val="0"/>
      <w:marTop w:val="0"/>
      <w:marBottom w:val="0"/>
      <w:divBdr>
        <w:top w:val="none" w:sz="0" w:space="0" w:color="auto"/>
        <w:left w:val="none" w:sz="0" w:space="0" w:color="auto"/>
        <w:bottom w:val="none" w:sz="0" w:space="0" w:color="auto"/>
        <w:right w:val="none" w:sz="0" w:space="0" w:color="auto"/>
      </w:divBdr>
    </w:div>
    <w:div w:id="1395204859">
      <w:bodyDiv w:val="1"/>
      <w:marLeft w:val="0"/>
      <w:marRight w:val="0"/>
      <w:marTop w:val="0"/>
      <w:marBottom w:val="0"/>
      <w:divBdr>
        <w:top w:val="none" w:sz="0" w:space="0" w:color="auto"/>
        <w:left w:val="none" w:sz="0" w:space="0" w:color="auto"/>
        <w:bottom w:val="none" w:sz="0" w:space="0" w:color="auto"/>
        <w:right w:val="none" w:sz="0" w:space="0" w:color="auto"/>
      </w:divBdr>
    </w:div>
    <w:div w:id="1418283072">
      <w:bodyDiv w:val="1"/>
      <w:marLeft w:val="0"/>
      <w:marRight w:val="0"/>
      <w:marTop w:val="0"/>
      <w:marBottom w:val="0"/>
      <w:divBdr>
        <w:top w:val="none" w:sz="0" w:space="0" w:color="auto"/>
        <w:left w:val="none" w:sz="0" w:space="0" w:color="auto"/>
        <w:bottom w:val="none" w:sz="0" w:space="0" w:color="auto"/>
        <w:right w:val="none" w:sz="0" w:space="0" w:color="auto"/>
      </w:divBdr>
    </w:div>
    <w:div w:id="1419518662">
      <w:bodyDiv w:val="1"/>
      <w:marLeft w:val="0"/>
      <w:marRight w:val="0"/>
      <w:marTop w:val="0"/>
      <w:marBottom w:val="0"/>
      <w:divBdr>
        <w:top w:val="none" w:sz="0" w:space="0" w:color="auto"/>
        <w:left w:val="none" w:sz="0" w:space="0" w:color="auto"/>
        <w:bottom w:val="none" w:sz="0" w:space="0" w:color="auto"/>
        <w:right w:val="none" w:sz="0" w:space="0" w:color="auto"/>
      </w:divBdr>
    </w:div>
    <w:div w:id="1473252213">
      <w:bodyDiv w:val="1"/>
      <w:marLeft w:val="0"/>
      <w:marRight w:val="0"/>
      <w:marTop w:val="0"/>
      <w:marBottom w:val="0"/>
      <w:divBdr>
        <w:top w:val="none" w:sz="0" w:space="0" w:color="auto"/>
        <w:left w:val="none" w:sz="0" w:space="0" w:color="auto"/>
        <w:bottom w:val="none" w:sz="0" w:space="0" w:color="auto"/>
        <w:right w:val="none" w:sz="0" w:space="0" w:color="auto"/>
      </w:divBdr>
    </w:div>
    <w:div w:id="1489512565">
      <w:bodyDiv w:val="1"/>
      <w:marLeft w:val="0"/>
      <w:marRight w:val="0"/>
      <w:marTop w:val="0"/>
      <w:marBottom w:val="0"/>
      <w:divBdr>
        <w:top w:val="none" w:sz="0" w:space="0" w:color="auto"/>
        <w:left w:val="none" w:sz="0" w:space="0" w:color="auto"/>
        <w:bottom w:val="none" w:sz="0" w:space="0" w:color="auto"/>
        <w:right w:val="none" w:sz="0" w:space="0" w:color="auto"/>
      </w:divBdr>
    </w:div>
    <w:div w:id="1496843143">
      <w:bodyDiv w:val="1"/>
      <w:marLeft w:val="0"/>
      <w:marRight w:val="0"/>
      <w:marTop w:val="0"/>
      <w:marBottom w:val="0"/>
      <w:divBdr>
        <w:top w:val="none" w:sz="0" w:space="0" w:color="auto"/>
        <w:left w:val="none" w:sz="0" w:space="0" w:color="auto"/>
        <w:bottom w:val="none" w:sz="0" w:space="0" w:color="auto"/>
        <w:right w:val="none" w:sz="0" w:space="0" w:color="auto"/>
      </w:divBdr>
    </w:div>
    <w:div w:id="1504784801">
      <w:bodyDiv w:val="1"/>
      <w:marLeft w:val="0"/>
      <w:marRight w:val="0"/>
      <w:marTop w:val="0"/>
      <w:marBottom w:val="0"/>
      <w:divBdr>
        <w:top w:val="none" w:sz="0" w:space="0" w:color="auto"/>
        <w:left w:val="none" w:sz="0" w:space="0" w:color="auto"/>
        <w:bottom w:val="none" w:sz="0" w:space="0" w:color="auto"/>
        <w:right w:val="none" w:sz="0" w:space="0" w:color="auto"/>
      </w:divBdr>
    </w:div>
    <w:div w:id="1531408643">
      <w:bodyDiv w:val="1"/>
      <w:marLeft w:val="0"/>
      <w:marRight w:val="0"/>
      <w:marTop w:val="0"/>
      <w:marBottom w:val="0"/>
      <w:divBdr>
        <w:top w:val="none" w:sz="0" w:space="0" w:color="auto"/>
        <w:left w:val="none" w:sz="0" w:space="0" w:color="auto"/>
        <w:bottom w:val="none" w:sz="0" w:space="0" w:color="auto"/>
        <w:right w:val="none" w:sz="0" w:space="0" w:color="auto"/>
      </w:divBdr>
    </w:div>
    <w:div w:id="1537961123">
      <w:bodyDiv w:val="1"/>
      <w:marLeft w:val="0"/>
      <w:marRight w:val="0"/>
      <w:marTop w:val="0"/>
      <w:marBottom w:val="0"/>
      <w:divBdr>
        <w:top w:val="none" w:sz="0" w:space="0" w:color="auto"/>
        <w:left w:val="none" w:sz="0" w:space="0" w:color="auto"/>
        <w:bottom w:val="none" w:sz="0" w:space="0" w:color="auto"/>
        <w:right w:val="none" w:sz="0" w:space="0" w:color="auto"/>
      </w:divBdr>
      <w:divsChild>
        <w:div w:id="1048188785">
          <w:marLeft w:val="0"/>
          <w:marRight w:val="0"/>
          <w:marTop w:val="0"/>
          <w:marBottom w:val="0"/>
          <w:divBdr>
            <w:top w:val="none" w:sz="0" w:space="0" w:color="auto"/>
            <w:left w:val="none" w:sz="0" w:space="0" w:color="auto"/>
            <w:bottom w:val="none" w:sz="0" w:space="0" w:color="auto"/>
            <w:right w:val="none" w:sz="0" w:space="0" w:color="auto"/>
          </w:divBdr>
        </w:div>
      </w:divsChild>
    </w:div>
    <w:div w:id="1543328177">
      <w:bodyDiv w:val="1"/>
      <w:marLeft w:val="0"/>
      <w:marRight w:val="0"/>
      <w:marTop w:val="0"/>
      <w:marBottom w:val="0"/>
      <w:divBdr>
        <w:top w:val="none" w:sz="0" w:space="0" w:color="auto"/>
        <w:left w:val="none" w:sz="0" w:space="0" w:color="auto"/>
        <w:bottom w:val="none" w:sz="0" w:space="0" w:color="auto"/>
        <w:right w:val="none" w:sz="0" w:space="0" w:color="auto"/>
      </w:divBdr>
      <w:divsChild>
        <w:div w:id="303048158">
          <w:marLeft w:val="0"/>
          <w:marRight w:val="0"/>
          <w:marTop w:val="0"/>
          <w:marBottom w:val="0"/>
          <w:divBdr>
            <w:top w:val="none" w:sz="0" w:space="0" w:color="auto"/>
            <w:left w:val="none" w:sz="0" w:space="0" w:color="auto"/>
            <w:bottom w:val="none" w:sz="0" w:space="0" w:color="auto"/>
            <w:right w:val="none" w:sz="0" w:space="0" w:color="auto"/>
          </w:divBdr>
          <w:divsChild>
            <w:div w:id="1183084712">
              <w:marLeft w:val="0"/>
              <w:marRight w:val="0"/>
              <w:marTop w:val="0"/>
              <w:marBottom w:val="0"/>
              <w:divBdr>
                <w:top w:val="none" w:sz="0" w:space="0" w:color="auto"/>
                <w:left w:val="none" w:sz="0" w:space="0" w:color="auto"/>
                <w:bottom w:val="none" w:sz="0" w:space="0" w:color="auto"/>
                <w:right w:val="none" w:sz="0" w:space="0" w:color="auto"/>
              </w:divBdr>
              <w:divsChild>
                <w:div w:id="611666938">
                  <w:marLeft w:val="45"/>
                  <w:marRight w:val="45"/>
                  <w:marTop w:val="15"/>
                  <w:marBottom w:val="0"/>
                  <w:divBdr>
                    <w:top w:val="none" w:sz="0" w:space="0" w:color="auto"/>
                    <w:left w:val="none" w:sz="0" w:space="0" w:color="auto"/>
                    <w:bottom w:val="none" w:sz="0" w:space="0" w:color="auto"/>
                    <w:right w:val="none" w:sz="0" w:space="0" w:color="auto"/>
                  </w:divBdr>
                  <w:divsChild>
                    <w:div w:id="569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8081">
          <w:marLeft w:val="0"/>
          <w:marRight w:val="0"/>
          <w:marTop w:val="0"/>
          <w:marBottom w:val="0"/>
          <w:divBdr>
            <w:top w:val="none" w:sz="0" w:space="0" w:color="auto"/>
            <w:left w:val="none" w:sz="0" w:space="0" w:color="auto"/>
            <w:bottom w:val="none" w:sz="0" w:space="0" w:color="auto"/>
            <w:right w:val="none" w:sz="0" w:space="0" w:color="auto"/>
          </w:divBdr>
        </w:div>
      </w:divsChild>
    </w:div>
    <w:div w:id="1554611312">
      <w:bodyDiv w:val="1"/>
      <w:marLeft w:val="0"/>
      <w:marRight w:val="0"/>
      <w:marTop w:val="0"/>
      <w:marBottom w:val="0"/>
      <w:divBdr>
        <w:top w:val="none" w:sz="0" w:space="0" w:color="auto"/>
        <w:left w:val="none" w:sz="0" w:space="0" w:color="auto"/>
        <w:bottom w:val="none" w:sz="0" w:space="0" w:color="auto"/>
        <w:right w:val="none" w:sz="0" w:space="0" w:color="auto"/>
      </w:divBdr>
    </w:div>
    <w:div w:id="1569152486">
      <w:bodyDiv w:val="1"/>
      <w:marLeft w:val="0"/>
      <w:marRight w:val="0"/>
      <w:marTop w:val="0"/>
      <w:marBottom w:val="0"/>
      <w:divBdr>
        <w:top w:val="none" w:sz="0" w:space="0" w:color="auto"/>
        <w:left w:val="none" w:sz="0" w:space="0" w:color="auto"/>
        <w:bottom w:val="none" w:sz="0" w:space="0" w:color="auto"/>
        <w:right w:val="none" w:sz="0" w:space="0" w:color="auto"/>
      </w:divBdr>
    </w:div>
    <w:div w:id="1592083294">
      <w:bodyDiv w:val="1"/>
      <w:marLeft w:val="0"/>
      <w:marRight w:val="0"/>
      <w:marTop w:val="0"/>
      <w:marBottom w:val="0"/>
      <w:divBdr>
        <w:top w:val="none" w:sz="0" w:space="0" w:color="auto"/>
        <w:left w:val="none" w:sz="0" w:space="0" w:color="auto"/>
        <w:bottom w:val="none" w:sz="0" w:space="0" w:color="auto"/>
        <w:right w:val="none" w:sz="0" w:space="0" w:color="auto"/>
      </w:divBdr>
    </w:div>
    <w:div w:id="1615135970">
      <w:bodyDiv w:val="1"/>
      <w:marLeft w:val="0"/>
      <w:marRight w:val="0"/>
      <w:marTop w:val="0"/>
      <w:marBottom w:val="0"/>
      <w:divBdr>
        <w:top w:val="none" w:sz="0" w:space="0" w:color="auto"/>
        <w:left w:val="none" w:sz="0" w:space="0" w:color="auto"/>
        <w:bottom w:val="none" w:sz="0" w:space="0" w:color="auto"/>
        <w:right w:val="none" w:sz="0" w:space="0" w:color="auto"/>
      </w:divBdr>
    </w:div>
    <w:div w:id="1619096871">
      <w:bodyDiv w:val="1"/>
      <w:marLeft w:val="0"/>
      <w:marRight w:val="0"/>
      <w:marTop w:val="0"/>
      <w:marBottom w:val="0"/>
      <w:divBdr>
        <w:top w:val="none" w:sz="0" w:space="0" w:color="auto"/>
        <w:left w:val="none" w:sz="0" w:space="0" w:color="auto"/>
        <w:bottom w:val="none" w:sz="0" w:space="0" w:color="auto"/>
        <w:right w:val="none" w:sz="0" w:space="0" w:color="auto"/>
      </w:divBdr>
    </w:div>
    <w:div w:id="1625385505">
      <w:bodyDiv w:val="1"/>
      <w:marLeft w:val="0"/>
      <w:marRight w:val="0"/>
      <w:marTop w:val="0"/>
      <w:marBottom w:val="0"/>
      <w:divBdr>
        <w:top w:val="none" w:sz="0" w:space="0" w:color="auto"/>
        <w:left w:val="none" w:sz="0" w:space="0" w:color="auto"/>
        <w:bottom w:val="none" w:sz="0" w:space="0" w:color="auto"/>
        <w:right w:val="none" w:sz="0" w:space="0" w:color="auto"/>
      </w:divBdr>
    </w:div>
    <w:div w:id="1627587061">
      <w:bodyDiv w:val="1"/>
      <w:marLeft w:val="0"/>
      <w:marRight w:val="0"/>
      <w:marTop w:val="0"/>
      <w:marBottom w:val="0"/>
      <w:divBdr>
        <w:top w:val="none" w:sz="0" w:space="0" w:color="auto"/>
        <w:left w:val="none" w:sz="0" w:space="0" w:color="auto"/>
        <w:bottom w:val="none" w:sz="0" w:space="0" w:color="auto"/>
        <w:right w:val="none" w:sz="0" w:space="0" w:color="auto"/>
      </w:divBdr>
    </w:div>
    <w:div w:id="1650013599">
      <w:bodyDiv w:val="1"/>
      <w:marLeft w:val="0"/>
      <w:marRight w:val="0"/>
      <w:marTop w:val="0"/>
      <w:marBottom w:val="0"/>
      <w:divBdr>
        <w:top w:val="none" w:sz="0" w:space="0" w:color="auto"/>
        <w:left w:val="none" w:sz="0" w:space="0" w:color="auto"/>
        <w:bottom w:val="none" w:sz="0" w:space="0" w:color="auto"/>
        <w:right w:val="none" w:sz="0" w:space="0" w:color="auto"/>
      </w:divBdr>
    </w:div>
    <w:div w:id="1650398215">
      <w:bodyDiv w:val="1"/>
      <w:marLeft w:val="0"/>
      <w:marRight w:val="0"/>
      <w:marTop w:val="0"/>
      <w:marBottom w:val="0"/>
      <w:divBdr>
        <w:top w:val="none" w:sz="0" w:space="0" w:color="auto"/>
        <w:left w:val="none" w:sz="0" w:space="0" w:color="auto"/>
        <w:bottom w:val="none" w:sz="0" w:space="0" w:color="auto"/>
        <w:right w:val="none" w:sz="0" w:space="0" w:color="auto"/>
      </w:divBdr>
    </w:div>
    <w:div w:id="1681158707">
      <w:bodyDiv w:val="1"/>
      <w:marLeft w:val="0"/>
      <w:marRight w:val="0"/>
      <w:marTop w:val="0"/>
      <w:marBottom w:val="0"/>
      <w:divBdr>
        <w:top w:val="none" w:sz="0" w:space="0" w:color="auto"/>
        <w:left w:val="none" w:sz="0" w:space="0" w:color="auto"/>
        <w:bottom w:val="none" w:sz="0" w:space="0" w:color="auto"/>
        <w:right w:val="none" w:sz="0" w:space="0" w:color="auto"/>
      </w:divBdr>
    </w:div>
    <w:div w:id="1684241832">
      <w:bodyDiv w:val="1"/>
      <w:marLeft w:val="0"/>
      <w:marRight w:val="0"/>
      <w:marTop w:val="0"/>
      <w:marBottom w:val="0"/>
      <w:divBdr>
        <w:top w:val="none" w:sz="0" w:space="0" w:color="auto"/>
        <w:left w:val="none" w:sz="0" w:space="0" w:color="auto"/>
        <w:bottom w:val="none" w:sz="0" w:space="0" w:color="auto"/>
        <w:right w:val="none" w:sz="0" w:space="0" w:color="auto"/>
      </w:divBdr>
    </w:div>
    <w:div w:id="1697148237">
      <w:bodyDiv w:val="1"/>
      <w:marLeft w:val="0"/>
      <w:marRight w:val="0"/>
      <w:marTop w:val="0"/>
      <w:marBottom w:val="0"/>
      <w:divBdr>
        <w:top w:val="none" w:sz="0" w:space="0" w:color="auto"/>
        <w:left w:val="none" w:sz="0" w:space="0" w:color="auto"/>
        <w:bottom w:val="none" w:sz="0" w:space="0" w:color="auto"/>
        <w:right w:val="none" w:sz="0" w:space="0" w:color="auto"/>
      </w:divBdr>
    </w:div>
    <w:div w:id="1706831723">
      <w:bodyDiv w:val="1"/>
      <w:marLeft w:val="0"/>
      <w:marRight w:val="0"/>
      <w:marTop w:val="0"/>
      <w:marBottom w:val="0"/>
      <w:divBdr>
        <w:top w:val="none" w:sz="0" w:space="0" w:color="auto"/>
        <w:left w:val="none" w:sz="0" w:space="0" w:color="auto"/>
        <w:bottom w:val="none" w:sz="0" w:space="0" w:color="auto"/>
        <w:right w:val="none" w:sz="0" w:space="0" w:color="auto"/>
      </w:divBdr>
    </w:div>
    <w:div w:id="1707019568">
      <w:bodyDiv w:val="1"/>
      <w:marLeft w:val="0"/>
      <w:marRight w:val="0"/>
      <w:marTop w:val="0"/>
      <w:marBottom w:val="0"/>
      <w:divBdr>
        <w:top w:val="none" w:sz="0" w:space="0" w:color="auto"/>
        <w:left w:val="none" w:sz="0" w:space="0" w:color="auto"/>
        <w:bottom w:val="none" w:sz="0" w:space="0" w:color="auto"/>
        <w:right w:val="none" w:sz="0" w:space="0" w:color="auto"/>
      </w:divBdr>
    </w:div>
    <w:div w:id="1715890342">
      <w:bodyDiv w:val="1"/>
      <w:marLeft w:val="0"/>
      <w:marRight w:val="0"/>
      <w:marTop w:val="0"/>
      <w:marBottom w:val="0"/>
      <w:divBdr>
        <w:top w:val="none" w:sz="0" w:space="0" w:color="auto"/>
        <w:left w:val="none" w:sz="0" w:space="0" w:color="auto"/>
        <w:bottom w:val="none" w:sz="0" w:space="0" w:color="auto"/>
        <w:right w:val="none" w:sz="0" w:space="0" w:color="auto"/>
      </w:divBdr>
    </w:div>
    <w:div w:id="1746297468">
      <w:bodyDiv w:val="1"/>
      <w:marLeft w:val="0"/>
      <w:marRight w:val="0"/>
      <w:marTop w:val="0"/>
      <w:marBottom w:val="0"/>
      <w:divBdr>
        <w:top w:val="none" w:sz="0" w:space="0" w:color="auto"/>
        <w:left w:val="none" w:sz="0" w:space="0" w:color="auto"/>
        <w:bottom w:val="none" w:sz="0" w:space="0" w:color="auto"/>
        <w:right w:val="none" w:sz="0" w:space="0" w:color="auto"/>
      </w:divBdr>
    </w:div>
    <w:div w:id="1755980400">
      <w:bodyDiv w:val="1"/>
      <w:marLeft w:val="0"/>
      <w:marRight w:val="0"/>
      <w:marTop w:val="0"/>
      <w:marBottom w:val="0"/>
      <w:divBdr>
        <w:top w:val="none" w:sz="0" w:space="0" w:color="auto"/>
        <w:left w:val="none" w:sz="0" w:space="0" w:color="auto"/>
        <w:bottom w:val="none" w:sz="0" w:space="0" w:color="auto"/>
        <w:right w:val="none" w:sz="0" w:space="0" w:color="auto"/>
      </w:divBdr>
    </w:div>
    <w:div w:id="1763648492">
      <w:bodyDiv w:val="1"/>
      <w:marLeft w:val="0"/>
      <w:marRight w:val="0"/>
      <w:marTop w:val="0"/>
      <w:marBottom w:val="0"/>
      <w:divBdr>
        <w:top w:val="none" w:sz="0" w:space="0" w:color="auto"/>
        <w:left w:val="none" w:sz="0" w:space="0" w:color="auto"/>
        <w:bottom w:val="none" w:sz="0" w:space="0" w:color="auto"/>
        <w:right w:val="none" w:sz="0" w:space="0" w:color="auto"/>
      </w:divBdr>
    </w:div>
    <w:div w:id="1776514846">
      <w:bodyDiv w:val="1"/>
      <w:marLeft w:val="0"/>
      <w:marRight w:val="0"/>
      <w:marTop w:val="0"/>
      <w:marBottom w:val="0"/>
      <w:divBdr>
        <w:top w:val="none" w:sz="0" w:space="0" w:color="auto"/>
        <w:left w:val="none" w:sz="0" w:space="0" w:color="auto"/>
        <w:bottom w:val="none" w:sz="0" w:space="0" w:color="auto"/>
        <w:right w:val="none" w:sz="0" w:space="0" w:color="auto"/>
      </w:divBdr>
    </w:div>
    <w:div w:id="1780220870">
      <w:bodyDiv w:val="1"/>
      <w:marLeft w:val="0"/>
      <w:marRight w:val="0"/>
      <w:marTop w:val="0"/>
      <w:marBottom w:val="0"/>
      <w:divBdr>
        <w:top w:val="none" w:sz="0" w:space="0" w:color="auto"/>
        <w:left w:val="none" w:sz="0" w:space="0" w:color="auto"/>
        <w:bottom w:val="none" w:sz="0" w:space="0" w:color="auto"/>
        <w:right w:val="none" w:sz="0" w:space="0" w:color="auto"/>
      </w:divBdr>
    </w:div>
    <w:div w:id="1782187733">
      <w:bodyDiv w:val="1"/>
      <w:marLeft w:val="0"/>
      <w:marRight w:val="0"/>
      <w:marTop w:val="0"/>
      <w:marBottom w:val="0"/>
      <w:divBdr>
        <w:top w:val="none" w:sz="0" w:space="0" w:color="auto"/>
        <w:left w:val="none" w:sz="0" w:space="0" w:color="auto"/>
        <w:bottom w:val="none" w:sz="0" w:space="0" w:color="auto"/>
        <w:right w:val="none" w:sz="0" w:space="0" w:color="auto"/>
      </w:divBdr>
    </w:div>
    <w:div w:id="1795366060">
      <w:bodyDiv w:val="1"/>
      <w:marLeft w:val="0"/>
      <w:marRight w:val="0"/>
      <w:marTop w:val="0"/>
      <w:marBottom w:val="0"/>
      <w:divBdr>
        <w:top w:val="none" w:sz="0" w:space="0" w:color="auto"/>
        <w:left w:val="none" w:sz="0" w:space="0" w:color="auto"/>
        <w:bottom w:val="none" w:sz="0" w:space="0" w:color="auto"/>
        <w:right w:val="none" w:sz="0" w:space="0" w:color="auto"/>
      </w:divBdr>
    </w:div>
    <w:div w:id="1803302522">
      <w:bodyDiv w:val="1"/>
      <w:marLeft w:val="0"/>
      <w:marRight w:val="0"/>
      <w:marTop w:val="0"/>
      <w:marBottom w:val="0"/>
      <w:divBdr>
        <w:top w:val="none" w:sz="0" w:space="0" w:color="auto"/>
        <w:left w:val="none" w:sz="0" w:space="0" w:color="auto"/>
        <w:bottom w:val="none" w:sz="0" w:space="0" w:color="auto"/>
        <w:right w:val="none" w:sz="0" w:space="0" w:color="auto"/>
      </w:divBdr>
    </w:div>
    <w:div w:id="1803496826">
      <w:bodyDiv w:val="1"/>
      <w:marLeft w:val="0"/>
      <w:marRight w:val="0"/>
      <w:marTop w:val="0"/>
      <w:marBottom w:val="0"/>
      <w:divBdr>
        <w:top w:val="none" w:sz="0" w:space="0" w:color="auto"/>
        <w:left w:val="none" w:sz="0" w:space="0" w:color="auto"/>
        <w:bottom w:val="none" w:sz="0" w:space="0" w:color="auto"/>
        <w:right w:val="none" w:sz="0" w:space="0" w:color="auto"/>
      </w:divBdr>
    </w:div>
    <w:div w:id="1810436237">
      <w:bodyDiv w:val="1"/>
      <w:marLeft w:val="0"/>
      <w:marRight w:val="0"/>
      <w:marTop w:val="0"/>
      <w:marBottom w:val="0"/>
      <w:divBdr>
        <w:top w:val="none" w:sz="0" w:space="0" w:color="auto"/>
        <w:left w:val="none" w:sz="0" w:space="0" w:color="auto"/>
        <w:bottom w:val="none" w:sz="0" w:space="0" w:color="auto"/>
        <w:right w:val="none" w:sz="0" w:space="0" w:color="auto"/>
      </w:divBdr>
    </w:div>
    <w:div w:id="1831946798">
      <w:bodyDiv w:val="1"/>
      <w:marLeft w:val="0"/>
      <w:marRight w:val="0"/>
      <w:marTop w:val="0"/>
      <w:marBottom w:val="0"/>
      <w:divBdr>
        <w:top w:val="none" w:sz="0" w:space="0" w:color="auto"/>
        <w:left w:val="none" w:sz="0" w:space="0" w:color="auto"/>
        <w:bottom w:val="none" w:sz="0" w:space="0" w:color="auto"/>
        <w:right w:val="none" w:sz="0" w:space="0" w:color="auto"/>
      </w:divBdr>
    </w:div>
    <w:div w:id="1857883024">
      <w:bodyDiv w:val="1"/>
      <w:marLeft w:val="0"/>
      <w:marRight w:val="0"/>
      <w:marTop w:val="0"/>
      <w:marBottom w:val="0"/>
      <w:divBdr>
        <w:top w:val="none" w:sz="0" w:space="0" w:color="auto"/>
        <w:left w:val="none" w:sz="0" w:space="0" w:color="auto"/>
        <w:bottom w:val="none" w:sz="0" w:space="0" w:color="auto"/>
        <w:right w:val="none" w:sz="0" w:space="0" w:color="auto"/>
      </w:divBdr>
    </w:div>
    <w:div w:id="1859196349">
      <w:bodyDiv w:val="1"/>
      <w:marLeft w:val="0"/>
      <w:marRight w:val="0"/>
      <w:marTop w:val="0"/>
      <w:marBottom w:val="0"/>
      <w:divBdr>
        <w:top w:val="none" w:sz="0" w:space="0" w:color="auto"/>
        <w:left w:val="none" w:sz="0" w:space="0" w:color="auto"/>
        <w:bottom w:val="none" w:sz="0" w:space="0" w:color="auto"/>
        <w:right w:val="none" w:sz="0" w:space="0" w:color="auto"/>
      </w:divBdr>
    </w:div>
    <w:div w:id="1892037257">
      <w:bodyDiv w:val="1"/>
      <w:marLeft w:val="0"/>
      <w:marRight w:val="0"/>
      <w:marTop w:val="0"/>
      <w:marBottom w:val="0"/>
      <w:divBdr>
        <w:top w:val="none" w:sz="0" w:space="0" w:color="auto"/>
        <w:left w:val="none" w:sz="0" w:space="0" w:color="auto"/>
        <w:bottom w:val="none" w:sz="0" w:space="0" w:color="auto"/>
        <w:right w:val="none" w:sz="0" w:space="0" w:color="auto"/>
      </w:divBdr>
    </w:div>
    <w:div w:id="1899392429">
      <w:bodyDiv w:val="1"/>
      <w:marLeft w:val="0"/>
      <w:marRight w:val="0"/>
      <w:marTop w:val="0"/>
      <w:marBottom w:val="0"/>
      <w:divBdr>
        <w:top w:val="none" w:sz="0" w:space="0" w:color="auto"/>
        <w:left w:val="none" w:sz="0" w:space="0" w:color="auto"/>
        <w:bottom w:val="none" w:sz="0" w:space="0" w:color="auto"/>
        <w:right w:val="none" w:sz="0" w:space="0" w:color="auto"/>
      </w:divBdr>
    </w:div>
    <w:div w:id="1900434109">
      <w:bodyDiv w:val="1"/>
      <w:marLeft w:val="0"/>
      <w:marRight w:val="0"/>
      <w:marTop w:val="0"/>
      <w:marBottom w:val="0"/>
      <w:divBdr>
        <w:top w:val="none" w:sz="0" w:space="0" w:color="auto"/>
        <w:left w:val="none" w:sz="0" w:space="0" w:color="auto"/>
        <w:bottom w:val="none" w:sz="0" w:space="0" w:color="auto"/>
        <w:right w:val="none" w:sz="0" w:space="0" w:color="auto"/>
      </w:divBdr>
    </w:div>
    <w:div w:id="1917979258">
      <w:bodyDiv w:val="1"/>
      <w:marLeft w:val="0"/>
      <w:marRight w:val="0"/>
      <w:marTop w:val="0"/>
      <w:marBottom w:val="0"/>
      <w:divBdr>
        <w:top w:val="none" w:sz="0" w:space="0" w:color="auto"/>
        <w:left w:val="none" w:sz="0" w:space="0" w:color="auto"/>
        <w:bottom w:val="none" w:sz="0" w:space="0" w:color="auto"/>
        <w:right w:val="none" w:sz="0" w:space="0" w:color="auto"/>
      </w:divBdr>
    </w:div>
    <w:div w:id="1920865172">
      <w:bodyDiv w:val="1"/>
      <w:marLeft w:val="0"/>
      <w:marRight w:val="0"/>
      <w:marTop w:val="0"/>
      <w:marBottom w:val="0"/>
      <w:divBdr>
        <w:top w:val="none" w:sz="0" w:space="0" w:color="auto"/>
        <w:left w:val="none" w:sz="0" w:space="0" w:color="auto"/>
        <w:bottom w:val="none" w:sz="0" w:space="0" w:color="auto"/>
        <w:right w:val="none" w:sz="0" w:space="0" w:color="auto"/>
      </w:divBdr>
    </w:div>
    <w:div w:id="1963531000">
      <w:bodyDiv w:val="1"/>
      <w:marLeft w:val="0"/>
      <w:marRight w:val="0"/>
      <w:marTop w:val="0"/>
      <w:marBottom w:val="0"/>
      <w:divBdr>
        <w:top w:val="none" w:sz="0" w:space="0" w:color="auto"/>
        <w:left w:val="none" w:sz="0" w:space="0" w:color="auto"/>
        <w:bottom w:val="none" w:sz="0" w:space="0" w:color="auto"/>
        <w:right w:val="none" w:sz="0" w:space="0" w:color="auto"/>
      </w:divBdr>
    </w:div>
    <w:div w:id="1964579824">
      <w:bodyDiv w:val="1"/>
      <w:marLeft w:val="0"/>
      <w:marRight w:val="0"/>
      <w:marTop w:val="0"/>
      <w:marBottom w:val="0"/>
      <w:divBdr>
        <w:top w:val="none" w:sz="0" w:space="0" w:color="auto"/>
        <w:left w:val="none" w:sz="0" w:space="0" w:color="auto"/>
        <w:bottom w:val="none" w:sz="0" w:space="0" w:color="auto"/>
        <w:right w:val="none" w:sz="0" w:space="0" w:color="auto"/>
      </w:divBdr>
    </w:div>
    <w:div w:id="1967422305">
      <w:bodyDiv w:val="1"/>
      <w:marLeft w:val="0"/>
      <w:marRight w:val="0"/>
      <w:marTop w:val="0"/>
      <w:marBottom w:val="0"/>
      <w:divBdr>
        <w:top w:val="none" w:sz="0" w:space="0" w:color="auto"/>
        <w:left w:val="none" w:sz="0" w:space="0" w:color="auto"/>
        <w:bottom w:val="none" w:sz="0" w:space="0" w:color="auto"/>
        <w:right w:val="none" w:sz="0" w:space="0" w:color="auto"/>
      </w:divBdr>
    </w:div>
    <w:div w:id="1997562139">
      <w:bodyDiv w:val="1"/>
      <w:marLeft w:val="0"/>
      <w:marRight w:val="0"/>
      <w:marTop w:val="0"/>
      <w:marBottom w:val="0"/>
      <w:divBdr>
        <w:top w:val="none" w:sz="0" w:space="0" w:color="auto"/>
        <w:left w:val="none" w:sz="0" w:space="0" w:color="auto"/>
        <w:bottom w:val="none" w:sz="0" w:space="0" w:color="auto"/>
        <w:right w:val="none" w:sz="0" w:space="0" w:color="auto"/>
      </w:divBdr>
    </w:div>
    <w:div w:id="2007518114">
      <w:bodyDiv w:val="1"/>
      <w:marLeft w:val="0"/>
      <w:marRight w:val="0"/>
      <w:marTop w:val="0"/>
      <w:marBottom w:val="0"/>
      <w:divBdr>
        <w:top w:val="none" w:sz="0" w:space="0" w:color="auto"/>
        <w:left w:val="none" w:sz="0" w:space="0" w:color="auto"/>
        <w:bottom w:val="none" w:sz="0" w:space="0" w:color="auto"/>
        <w:right w:val="none" w:sz="0" w:space="0" w:color="auto"/>
      </w:divBdr>
    </w:div>
    <w:div w:id="2018461197">
      <w:bodyDiv w:val="1"/>
      <w:marLeft w:val="0"/>
      <w:marRight w:val="0"/>
      <w:marTop w:val="0"/>
      <w:marBottom w:val="0"/>
      <w:divBdr>
        <w:top w:val="none" w:sz="0" w:space="0" w:color="auto"/>
        <w:left w:val="none" w:sz="0" w:space="0" w:color="auto"/>
        <w:bottom w:val="none" w:sz="0" w:space="0" w:color="auto"/>
        <w:right w:val="none" w:sz="0" w:space="0" w:color="auto"/>
      </w:divBdr>
    </w:div>
    <w:div w:id="2027906244">
      <w:bodyDiv w:val="1"/>
      <w:marLeft w:val="0"/>
      <w:marRight w:val="0"/>
      <w:marTop w:val="0"/>
      <w:marBottom w:val="0"/>
      <w:divBdr>
        <w:top w:val="none" w:sz="0" w:space="0" w:color="auto"/>
        <w:left w:val="none" w:sz="0" w:space="0" w:color="auto"/>
        <w:bottom w:val="none" w:sz="0" w:space="0" w:color="auto"/>
        <w:right w:val="none" w:sz="0" w:space="0" w:color="auto"/>
      </w:divBdr>
    </w:div>
    <w:div w:id="2033994491">
      <w:bodyDiv w:val="1"/>
      <w:marLeft w:val="0"/>
      <w:marRight w:val="0"/>
      <w:marTop w:val="0"/>
      <w:marBottom w:val="0"/>
      <w:divBdr>
        <w:top w:val="none" w:sz="0" w:space="0" w:color="auto"/>
        <w:left w:val="none" w:sz="0" w:space="0" w:color="auto"/>
        <w:bottom w:val="none" w:sz="0" w:space="0" w:color="auto"/>
        <w:right w:val="none" w:sz="0" w:space="0" w:color="auto"/>
      </w:divBdr>
    </w:div>
    <w:div w:id="2064786550">
      <w:bodyDiv w:val="1"/>
      <w:marLeft w:val="0"/>
      <w:marRight w:val="0"/>
      <w:marTop w:val="0"/>
      <w:marBottom w:val="0"/>
      <w:divBdr>
        <w:top w:val="none" w:sz="0" w:space="0" w:color="auto"/>
        <w:left w:val="none" w:sz="0" w:space="0" w:color="auto"/>
        <w:bottom w:val="none" w:sz="0" w:space="0" w:color="auto"/>
        <w:right w:val="none" w:sz="0" w:space="0" w:color="auto"/>
      </w:divBdr>
    </w:div>
    <w:div w:id="2078286505">
      <w:bodyDiv w:val="1"/>
      <w:marLeft w:val="0"/>
      <w:marRight w:val="0"/>
      <w:marTop w:val="0"/>
      <w:marBottom w:val="0"/>
      <w:divBdr>
        <w:top w:val="none" w:sz="0" w:space="0" w:color="auto"/>
        <w:left w:val="none" w:sz="0" w:space="0" w:color="auto"/>
        <w:bottom w:val="none" w:sz="0" w:space="0" w:color="auto"/>
        <w:right w:val="none" w:sz="0" w:space="0" w:color="auto"/>
      </w:divBdr>
    </w:div>
    <w:div w:id="2079130564">
      <w:bodyDiv w:val="1"/>
      <w:marLeft w:val="0"/>
      <w:marRight w:val="0"/>
      <w:marTop w:val="0"/>
      <w:marBottom w:val="0"/>
      <w:divBdr>
        <w:top w:val="none" w:sz="0" w:space="0" w:color="auto"/>
        <w:left w:val="none" w:sz="0" w:space="0" w:color="auto"/>
        <w:bottom w:val="none" w:sz="0" w:space="0" w:color="auto"/>
        <w:right w:val="none" w:sz="0" w:space="0" w:color="auto"/>
      </w:divBdr>
    </w:div>
    <w:div w:id="2080320283">
      <w:bodyDiv w:val="1"/>
      <w:marLeft w:val="0"/>
      <w:marRight w:val="0"/>
      <w:marTop w:val="0"/>
      <w:marBottom w:val="0"/>
      <w:divBdr>
        <w:top w:val="none" w:sz="0" w:space="0" w:color="auto"/>
        <w:left w:val="none" w:sz="0" w:space="0" w:color="auto"/>
        <w:bottom w:val="none" w:sz="0" w:space="0" w:color="auto"/>
        <w:right w:val="none" w:sz="0" w:space="0" w:color="auto"/>
      </w:divBdr>
    </w:div>
    <w:div w:id="2096245538">
      <w:bodyDiv w:val="1"/>
      <w:marLeft w:val="0"/>
      <w:marRight w:val="0"/>
      <w:marTop w:val="0"/>
      <w:marBottom w:val="0"/>
      <w:divBdr>
        <w:top w:val="none" w:sz="0" w:space="0" w:color="auto"/>
        <w:left w:val="none" w:sz="0" w:space="0" w:color="auto"/>
        <w:bottom w:val="none" w:sz="0" w:space="0" w:color="auto"/>
        <w:right w:val="none" w:sz="0" w:space="0" w:color="auto"/>
      </w:divBdr>
    </w:div>
    <w:div w:id="2099250110">
      <w:bodyDiv w:val="1"/>
      <w:marLeft w:val="0"/>
      <w:marRight w:val="0"/>
      <w:marTop w:val="0"/>
      <w:marBottom w:val="0"/>
      <w:divBdr>
        <w:top w:val="none" w:sz="0" w:space="0" w:color="auto"/>
        <w:left w:val="none" w:sz="0" w:space="0" w:color="auto"/>
        <w:bottom w:val="none" w:sz="0" w:space="0" w:color="auto"/>
        <w:right w:val="none" w:sz="0" w:space="0" w:color="auto"/>
      </w:divBdr>
    </w:div>
    <w:div w:id="2109424923">
      <w:bodyDiv w:val="1"/>
      <w:marLeft w:val="0"/>
      <w:marRight w:val="0"/>
      <w:marTop w:val="0"/>
      <w:marBottom w:val="0"/>
      <w:divBdr>
        <w:top w:val="none" w:sz="0" w:space="0" w:color="auto"/>
        <w:left w:val="none" w:sz="0" w:space="0" w:color="auto"/>
        <w:bottom w:val="none" w:sz="0" w:space="0" w:color="auto"/>
        <w:right w:val="none" w:sz="0" w:space="0" w:color="auto"/>
      </w:divBdr>
    </w:div>
    <w:div w:id="2112705261">
      <w:bodyDiv w:val="1"/>
      <w:marLeft w:val="0"/>
      <w:marRight w:val="0"/>
      <w:marTop w:val="0"/>
      <w:marBottom w:val="0"/>
      <w:divBdr>
        <w:top w:val="none" w:sz="0" w:space="0" w:color="auto"/>
        <w:left w:val="none" w:sz="0" w:space="0" w:color="auto"/>
        <w:bottom w:val="none" w:sz="0" w:space="0" w:color="auto"/>
        <w:right w:val="none" w:sz="0" w:space="0" w:color="auto"/>
      </w:divBdr>
    </w:div>
    <w:div w:id="21414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38EEF-4899-4F73-A450-B41FB138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4096</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NBCTSP29</dc:title>
  <cp:lastModifiedBy>helio.corazza</cp:lastModifiedBy>
  <cp:revision>5</cp:revision>
  <cp:lastPrinted>2020-03-02T15:20:00Z</cp:lastPrinted>
  <dcterms:created xsi:type="dcterms:W3CDTF">2020-03-02T19:44:00Z</dcterms:created>
  <dcterms:modified xsi:type="dcterms:W3CDTF">2020-03-03T15:25:00Z</dcterms:modified>
</cp:coreProperties>
</file>