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8ADFB" w14:textId="00D958F7" w:rsidR="00C13324" w:rsidRPr="007B4CFD" w:rsidRDefault="00C13324" w:rsidP="00C13324">
      <w:pPr>
        <w:widowControl w:val="0"/>
        <w:adjustRightInd w:val="0"/>
        <w:spacing w:after="0" w:line="240" w:lineRule="auto"/>
        <w:jc w:val="both"/>
        <w:textAlignment w:val="baseline"/>
        <w:rPr>
          <w:rFonts w:ascii="Arial" w:eastAsia="Times New Roman" w:hAnsi="Arial" w:cs="Arial"/>
          <w:b/>
          <w:sz w:val="24"/>
          <w:szCs w:val="24"/>
        </w:rPr>
      </w:pPr>
      <w:r w:rsidRPr="00DB28D9">
        <w:rPr>
          <w:rFonts w:ascii="Arial" w:eastAsia="Times New Roman" w:hAnsi="Arial" w:cs="Arial"/>
          <w:b/>
          <w:sz w:val="24"/>
          <w:szCs w:val="24"/>
        </w:rPr>
        <w:t>NORMA BRASILEIRA DE CONTABILIDADE, NBC TSP 3</w:t>
      </w:r>
      <w:r w:rsidRPr="007B4CFD">
        <w:rPr>
          <w:rFonts w:ascii="Arial" w:eastAsia="Times New Roman" w:hAnsi="Arial" w:cs="Arial"/>
          <w:b/>
          <w:sz w:val="24"/>
          <w:szCs w:val="24"/>
        </w:rPr>
        <w:t xml:space="preserve">0, DE </w:t>
      </w:r>
      <w:proofErr w:type="spellStart"/>
      <w:r w:rsidRPr="007B4CFD">
        <w:rPr>
          <w:rFonts w:ascii="Arial" w:eastAsia="Times New Roman" w:hAnsi="Arial" w:cs="Arial"/>
          <w:b/>
          <w:sz w:val="24"/>
          <w:szCs w:val="24"/>
        </w:rPr>
        <w:t>xx</w:t>
      </w:r>
      <w:proofErr w:type="spellEnd"/>
      <w:r w:rsidRPr="007B4CFD">
        <w:rPr>
          <w:rFonts w:ascii="Arial" w:eastAsia="Times New Roman" w:hAnsi="Arial" w:cs="Arial"/>
          <w:b/>
          <w:sz w:val="24"/>
          <w:szCs w:val="24"/>
        </w:rPr>
        <w:t xml:space="preserve"> DE </w:t>
      </w:r>
      <w:proofErr w:type="spellStart"/>
      <w:r w:rsidRPr="007B4CFD">
        <w:rPr>
          <w:rFonts w:ascii="Arial" w:eastAsia="Times New Roman" w:hAnsi="Arial" w:cs="Arial"/>
          <w:b/>
          <w:sz w:val="24"/>
          <w:szCs w:val="24"/>
        </w:rPr>
        <w:t>xxxxxxxx</w:t>
      </w:r>
      <w:proofErr w:type="spellEnd"/>
      <w:r w:rsidRPr="007B4CFD">
        <w:rPr>
          <w:rFonts w:ascii="Arial" w:eastAsia="Times New Roman" w:hAnsi="Arial" w:cs="Arial"/>
          <w:b/>
          <w:sz w:val="24"/>
          <w:szCs w:val="24"/>
        </w:rPr>
        <w:t xml:space="preserve"> DE 2021</w:t>
      </w:r>
    </w:p>
    <w:p w14:paraId="0A372FA8" w14:textId="77777777" w:rsidR="00C13324" w:rsidRPr="007B4CFD" w:rsidRDefault="00C13324" w:rsidP="00C13324">
      <w:pPr>
        <w:widowControl w:val="0"/>
        <w:adjustRightInd w:val="0"/>
        <w:spacing w:after="0" w:line="240" w:lineRule="auto"/>
        <w:jc w:val="center"/>
        <w:textAlignment w:val="baseline"/>
        <w:rPr>
          <w:rFonts w:ascii="Arial" w:eastAsia="Times New Roman" w:hAnsi="Arial" w:cs="Arial"/>
          <w:b/>
          <w:sz w:val="24"/>
          <w:szCs w:val="24"/>
        </w:rPr>
      </w:pPr>
    </w:p>
    <w:p w14:paraId="022BFFB9" w14:textId="77777777" w:rsidR="00C13324" w:rsidRPr="007B4CFD" w:rsidRDefault="00C13324" w:rsidP="00C13324">
      <w:pPr>
        <w:widowControl w:val="0"/>
        <w:adjustRightInd w:val="0"/>
        <w:spacing w:after="0" w:line="240" w:lineRule="auto"/>
        <w:jc w:val="center"/>
        <w:textAlignment w:val="baseline"/>
        <w:rPr>
          <w:rFonts w:ascii="Arial" w:eastAsia="Times New Roman" w:hAnsi="Arial" w:cs="Arial"/>
          <w:b/>
          <w:sz w:val="24"/>
          <w:szCs w:val="24"/>
        </w:rPr>
      </w:pPr>
    </w:p>
    <w:p w14:paraId="6CFE1ED1" w14:textId="6F3F676A" w:rsidR="00C13324" w:rsidRPr="007B4CFD" w:rsidRDefault="00C13324" w:rsidP="00C13324">
      <w:pPr>
        <w:autoSpaceDE w:val="0"/>
        <w:autoSpaceDN w:val="0"/>
        <w:adjustRightInd w:val="0"/>
        <w:spacing w:after="0" w:line="240" w:lineRule="auto"/>
        <w:ind w:left="5245"/>
        <w:jc w:val="both"/>
        <w:rPr>
          <w:rFonts w:ascii="Arial" w:eastAsia="Times New Roman" w:hAnsi="Arial" w:cs="Arial"/>
          <w:sz w:val="24"/>
          <w:szCs w:val="24"/>
        </w:rPr>
      </w:pPr>
      <w:r w:rsidRPr="007B4CFD">
        <w:rPr>
          <w:rFonts w:ascii="Arial" w:eastAsia="Times New Roman" w:hAnsi="Arial" w:cs="Arial"/>
          <w:sz w:val="24"/>
          <w:szCs w:val="24"/>
        </w:rPr>
        <w:t xml:space="preserve">Aprova a NBC TSP </w:t>
      </w:r>
      <w:r w:rsidRPr="007B4CFD">
        <w:rPr>
          <w:rFonts w:ascii="Arial" w:eastAsia="Times New Roman" w:hAnsi="Arial" w:cs="Arial"/>
          <w:bCs/>
          <w:sz w:val="24"/>
          <w:szCs w:val="24"/>
        </w:rPr>
        <w:t>30</w:t>
      </w:r>
      <w:r w:rsidRPr="007B4CFD">
        <w:rPr>
          <w:rFonts w:ascii="Arial" w:eastAsia="Times New Roman" w:hAnsi="Arial" w:cs="Arial"/>
          <w:b/>
          <w:bCs/>
          <w:sz w:val="24"/>
          <w:szCs w:val="24"/>
        </w:rPr>
        <w:t xml:space="preserve"> – Apresentação</w:t>
      </w:r>
      <w:r w:rsidRPr="007B4CFD">
        <w:rPr>
          <w:rFonts w:ascii="Arial" w:eastAsia="Times New Roman" w:hAnsi="Arial" w:cs="Arial"/>
          <w:sz w:val="24"/>
          <w:szCs w:val="24"/>
        </w:rPr>
        <w:t xml:space="preserve">. </w:t>
      </w:r>
    </w:p>
    <w:p w14:paraId="6BF1241F" w14:textId="77777777" w:rsidR="00C13324" w:rsidRPr="007B4CFD" w:rsidRDefault="00C13324" w:rsidP="00C13324">
      <w:pPr>
        <w:widowControl w:val="0"/>
        <w:adjustRightInd w:val="0"/>
        <w:spacing w:after="0" w:line="240" w:lineRule="auto"/>
        <w:jc w:val="center"/>
        <w:textAlignment w:val="baseline"/>
        <w:rPr>
          <w:rFonts w:ascii="Arial" w:eastAsia="Times New Roman" w:hAnsi="Arial" w:cs="Arial"/>
          <w:b/>
        </w:rPr>
      </w:pPr>
    </w:p>
    <w:p w14:paraId="1D03B545" w14:textId="77777777" w:rsidR="00C13324" w:rsidRPr="007B4CFD" w:rsidRDefault="00C13324" w:rsidP="00C13324">
      <w:pPr>
        <w:widowControl w:val="0"/>
        <w:adjustRightInd w:val="0"/>
        <w:spacing w:after="0" w:line="240" w:lineRule="auto"/>
        <w:ind w:firstLine="708"/>
        <w:jc w:val="both"/>
        <w:textAlignment w:val="baseline"/>
        <w:rPr>
          <w:rFonts w:ascii="Arial" w:eastAsia="Times New Roman" w:hAnsi="Arial" w:cs="Arial"/>
        </w:rPr>
      </w:pPr>
    </w:p>
    <w:p w14:paraId="324DE338" w14:textId="7B9557A8" w:rsidR="00C13324" w:rsidRPr="00DB28D9" w:rsidRDefault="00C13324" w:rsidP="00C13324">
      <w:pPr>
        <w:widowControl w:val="0"/>
        <w:adjustRightInd w:val="0"/>
        <w:spacing w:after="0" w:line="240" w:lineRule="auto"/>
        <w:ind w:firstLine="708"/>
        <w:jc w:val="both"/>
        <w:textAlignment w:val="baseline"/>
        <w:rPr>
          <w:rFonts w:ascii="Arial" w:eastAsia="Times New Roman" w:hAnsi="Arial" w:cs="Arial"/>
          <w:sz w:val="24"/>
          <w:szCs w:val="24"/>
        </w:rPr>
      </w:pPr>
      <w:r w:rsidRPr="007B4CFD">
        <w:rPr>
          <w:rFonts w:ascii="Arial" w:eastAsia="Times New Roman" w:hAnsi="Arial" w:cs="Arial"/>
          <w:sz w:val="24"/>
          <w:szCs w:val="24"/>
        </w:rPr>
        <w:t xml:space="preserve">O </w:t>
      </w:r>
      <w:r w:rsidRPr="007B4CFD">
        <w:rPr>
          <w:rFonts w:ascii="Arial" w:eastAsia="Times New Roman" w:hAnsi="Arial" w:cs="Arial"/>
          <w:b/>
          <w:sz w:val="24"/>
          <w:szCs w:val="24"/>
        </w:rPr>
        <w:t xml:space="preserve">CONSELHO FEDERAL DE CONTABILIDADE, </w:t>
      </w:r>
      <w:r w:rsidRPr="007B4CFD">
        <w:rPr>
          <w:rFonts w:ascii="Arial" w:eastAsia="Times New Roman" w:hAnsi="Arial" w:cs="Arial"/>
          <w:sz w:val="24"/>
          <w:szCs w:val="24"/>
        </w:rPr>
        <w:t xml:space="preserve">no exercício de suas atribuições legais e regimentais e com fundamento no disposto na alínea “f” do Art. 6º do Decreto-Lei n.º 9.295/1946, alterado pela Lei n.º 12.249/2010, alinhado com o processo de convergência das Normas Brasileiras de Contabilidade e conforme acordo firmado com a </w:t>
      </w:r>
      <w:proofErr w:type="spellStart"/>
      <w:r w:rsidRPr="007B4CFD">
        <w:rPr>
          <w:rFonts w:ascii="Arial" w:eastAsia="Times New Roman" w:hAnsi="Arial" w:cs="Arial"/>
          <w:i/>
          <w:sz w:val="24"/>
          <w:szCs w:val="24"/>
        </w:rPr>
        <w:t>International</w:t>
      </w:r>
      <w:proofErr w:type="spellEnd"/>
      <w:r w:rsidRPr="007B4CFD">
        <w:rPr>
          <w:rFonts w:ascii="Arial" w:eastAsia="Times New Roman" w:hAnsi="Arial" w:cs="Arial"/>
          <w:i/>
          <w:sz w:val="24"/>
          <w:szCs w:val="24"/>
        </w:rPr>
        <w:t xml:space="preserve"> </w:t>
      </w:r>
      <w:proofErr w:type="spellStart"/>
      <w:r w:rsidRPr="007B4CFD">
        <w:rPr>
          <w:rFonts w:ascii="Arial" w:eastAsia="Times New Roman" w:hAnsi="Arial" w:cs="Arial"/>
          <w:i/>
          <w:sz w:val="24"/>
          <w:szCs w:val="24"/>
        </w:rPr>
        <w:t>Federation</w:t>
      </w:r>
      <w:proofErr w:type="spellEnd"/>
      <w:r w:rsidRPr="007B4CFD">
        <w:rPr>
          <w:rFonts w:ascii="Arial" w:eastAsia="Times New Roman" w:hAnsi="Arial" w:cs="Arial"/>
          <w:i/>
          <w:sz w:val="24"/>
          <w:szCs w:val="24"/>
        </w:rPr>
        <w:t xml:space="preserve"> </w:t>
      </w:r>
      <w:proofErr w:type="spellStart"/>
      <w:r w:rsidRPr="007B4CFD">
        <w:rPr>
          <w:rFonts w:ascii="Arial" w:eastAsia="Times New Roman" w:hAnsi="Arial" w:cs="Arial"/>
          <w:i/>
          <w:sz w:val="24"/>
          <w:szCs w:val="24"/>
        </w:rPr>
        <w:t>of</w:t>
      </w:r>
      <w:proofErr w:type="spellEnd"/>
      <w:r w:rsidRPr="007B4CFD">
        <w:rPr>
          <w:rFonts w:ascii="Arial" w:eastAsia="Times New Roman" w:hAnsi="Arial" w:cs="Arial"/>
          <w:i/>
          <w:sz w:val="24"/>
          <w:szCs w:val="24"/>
        </w:rPr>
        <w:t xml:space="preserve"> </w:t>
      </w:r>
      <w:proofErr w:type="spellStart"/>
      <w:r w:rsidRPr="007B4CFD">
        <w:rPr>
          <w:rFonts w:ascii="Arial" w:eastAsia="Times New Roman" w:hAnsi="Arial" w:cs="Arial"/>
          <w:i/>
          <w:sz w:val="24"/>
          <w:szCs w:val="24"/>
        </w:rPr>
        <w:t>Accountants</w:t>
      </w:r>
      <w:proofErr w:type="spellEnd"/>
      <w:r w:rsidRPr="007B4CFD">
        <w:rPr>
          <w:rFonts w:ascii="Arial" w:eastAsia="Times New Roman" w:hAnsi="Arial" w:cs="Arial"/>
          <w:sz w:val="24"/>
          <w:szCs w:val="24"/>
        </w:rPr>
        <w:t xml:space="preserve"> (</w:t>
      </w:r>
      <w:proofErr w:type="spellStart"/>
      <w:r w:rsidRPr="007B4CFD">
        <w:rPr>
          <w:rFonts w:ascii="Arial" w:eastAsia="Times New Roman" w:hAnsi="Arial" w:cs="Arial"/>
          <w:sz w:val="24"/>
          <w:szCs w:val="24"/>
        </w:rPr>
        <w:t>Ifac</w:t>
      </w:r>
      <w:proofErr w:type="spellEnd"/>
      <w:r w:rsidRPr="007B4CFD">
        <w:rPr>
          <w:rFonts w:ascii="Arial" w:eastAsia="Times New Roman" w:hAnsi="Arial" w:cs="Arial"/>
          <w:sz w:val="24"/>
          <w:szCs w:val="24"/>
        </w:rPr>
        <w:t xml:space="preserve">) autorizando o CFC a traduzir, reproduzir e publicar as normas internacionais em formato eletrônico, faz saber que foi aprovada em seu Plenário a seguinte Norma Brasileira de Contabilidade (NBC), em consonância com a </w:t>
      </w:r>
      <w:proofErr w:type="spellStart"/>
      <w:r w:rsidRPr="007B4CFD">
        <w:rPr>
          <w:rFonts w:ascii="Arial" w:eastAsia="Times New Roman" w:hAnsi="Arial" w:cs="Arial"/>
          <w:sz w:val="24"/>
          <w:szCs w:val="24"/>
        </w:rPr>
        <w:t>Ipsas</w:t>
      </w:r>
      <w:proofErr w:type="spellEnd"/>
      <w:r w:rsidRPr="007B4CFD">
        <w:rPr>
          <w:rFonts w:ascii="Arial" w:eastAsia="Times New Roman" w:hAnsi="Arial" w:cs="Arial"/>
          <w:sz w:val="24"/>
          <w:szCs w:val="24"/>
        </w:rPr>
        <w:t xml:space="preserve"> 29 – </w:t>
      </w:r>
      <w:r w:rsidRPr="007B4CFD">
        <w:rPr>
          <w:rFonts w:ascii="Arial" w:hAnsi="Arial" w:cs="Arial"/>
          <w:i/>
          <w:iCs/>
          <w:sz w:val="24"/>
          <w:szCs w:val="24"/>
        </w:rPr>
        <w:t xml:space="preserve">Financial </w:t>
      </w:r>
      <w:proofErr w:type="spellStart"/>
      <w:r w:rsidRPr="007B4CFD">
        <w:rPr>
          <w:rFonts w:ascii="Arial" w:hAnsi="Arial" w:cs="Arial"/>
          <w:i/>
          <w:iCs/>
          <w:sz w:val="24"/>
          <w:szCs w:val="24"/>
        </w:rPr>
        <w:t>Instruments</w:t>
      </w:r>
      <w:proofErr w:type="spellEnd"/>
      <w:r w:rsidRPr="007B4CFD">
        <w:rPr>
          <w:rFonts w:ascii="Arial" w:hAnsi="Arial" w:cs="Arial"/>
          <w:i/>
          <w:iCs/>
          <w:sz w:val="24"/>
          <w:szCs w:val="24"/>
        </w:rPr>
        <w:t xml:space="preserve">: </w:t>
      </w:r>
      <w:proofErr w:type="spellStart"/>
      <w:r w:rsidRPr="007B4CFD">
        <w:rPr>
          <w:rFonts w:ascii="Arial" w:hAnsi="Arial" w:cs="Arial"/>
          <w:i/>
          <w:iCs/>
          <w:sz w:val="24"/>
          <w:szCs w:val="24"/>
        </w:rPr>
        <w:t>Recognition</w:t>
      </w:r>
      <w:proofErr w:type="spellEnd"/>
      <w:r w:rsidRPr="007B4CFD">
        <w:rPr>
          <w:rFonts w:ascii="Arial" w:hAnsi="Arial" w:cs="Arial"/>
          <w:i/>
          <w:iCs/>
          <w:sz w:val="24"/>
          <w:szCs w:val="24"/>
        </w:rPr>
        <w:t xml:space="preserve"> </w:t>
      </w:r>
      <w:proofErr w:type="spellStart"/>
      <w:r w:rsidRPr="007B4CFD">
        <w:rPr>
          <w:rFonts w:ascii="Arial" w:hAnsi="Arial" w:cs="Arial"/>
          <w:i/>
          <w:iCs/>
          <w:sz w:val="24"/>
          <w:szCs w:val="24"/>
        </w:rPr>
        <w:t>and</w:t>
      </w:r>
      <w:proofErr w:type="spellEnd"/>
      <w:r w:rsidRPr="007B4CFD">
        <w:rPr>
          <w:rFonts w:ascii="Arial" w:hAnsi="Arial" w:cs="Arial"/>
          <w:i/>
          <w:iCs/>
          <w:sz w:val="24"/>
          <w:szCs w:val="24"/>
        </w:rPr>
        <w:t xml:space="preserve"> </w:t>
      </w:r>
      <w:proofErr w:type="spellStart"/>
      <w:r w:rsidRPr="007B4CFD">
        <w:rPr>
          <w:rFonts w:ascii="Arial" w:hAnsi="Arial" w:cs="Arial"/>
          <w:i/>
          <w:iCs/>
          <w:sz w:val="24"/>
          <w:szCs w:val="24"/>
        </w:rPr>
        <w:t>Measurement</w:t>
      </w:r>
      <w:proofErr w:type="spellEnd"/>
      <w:r w:rsidRPr="007B4CFD">
        <w:rPr>
          <w:rFonts w:ascii="Arial" w:eastAsia="Times New Roman" w:hAnsi="Arial" w:cs="Arial"/>
          <w:i/>
          <w:sz w:val="24"/>
          <w:szCs w:val="24"/>
        </w:rPr>
        <w:t>,</w:t>
      </w:r>
      <w:r w:rsidRPr="007B4CFD">
        <w:rPr>
          <w:rFonts w:ascii="Arial" w:eastAsia="Times New Roman" w:hAnsi="Arial" w:cs="Arial"/>
          <w:sz w:val="24"/>
          <w:szCs w:val="24"/>
        </w:rPr>
        <w:t xml:space="preserve"> editada pelo </w:t>
      </w:r>
      <w:proofErr w:type="spellStart"/>
      <w:r w:rsidRPr="007B4CFD">
        <w:rPr>
          <w:rFonts w:ascii="Arial" w:eastAsia="Times New Roman" w:hAnsi="Arial" w:cs="Arial"/>
          <w:i/>
          <w:sz w:val="24"/>
          <w:szCs w:val="24"/>
        </w:rPr>
        <w:t>International</w:t>
      </w:r>
      <w:proofErr w:type="spellEnd"/>
      <w:r w:rsidRPr="007B4CFD">
        <w:rPr>
          <w:rFonts w:ascii="Arial" w:eastAsia="Times New Roman" w:hAnsi="Arial" w:cs="Arial"/>
          <w:i/>
          <w:sz w:val="24"/>
          <w:szCs w:val="24"/>
        </w:rPr>
        <w:t xml:space="preserve"> </w:t>
      </w:r>
      <w:proofErr w:type="spellStart"/>
      <w:r w:rsidRPr="007B4CFD">
        <w:rPr>
          <w:rFonts w:ascii="Arial" w:eastAsia="Times New Roman" w:hAnsi="Arial" w:cs="Arial"/>
          <w:i/>
          <w:sz w:val="24"/>
          <w:szCs w:val="24"/>
        </w:rPr>
        <w:t>Public</w:t>
      </w:r>
      <w:proofErr w:type="spellEnd"/>
      <w:r w:rsidRPr="007B4CFD">
        <w:rPr>
          <w:rFonts w:ascii="Arial" w:eastAsia="Times New Roman" w:hAnsi="Arial" w:cs="Arial"/>
          <w:i/>
          <w:sz w:val="24"/>
          <w:szCs w:val="24"/>
        </w:rPr>
        <w:t xml:space="preserve"> Sector </w:t>
      </w:r>
      <w:proofErr w:type="spellStart"/>
      <w:r w:rsidRPr="007B4CFD">
        <w:rPr>
          <w:rFonts w:ascii="Arial" w:eastAsia="Times New Roman" w:hAnsi="Arial" w:cs="Arial"/>
          <w:i/>
          <w:sz w:val="24"/>
          <w:szCs w:val="24"/>
        </w:rPr>
        <w:t>Accounting</w:t>
      </w:r>
      <w:proofErr w:type="spellEnd"/>
      <w:r w:rsidRPr="007B4CFD">
        <w:rPr>
          <w:rFonts w:ascii="Arial" w:eastAsia="Times New Roman" w:hAnsi="Arial" w:cs="Arial"/>
          <w:i/>
          <w:sz w:val="24"/>
          <w:szCs w:val="24"/>
        </w:rPr>
        <w:t xml:space="preserve"> Standards </w:t>
      </w:r>
      <w:proofErr w:type="spellStart"/>
      <w:r w:rsidRPr="007B4CFD">
        <w:rPr>
          <w:rFonts w:ascii="Arial" w:eastAsia="Times New Roman" w:hAnsi="Arial" w:cs="Arial"/>
          <w:i/>
          <w:sz w:val="24"/>
          <w:szCs w:val="24"/>
        </w:rPr>
        <w:t>Board</w:t>
      </w:r>
      <w:proofErr w:type="spellEnd"/>
      <w:r w:rsidRPr="007B4CFD">
        <w:rPr>
          <w:rFonts w:ascii="Arial" w:eastAsia="Times New Roman" w:hAnsi="Arial" w:cs="Arial"/>
          <w:i/>
          <w:sz w:val="24"/>
          <w:szCs w:val="24"/>
        </w:rPr>
        <w:t xml:space="preserve"> da </w:t>
      </w:r>
      <w:proofErr w:type="spellStart"/>
      <w:r w:rsidRPr="007B4CFD">
        <w:rPr>
          <w:rFonts w:ascii="Arial" w:eastAsia="Times New Roman" w:hAnsi="Arial" w:cs="Arial"/>
          <w:i/>
          <w:sz w:val="24"/>
          <w:szCs w:val="24"/>
        </w:rPr>
        <w:t>International</w:t>
      </w:r>
      <w:proofErr w:type="spellEnd"/>
      <w:r w:rsidRPr="007B4CFD">
        <w:rPr>
          <w:rFonts w:ascii="Arial" w:eastAsia="Times New Roman" w:hAnsi="Arial" w:cs="Arial"/>
          <w:i/>
          <w:sz w:val="24"/>
          <w:szCs w:val="24"/>
        </w:rPr>
        <w:t xml:space="preserve"> </w:t>
      </w:r>
      <w:proofErr w:type="spellStart"/>
      <w:r w:rsidRPr="007B4CFD">
        <w:rPr>
          <w:rFonts w:ascii="Arial" w:eastAsia="Times New Roman" w:hAnsi="Arial" w:cs="Arial"/>
          <w:i/>
          <w:sz w:val="24"/>
          <w:szCs w:val="24"/>
        </w:rPr>
        <w:t>Federation</w:t>
      </w:r>
      <w:proofErr w:type="spellEnd"/>
      <w:r w:rsidRPr="007B4CFD">
        <w:rPr>
          <w:rFonts w:ascii="Arial" w:eastAsia="Times New Roman" w:hAnsi="Arial" w:cs="Arial"/>
          <w:i/>
          <w:sz w:val="24"/>
          <w:szCs w:val="24"/>
        </w:rPr>
        <w:t xml:space="preserve"> </w:t>
      </w:r>
      <w:proofErr w:type="spellStart"/>
      <w:r w:rsidRPr="007B4CFD">
        <w:rPr>
          <w:rFonts w:ascii="Arial" w:eastAsia="Times New Roman" w:hAnsi="Arial" w:cs="Arial"/>
          <w:i/>
          <w:sz w:val="24"/>
          <w:szCs w:val="24"/>
        </w:rPr>
        <w:t>of</w:t>
      </w:r>
      <w:proofErr w:type="spellEnd"/>
      <w:r w:rsidRPr="007B4CFD">
        <w:rPr>
          <w:rFonts w:ascii="Arial" w:eastAsia="Times New Roman" w:hAnsi="Arial" w:cs="Arial"/>
          <w:i/>
          <w:sz w:val="24"/>
          <w:szCs w:val="24"/>
        </w:rPr>
        <w:t xml:space="preserve"> </w:t>
      </w:r>
      <w:proofErr w:type="spellStart"/>
      <w:r w:rsidRPr="007B4CFD">
        <w:rPr>
          <w:rFonts w:ascii="Arial" w:eastAsia="Times New Roman" w:hAnsi="Arial" w:cs="Arial"/>
          <w:i/>
          <w:sz w:val="24"/>
          <w:szCs w:val="24"/>
        </w:rPr>
        <w:t>Accountants</w:t>
      </w:r>
      <w:proofErr w:type="spellEnd"/>
      <w:r w:rsidRPr="007B4CFD">
        <w:rPr>
          <w:rFonts w:ascii="Arial" w:eastAsia="Times New Roman" w:hAnsi="Arial" w:cs="Arial"/>
          <w:sz w:val="24"/>
          <w:szCs w:val="24"/>
        </w:rPr>
        <w:t xml:space="preserve"> (</w:t>
      </w:r>
      <w:proofErr w:type="spellStart"/>
      <w:r w:rsidR="000C684F" w:rsidRPr="00DA4C02">
        <w:rPr>
          <w:rFonts w:ascii="Arial" w:eastAsia="Times New Roman" w:hAnsi="Arial" w:cs="Arial"/>
          <w:sz w:val="24"/>
          <w:szCs w:val="24"/>
        </w:rPr>
        <w:t>Ipasb</w:t>
      </w:r>
      <w:proofErr w:type="spellEnd"/>
      <w:r w:rsidRPr="00DB28D9">
        <w:rPr>
          <w:rFonts w:ascii="Arial" w:eastAsia="Times New Roman" w:hAnsi="Arial" w:cs="Arial"/>
          <w:sz w:val="24"/>
          <w:szCs w:val="24"/>
        </w:rPr>
        <w:t>/</w:t>
      </w:r>
      <w:proofErr w:type="spellStart"/>
      <w:r w:rsidRPr="00DB28D9">
        <w:rPr>
          <w:rFonts w:ascii="Arial" w:eastAsia="Times New Roman" w:hAnsi="Arial" w:cs="Arial"/>
          <w:sz w:val="24"/>
          <w:szCs w:val="24"/>
        </w:rPr>
        <w:t>Ifac</w:t>
      </w:r>
      <w:proofErr w:type="spellEnd"/>
      <w:r w:rsidRPr="00DB28D9">
        <w:rPr>
          <w:rFonts w:ascii="Arial" w:eastAsia="Times New Roman" w:hAnsi="Arial" w:cs="Arial"/>
          <w:sz w:val="24"/>
          <w:szCs w:val="24"/>
        </w:rPr>
        <w:t>):</w:t>
      </w:r>
    </w:p>
    <w:p w14:paraId="3DC8EAA1" w14:textId="77777777" w:rsidR="00C13324" w:rsidRPr="00DB28D9" w:rsidRDefault="00C13324" w:rsidP="00C13324">
      <w:pPr>
        <w:autoSpaceDE w:val="0"/>
        <w:autoSpaceDN w:val="0"/>
        <w:adjustRightInd w:val="0"/>
        <w:spacing w:after="0"/>
        <w:jc w:val="center"/>
        <w:rPr>
          <w:rFonts w:ascii="Arial" w:hAnsi="Arial" w:cs="Arial"/>
          <w:b/>
          <w:bCs/>
          <w:sz w:val="24"/>
          <w:szCs w:val="24"/>
        </w:rPr>
      </w:pPr>
    </w:p>
    <w:p w14:paraId="168FB559" w14:textId="5FDDFAD4" w:rsidR="00152020" w:rsidRPr="00DB28D9" w:rsidRDefault="00152020" w:rsidP="00C13324">
      <w:pPr>
        <w:autoSpaceDE w:val="0"/>
        <w:autoSpaceDN w:val="0"/>
        <w:adjustRightInd w:val="0"/>
        <w:spacing w:after="0"/>
        <w:jc w:val="center"/>
        <w:rPr>
          <w:rFonts w:ascii="Arial" w:hAnsi="Arial" w:cs="Arial"/>
          <w:b/>
          <w:sz w:val="24"/>
          <w:szCs w:val="24"/>
        </w:rPr>
      </w:pPr>
      <w:r w:rsidRPr="00DB28D9">
        <w:rPr>
          <w:rFonts w:ascii="Arial" w:hAnsi="Arial" w:cs="Arial"/>
          <w:b/>
          <w:bCs/>
          <w:sz w:val="24"/>
          <w:szCs w:val="24"/>
        </w:rPr>
        <w:t xml:space="preserve">NBC TSP 30 – </w:t>
      </w:r>
      <w:r w:rsidRPr="00DB28D9">
        <w:rPr>
          <w:rFonts w:ascii="Arial" w:hAnsi="Arial" w:cs="Arial"/>
          <w:b/>
          <w:sz w:val="24"/>
          <w:szCs w:val="24"/>
        </w:rPr>
        <w:t>Instrumentos Financeiros: Apresentação</w:t>
      </w:r>
    </w:p>
    <w:p w14:paraId="61EC76C6" w14:textId="42527ADD" w:rsidR="00C13324" w:rsidRPr="00DB28D9" w:rsidRDefault="00C13324" w:rsidP="00C13324">
      <w:pPr>
        <w:autoSpaceDE w:val="0"/>
        <w:autoSpaceDN w:val="0"/>
        <w:adjustRightInd w:val="0"/>
        <w:spacing w:after="0"/>
        <w:jc w:val="center"/>
        <w:rPr>
          <w:rFonts w:ascii="Arial" w:hAnsi="Arial" w:cs="Arial"/>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1275"/>
      </w:tblGrid>
      <w:tr w:rsidR="00C13324" w:rsidRPr="00DB28D9" w14:paraId="65E5A7A7" w14:textId="77777777" w:rsidTr="00E73285">
        <w:tc>
          <w:tcPr>
            <w:tcW w:w="8364" w:type="dxa"/>
            <w:tcBorders>
              <w:top w:val="single" w:sz="4" w:space="0" w:color="auto"/>
              <w:left w:val="single" w:sz="4" w:space="0" w:color="auto"/>
              <w:bottom w:val="single" w:sz="4" w:space="0" w:color="auto"/>
              <w:right w:val="single" w:sz="4" w:space="0" w:color="auto"/>
            </w:tcBorders>
            <w:hideMark/>
          </w:tcPr>
          <w:p w14:paraId="487A2C8B" w14:textId="77777777" w:rsidR="00C13324" w:rsidRPr="00DB28D9" w:rsidRDefault="00C13324" w:rsidP="00E73285">
            <w:pPr>
              <w:spacing w:after="0" w:line="240" w:lineRule="auto"/>
              <w:rPr>
                <w:rFonts w:ascii="Arial" w:eastAsia="Times New Roman" w:hAnsi="Arial" w:cs="Arial"/>
                <w:bCs/>
                <w:kern w:val="36"/>
                <w:sz w:val="24"/>
                <w:szCs w:val="24"/>
              </w:rPr>
            </w:pPr>
            <w:r w:rsidRPr="00DB28D9">
              <w:rPr>
                <w:rFonts w:ascii="Arial" w:eastAsia="Times New Roman" w:hAnsi="Arial" w:cs="Arial"/>
                <w:bCs/>
                <w:kern w:val="36"/>
                <w:sz w:val="24"/>
                <w:szCs w:val="24"/>
              </w:rPr>
              <w:t>Sumário</w:t>
            </w:r>
          </w:p>
        </w:tc>
        <w:tc>
          <w:tcPr>
            <w:tcW w:w="1275" w:type="dxa"/>
            <w:tcBorders>
              <w:top w:val="single" w:sz="4" w:space="0" w:color="auto"/>
              <w:left w:val="single" w:sz="4" w:space="0" w:color="auto"/>
              <w:bottom w:val="single" w:sz="4" w:space="0" w:color="auto"/>
              <w:right w:val="single" w:sz="4" w:space="0" w:color="auto"/>
            </w:tcBorders>
            <w:hideMark/>
          </w:tcPr>
          <w:p w14:paraId="120BB32E" w14:textId="77777777" w:rsidR="00C13324" w:rsidRPr="00DB28D9" w:rsidRDefault="00C13324" w:rsidP="00E73285">
            <w:pPr>
              <w:spacing w:after="0" w:line="240" w:lineRule="auto"/>
              <w:jc w:val="center"/>
              <w:rPr>
                <w:rFonts w:ascii="Arial" w:eastAsia="Times New Roman" w:hAnsi="Arial" w:cs="Arial"/>
                <w:bCs/>
                <w:kern w:val="36"/>
              </w:rPr>
            </w:pPr>
            <w:r w:rsidRPr="00DB28D9">
              <w:rPr>
                <w:rFonts w:ascii="Arial" w:eastAsia="Times New Roman" w:hAnsi="Arial" w:cs="Arial"/>
                <w:bCs/>
                <w:kern w:val="36"/>
              </w:rPr>
              <w:t>Item</w:t>
            </w:r>
          </w:p>
        </w:tc>
      </w:tr>
      <w:tr w:rsidR="00C13324" w:rsidRPr="00DB28D9" w14:paraId="21463E74" w14:textId="77777777" w:rsidTr="00E73285">
        <w:tc>
          <w:tcPr>
            <w:tcW w:w="8364" w:type="dxa"/>
            <w:tcBorders>
              <w:top w:val="single" w:sz="4" w:space="0" w:color="auto"/>
              <w:left w:val="single" w:sz="4" w:space="0" w:color="auto"/>
              <w:bottom w:val="single" w:sz="4" w:space="0" w:color="auto"/>
              <w:right w:val="single" w:sz="4" w:space="0" w:color="auto"/>
            </w:tcBorders>
            <w:hideMark/>
          </w:tcPr>
          <w:p w14:paraId="365D977F" w14:textId="77777777" w:rsidR="00C13324" w:rsidRPr="006864BA" w:rsidRDefault="00C13324" w:rsidP="00E73285">
            <w:pPr>
              <w:spacing w:after="0" w:line="240" w:lineRule="auto"/>
              <w:rPr>
                <w:rFonts w:ascii="Arial" w:eastAsia="Times New Roman" w:hAnsi="Arial" w:cs="Arial"/>
                <w:bCs/>
                <w:kern w:val="36"/>
                <w:sz w:val="24"/>
                <w:szCs w:val="24"/>
              </w:rPr>
            </w:pPr>
            <w:r w:rsidRPr="00DB28D9">
              <w:rPr>
                <w:rFonts w:ascii="Arial" w:eastAsia="Times New Roman" w:hAnsi="Arial" w:cs="Arial"/>
                <w:bCs/>
                <w:kern w:val="36"/>
                <w:sz w:val="24"/>
                <w:szCs w:val="24"/>
              </w:rPr>
              <w:t>Objetivo</w:t>
            </w:r>
          </w:p>
        </w:tc>
        <w:tc>
          <w:tcPr>
            <w:tcW w:w="1275" w:type="dxa"/>
            <w:tcBorders>
              <w:top w:val="single" w:sz="4" w:space="0" w:color="auto"/>
              <w:left w:val="single" w:sz="4" w:space="0" w:color="auto"/>
              <w:bottom w:val="single" w:sz="4" w:space="0" w:color="auto"/>
              <w:right w:val="single" w:sz="4" w:space="0" w:color="auto"/>
            </w:tcBorders>
            <w:hideMark/>
          </w:tcPr>
          <w:p w14:paraId="3F89B735" w14:textId="64C039BF" w:rsidR="00C13324" w:rsidRPr="00DB28D9" w:rsidRDefault="00C13324" w:rsidP="00E73285">
            <w:pPr>
              <w:spacing w:after="0" w:line="240" w:lineRule="auto"/>
              <w:jc w:val="center"/>
              <w:rPr>
                <w:rFonts w:ascii="Arial" w:eastAsia="Times New Roman" w:hAnsi="Arial" w:cs="Arial"/>
                <w:bCs/>
                <w:kern w:val="36"/>
              </w:rPr>
            </w:pPr>
            <w:r w:rsidRPr="00DA4C02">
              <w:rPr>
                <w:rFonts w:ascii="Arial" w:eastAsia="Times New Roman" w:hAnsi="Arial" w:cs="Arial"/>
                <w:bCs/>
                <w:kern w:val="36"/>
              </w:rPr>
              <w:t>1 - 2</w:t>
            </w:r>
          </w:p>
        </w:tc>
      </w:tr>
      <w:tr w:rsidR="00C13324" w:rsidRPr="00DB28D9" w14:paraId="78AF6562" w14:textId="77777777" w:rsidTr="00E73285">
        <w:tc>
          <w:tcPr>
            <w:tcW w:w="8364" w:type="dxa"/>
            <w:tcBorders>
              <w:top w:val="single" w:sz="4" w:space="0" w:color="auto"/>
              <w:left w:val="single" w:sz="4" w:space="0" w:color="auto"/>
              <w:bottom w:val="single" w:sz="4" w:space="0" w:color="auto"/>
              <w:right w:val="single" w:sz="4" w:space="0" w:color="auto"/>
            </w:tcBorders>
            <w:hideMark/>
          </w:tcPr>
          <w:p w14:paraId="1ED6A596" w14:textId="77777777" w:rsidR="00C13324" w:rsidRPr="006864BA" w:rsidRDefault="00C13324" w:rsidP="00E73285">
            <w:pPr>
              <w:spacing w:after="0" w:line="240" w:lineRule="auto"/>
              <w:rPr>
                <w:rFonts w:ascii="Arial" w:eastAsia="Times New Roman" w:hAnsi="Arial" w:cs="Arial"/>
                <w:bCs/>
                <w:kern w:val="36"/>
                <w:sz w:val="24"/>
                <w:szCs w:val="24"/>
              </w:rPr>
            </w:pPr>
            <w:r w:rsidRPr="00DB28D9">
              <w:rPr>
                <w:rFonts w:ascii="Arial" w:eastAsia="Times New Roman" w:hAnsi="Arial" w:cs="Arial"/>
                <w:bCs/>
                <w:kern w:val="36"/>
                <w:sz w:val="24"/>
                <w:szCs w:val="24"/>
              </w:rPr>
              <w:t>Alcance</w:t>
            </w:r>
          </w:p>
        </w:tc>
        <w:tc>
          <w:tcPr>
            <w:tcW w:w="1275" w:type="dxa"/>
            <w:tcBorders>
              <w:top w:val="single" w:sz="4" w:space="0" w:color="auto"/>
              <w:left w:val="single" w:sz="4" w:space="0" w:color="auto"/>
              <w:bottom w:val="single" w:sz="4" w:space="0" w:color="auto"/>
              <w:right w:val="single" w:sz="4" w:space="0" w:color="auto"/>
            </w:tcBorders>
            <w:hideMark/>
          </w:tcPr>
          <w:p w14:paraId="2B9B1CDF" w14:textId="4A9D590B" w:rsidR="00C13324" w:rsidRPr="00DB28D9" w:rsidRDefault="00C13324" w:rsidP="00E73285">
            <w:pPr>
              <w:spacing w:after="0" w:line="240" w:lineRule="auto"/>
              <w:jc w:val="center"/>
              <w:rPr>
                <w:rFonts w:ascii="Arial" w:eastAsia="Times New Roman" w:hAnsi="Arial" w:cs="Arial"/>
                <w:bCs/>
                <w:kern w:val="36"/>
              </w:rPr>
            </w:pPr>
            <w:r w:rsidRPr="00DA4C02">
              <w:rPr>
                <w:rFonts w:ascii="Arial" w:eastAsia="Times New Roman" w:hAnsi="Arial" w:cs="Arial"/>
                <w:bCs/>
                <w:kern w:val="36"/>
              </w:rPr>
              <w:t xml:space="preserve">3 </w:t>
            </w:r>
            <w:r w:rsidRPr="00DB28D9">
              <w:rPr>
                <w:rFonts w:ascii="Arial" w:eastAsia="Times New Roman" w:hAnsi="Arial" w:cs="Arial"/>
                <w:bCs/>
                <w:kern w:val="36"/>
              </w:rPr>
              <w:t>- 8</w:t>
            </w:r>
          </w:p>
        </w:tc>
      </w:tr>
      <w:tr w:rsidR="00C13324" w:rsidRPr="00DB28D9" w14:paraId="04D9B0C9" w14:textId="77777777" w:rsidTr="00E73285">
        <w:tc>
          <w:tcPr>
            <w:tcW w:w="8364" w:type="dxa"/>
            <w:tcBorders>
              <w:top w:val="single" w:sz="4" w:space="0" w:color="auto"/>
              <w:left w:val="single" w:sz="4" w:space="0" w:color="auto"/>
              <w:bottom w:val="single" w:sz="4" w:space="0" w:color="auto"/>
              <w:right w:val="single" w:sz="4" w:space="0" w:color="auto"/>
            </w:tcBorders>
            <w:hideMark/>
          </w:tcPr>
          <w:p w14:paraId="7BD160A7" w14:textId="77777777" w:rsidR="00C13324" w:rsidRPr="006864BA" w:rsidRDefault="00C13324" w:rsidP="00E73285">
            <w:pPr>
              <w:spacing w:after="0" w:line="240" w:lineRule="auto"/>
              <w:rPr>
                <w:rFonts w:ascii="Arial" w:eastAsia="Times New Roman" w:hAnsi="Arial" w:cs="Arial"/>
                <w:bCs/>
                <w:kern w:val="36"/>
                <w:sz w:val="24"/>
                <w:szCs w:val="24"/>
              </w:rPr>
            </w:pPr>
            <w:r w:rsidRPr="00DB28D9">
              <w:rPr>
                <w:rFonts w:ascii="Arial" w:eastAsia="Times New Roman" w:hAnsi="Arial" w:cs="Arial"/>
                <w:bCs/>
                <w:kern w:val="36"/>
                <w:sz w:val="24"/>
                <w:szCs w:val="24"/>
              </w:rPr>
              <w:t>Definições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A75D0D8" w14:textId="5AF8B9BD" w:rsidR="00C13324" w:rsidRPr="00DB28D9" w:rsidRDefault="00C13324" w:rsidP="00E73285">
            <w:pPr>
              <w:spacing w:after="0" w:line="240" w:lineRule="auto"/>
              <w:jc w:val="center"/>
              <w:rPr>
                <w:rFonts w:ascii="Arial" w:eastAsia="Times New Roman" w:hAnsi="Arial" w:cs="Arial"/>
                <w:bCs/>
                <w:kern w:val="36"/>
              </w:rPr>
            </w:pPr>
            <w:r w:rsidRPr="00DA4C02">
              <w:rPr>
                <w:rFonts w:ascii="Arial" w:eastAsia="Times New Roman" w:hAnsi="Arial" w:cs="Arial"/>
                <w:bCs/>
                <w:kern w:val="36"/>
              </w:rPr>
              <w:t>9 - 12</w:t>
            </w:r>
          </w:p>
        </w:tc>
      </w:tr>
      <w:tr w:rsidR="00C13324" w:rsidRPr="00DB28D9" w14:paraId="546E7D79" w14:textId="77777777" w:rsidTr="00E73285">
        <w:tc>
          <w:tcPr>
            <w:tcW w:w="8364" w:type="dxa"/>
            <w:tcBorders>
              <w:top w:val="single" w:sz="4" w:space="0" w:color="auto"/>
              <w:left w:val="single" w:sz="4" w:space="0" w:color="auto"/>
              <w:bottom w:val="single" w:sz="4" w:space="0" w:color="auto"/>
              <w:right w:val="single" w:sz="4" w:space="0" w:color="auto"/>
            </w:tcBorders>
            <w:hideMark/>
          </w:tcPr>
          <w:p w14:paraId="2E5FB8FB" w14:textId="6458FC85" w:rsidR="00C13324" w:rsidRPr="006864BA" w:rsidRDefault="00C13324" w:rsidP="00E73285">
            <w:pPr>
              <w:spacing w:after="0" w:line="240" w:lineRule="auto"/>
              <w:ind w:left="567" w:hanging="567"/>
              <w:contextualSpacing/>
              <w:jc w:val="both"/>
              <w:rPr>
                <w:rFonts w:ascii="Arial" w:eastAsia="Times New Roman" w:hAnsi="Arial" w:cs="Arial"/>
                <w:bCs/>
                <w:kern w:val="36"/>
                <w:sz w:val="24"/>
                <w:szCs w:val="24"/>
              </w:rPr>
            </w:pPr>
            <w:r w:rsidRPr="00DB28D9">
              <w:rPr>
                <w:rFonts w:ascii="Arial" w:hAnsi="Arial" w:cs="Arial"/>
                <w:bCs/>
                <w:iCs/>
                <w:sz w:val="24"/>
                <w:szCs w:val="24"/>
              </w:rPr>
              <w:t>Apresentação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948443C" w14:textId="77777777" w:rsidR="00C13324" w:rsidRPr="00DA4C02" w:rsidRDefault="00C13324" w:rsidP="00E73285">
            <w:pPr>
              <w:spacing w:after="0" w:line="240" w:lineRule="auto"/>
              <w:jc w:val="center"/>
              <w:rPr>
                <w:rFonts w:ascii="Arial" w:eastAsia="Times New Roman" w:hAnsi="Arial" w:cs="Arial"/>
                <w:bCs/>
                <w:kern w:val="36"/>
              </w:rPr>
            </w:pPr>
          </w:p>
        </w:tc>
      </w:tr>
      <w:tr w:rsidR="00C13324" w:rsidRPr="00DB28D9" w14:paraId="256F1776" w14:textId="77777777" w:rsidTr="00E73285">
        <w:tc>
          <w:tcPr>
            <w:tcW w:w="8364" w:type="dxa"/>
            <w:tcBorders>
              <w:top w:val="single" w:sz="4" w:space="0" w:color="auto"/>
              <w:left w:val="single" w:sz="4" w:space="0" w:color="auto"/>
              <w:bottom w:val="single" w:sz="4" w:space="0" w:color="auto"/>
              <w:right w:val="single" w:sz="4" w:space="0" w:color="auto"/>
            </w:tcBorders>
            <w:hideMark/>
          </w:tcPr>
          <w:p w14:paraId="2DD07655" w14:textId="2B50B14F" w:rsidR="00C13324" w:rsidRPr="00DB28D9" w:rsidRDefault="00C13324" w:rsidP="00E73285">
            <w:pPr>
              <w:spacing w:after="0" w:line="240" w:lineRule="auto"/>
              <w:ind w:left="318"/>
              <w:rPr>
                <w:rFonts w:ascii="Arial" w:eastAsia="Times New Roman" w:hAnsi="Arial" w:cs="Arial"/>
                <w:bCs/>
                <w:i/>
                <w:iCs/>
                <w:kern w:val="36"/>
                <w:sz w:val="24"/>
                <w:szCs w:val="24"/>
              </w:rPr>
            </w:pPr>
            <w:r w:rsidRPr="00DB28D9">
              <w:rPr>
                <w:rFonts w:ascii="Arial" w:hAnsi="Arial" w:cs="Arial"/>
                <w:i/>
                <w:iCs/>
                <w:sz w:val="24"/>
                <w:szCs w:val="24"/>
              </w:rPr>
              <w:t xml:space="preserve">Passivo e </w:t>
            </w:r>
            <w:r w:rsidR="000C684F" w:rsidRPr="00DB28D9">
              <w:rPr>
                <w:rFonts w:ascii="Arial" w:hAnsi="Arial" w:cs="Arial"/>
                <w:i/>
                <w:iCs/>
                <w:sz w:val="24"/>
                <w:szCs w:val="24"/>
              </w:rPr>
              <w:t>p</w:t>
            </w:r>
            <w:r w:rsidRPr="00DB28D9">
              <w:rPr>
                <w:rFonts w:ascii="Arial" w:hAnsi="Arial" w:cs="Arial"/>
                <w:i/>
                <w:iCs/>
                <w:sz w:val="24"/>
                <w:szCs w:val="24"/>
              </w:rPr>
              <w:t>atrimônio líquido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1585985" w14:textId="008E2F86" w:rsidR="00C13324" w:rsidRPr="00DB28D9" w:rsidRDefault="00C13324" w:rsidP="00E73285">
            <w:pPr>
              <w:spacing w:after="0" w:line="240" w:lineRule="auto"/>
              <w:jc w:val="center"/>
              <w:rPr>
                <w:rFonts w:ascii="Arial" w:eastAsia="Times New Roman" w:hAnsi="Arial" w:cs="Arial"/>
                <w:bCs/>
                <w:kern w:val="36"/>
              </w:rPr>
            </w:pPr>
            <w:r w:rsidRPr="00DB28D9">
              <w:rPr>
                <w:rFonts w:ascii="Arial" w:eastAsia="Times New Roman" w:hAnsi="Arial" w:cs="Arial"/>
                <w:bCs/>
                <w:kern w:val="36"/>
              </w:rPr>
              <w:t xml:space="preserve">13 - 14 </w:t>
            </w:r>
          </w:p>
        </w:tc>
      </w:tr>
      <w:tr w:rsidR="00C13324" w:rsidRPr="00DB28D9" w14:paraId="4D703DF8" w14:textId="77777777" w:rsidTr="00E73285">
        <w:tc>
          <w:tcPr>
            <w:tcW w:w="8364" w:type="dxa"/>
            <w:tcBorders>
              <w:top w:val="single" w:sz="4" w:space="0" w:color="auto"/>
              <w:left w:val="single" w:sz="4" w:space="0" w:color="auto"/>
              <w:bottom w:val="single" w:sz="4" w:space="0" w:color="auto"/>
              <w:right w:val="single" w:sz="4" w:space="0" w:color="auto"/>
            </w:tcBorders>
            <w:hideMark/>
          </w:tcPr>
          <w:p w14:paraId="31E3E308" w14:textId="5995DEC1" w:rsidR="00C13324" w:rsidRPr="006864BA" w:rsidRDefault="00C13324" w:rsidP="00E73285">
            <w:pPr>
              <w:spacing w:after="0" w:line="240" w:lineRule="auto"/>
              <w:ind w:left="318"/>
              <w:rPr>
                <w:rFonts w:ascii="Arial" w:eastAsia="Times New Roman" w:hAnsi="Arial" w:cs="Arial"/>
                <w:bCs/>
                <w:i/>
                <w:iCs/>
                <w:kern w:val="36"/>
                <w:sz w:val="24"/>
                <w:szCs w:val="24"/>
              </w:rPr>
            </w:pPr>
            <w:r w:rsidRPr="00DB28D9">
              <w:rPr>
                <w:rFonts w:ascii="Arial" w:hAnsi="Arial" w:cs="Arial"/>
                <w:i/>
                <w:iCs/>
                <w:sz w:val="24"/>
                <w:szCs w:val="24"/>
              </w:rPr>
              <w:t>Instrumentos com opção de venda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E898998" w14:textId="234E0EFA" w:rsidR="00C13324" w:rsidRPr="00DB28D9" w:rsidRDefault="00C13324" w:rsidP="00E73285">
            <w:pPr>
              <w:spacing w:after="0" w:line="240" w:lineRule="auto"/>
              <w:jc w:val="center"/>
              <w:rPr>
                <w:rFonts w:ascii="Arial" w:eastAsia="Times New Roman" w:hAnsi="Arial" w:cs="Arial"/>
                <w:bCs/>
                <w:kern w:val="36"/>
              </w:rPr>
            </w:pPr>
            <w:r w:rsidRPr="00DA4C02">
              <w:rPr>
                <w:rFonts w:ascii="Arial" w:eastAsia="Times New Roman" w:hAnsi="Arial" w:cs="Arial"/>
                <w:bCs/>
                <w:kern w:val="36"/>
              </w:rPr>
              <w:t>15 - 20</w:t>
            </w:r>
          </w:p>
        </w:tc>
      </w:tr>
      <w:tr w:rsidR="00C13324" w:rsidRPr="00DB28D9" w14:paraId="16FC556A" w14:textId="77777777" w:rsidTr="00E73285">
        <w:tc>
          <w:tcPr>
            <w:tcW w:w="8364" w:type="dxa"/>
            <w:tcBorders>
              <w:top w:val="single" w:sz="4" w:space="0" w:color="auto"/>
              <w:left w:val="single" w:sz="4" w:space="0" w:color="auto"/>
              <w:bottom w:val="single" w:sz="4" w:space="0" w:color="auto"/>
              <w:right w:val="single" w:sz="4" w:space="0" w:color="auto"/>
            </w:tcBorders>
            <w:hideMark/>
          </w:tcPr>
          <w:p w14:paraId="6606444F" w14:textId="475C6736" w:rsidR="00C13324" w:rsidRPr="00DA4C02" w:rsidRDefault="00C13324" w:rsidP="00514B51">
            <w:pPr>
              <w:autoSpaceDE w:val="0"/>
              <w:autoSpaceDN w:val="0"/>
              <w:adjustRightInd w:val="0"/>
              <w:spacing w:after="0" w:line="240" w:lineRule="auto"/>
              <w:ind w:left="319" w:hanging="1"/>
              <w:jc w:val="both"/>
              <w:rPr>
                <w:rFonts w:ascii="Arial" w:eastAsia="Times New Roman" w:hAnsi="Arial" w:cs="Arial"/>
                <w:bCs/>
                <w:kern w:val="36"/>
                <w:sz w:val="24"/>
                <w:szCs w:val="24"/>
              </w:rPr>
            </w:pPr>
            <w:r w:rsidRPr="00DB28D9">
              <w:rPr>
                <w:rFonts w:ascii="Arial" w:hAnsi="Arial" w:cs="Arial"/>
                <w:i/>
                <w:sz w:val="24"/>
                <w:szCs w:val="24"/>
              </w:rPr>
              <w:t xml:space="preserve">Ausência de obrigação contratual de </w:t>
            </w:r>
            <w:r w:rsidRPr="006864BA">
              <w:rPr>
                <w:rFonts w:ascii="Arial" w:hAnsi="Arial" w:cs="Arial"/>
                <w:i/>
                <w:sz w:val="24"/>
                <w:szCs w:val="24"/>
              </w:rPr>
              <w:t>entregar caixa ou outro ativo financeiro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9777626" w14:textId="7123B1DE" w:rsidR="00C13324" w:rsidRPr="00DB28D9" w:rsidRDefault="00C13324" w:rsidP="00E73285">
            <w:pPr>
              <w:spacing w:after="0" w:line="240" w:lineRule="auto"/>
              <w:jc w:val="center"/>
              <w:rPr>
                <w:rFonts w:ascii="Arial" w:eastAsia="Times New Roman" w:hAnsi="Arial" w:cs="Arial"/>
                <w:bCs/>
                <w:kern w:val="36"/>
              </w:rPr>
            </w:pPr>
            <w:r w:rsidRPr="00DB28D9">
              <w:rPr>
                <w:rFonts w:ascii="Arial" w:eastAsia="Times New Roman" w:hAnsi="Arial" w:cs="Arial"/>
                <w:bCs/>
                <w:kern w:val="36"/>
              </w:rPr>
              <w:t>2</w:t>
            </w:r>
            <w:r w:rsidR="00514B51" w:rsidRPr="00DB28D9">
              <w:rPr>
                <w:rFonts w:ascii="Arial" w:eastAsia="Times New Roman" w:hAnsi="Arial" w:cs="Arial"/>
                <w:bCs/>
                <w:kern w:val="36"/>
              </w:rPr>
              <w:t>1</w:t>
            </w:r>
            <w:r w:rsidRPr="00DB28D9">
              <w:rPr>
                <w:rFonts w:ascii="Arial" w:eastAsia="Times New Roman" w:hAnsi="Arial" w:cs="Arial"/>
                <w:bCs/>
                <w:kern w:val="36"/>
              </w:rPr>
              <w:t xml:space="preserve"> - 2</w:t>
            </w:r>
            <w:r w:rsidR="00514B51" w:rsidRPr="00DB28D9">
              <w:rPr>
                <w:rFonts w:ascii="Arial" w:eastAsia="Times New Roman" w:hAnsi="Arial" w:cs="Arial"/>
                <w:bCs/>
                <w:kern w:val="36"/>
              </w:rPr>
              <w:t>4</w:t>
            </w:r>
          </w:p>
        </w:tc>
      </w:tr>
      <w:tr w:rsidR="00C13324" w:rsidRPr="00DB28D9" w14:paraId="50269D13" w14:textId="77777777" w:rsidTr="00E73285">
        <w:tc>
          <w:tcPr>
            <w:tcW w:w="8364" w:type="dxa"/>
            <w:tcBorders>
              <w:top w:val="single" w:sz="4" w:space="0" w:color="auto"/>
              <w:left w:val="single" w:sz="4" w:space="0" w:color="auto"/>
              <w:bottom w:val="single" w:sz="4" w:space="0" w:color="auto"/>
              <w:right w:val="single" w:sz="4" w:space="0" w:color="auto"/>
            </w:tcBorders>
            <w:hideMark/>
          </w:tcPr>
          <w:p w14:paraId="69659387" w14:textId="0CDD986F" w:rsidR="00C13324" w:rsidRPr="006864BA" w:rsidRDefault="00514B51" w:rsidP="00E73285">
            <w:pPr>
              <w:autoSpaceDE w:val="0"/>
              <w:autoSpaceDN w:val="0"/>
              <w:adjustRightInd w:val="0"/>
              <w:spacing w:after="0" w:line="240" w:lineRule="auto"/>
              <w:ind w:left="567" w:hanging="249"/>
              <w:jc w:val="both"/>
              <w:rPr>
                <w:rFonts w:ascii="Arial" w:eastAsia="Times New Roman" w:hAnsi="Arial" w:cs="Arial"/>
                <w:bCs/>
                <w:kern w:val="36"/>
                <w:sz w:val="24"/>
                <w:szCs w:val="24"/>
              </w:rPr>
            </w:pPr>
            <w:r w:rsidRPr="00DB28D9">
              <w:rPr>
                <w:rFonts w:ascii="Arial" w:hAnsi="Arial" w:cs="Arial"/>
                <w:i/>
                <w:sz w:val="24"/>
                <w:szCs w:val="24"/>
              </w:rPr>
              <w:t>Liquidação nos instrumentos patrimoniais da própria entidade</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8D9A1F1" w14:textId="09D24D0D" w:rsidR="00C13324" w:rsidRPr="00DB28D9" w:rsidRDefault="00C13324" w:rsidP="00E73285">
            <w:pPr>
              <w:spacing w:after="0" w:line="240" w:lineRule="auto"/>
              <w:jc w:val="center"/>
              <w:rPr>
                <w:rFonts w:ascii="Arial" w:eastAsia="Times New Roman" w:hAnsi="Arial" w:cs="Arial"/>
                <w:bCs/>
                <w:kern w:val="36"/>
              </w:rPr>
            </w:pPr>
            <w:r w:rsidRPr="00DA4C02">
              <w:rPr>
                <w:rFonts w:ascii="Arial" w:eastAsia="Times New Roman" w:hAnsi="Arial" w:cs="Arial"/>
                <w:bCs/>
                <w:kern w:val="36"/>
              </w:rPr>
              <w:t>2</w:t>
            </w:r>
            <w:r w:rsidR="00514B51" w:rsidRPr="00DA4C02">
              <w:rPr>
                <w:rFonts w:ascii="Arial" w:eastAsia="Times New Roman" w:hAnsi="Arial" w:cs="Arial"/>
                <w:bCs/>
                <w:kern w:val="36"/>
              </w:rPr>
              <w:t>5</w:t>
            </w:r>
            <w:r w:rsidRPr="00DB28D9">
              <w:rPr>
                <w:rFonts w:ascii="Arial" w:eastAsia="Times New Roman" w:hAnsi="Arial" w:cs="Arial"/>
                <w:bCs/>
                <w:kern w:val="36"/>
              </w:rPr>
              <w:t xml:space="preserve"> - 2</w:t>
            </w:r>
            <w:r w:rsidR="00514B51" w:rsidRPr="00DB28D9">
              <w:rPr>
                <w:rFonts w:ascii="Arial" w:eastAsia="Times New Roman" w:hAnsi="Arial" w:cs="Arial"/>
                <w:bCs/>
                <w:kern w:val="36"/>
              </w:rPr>
              <w:t>9</w:t>
            </w:r>
          </w:p>
        </w:tc>
      </w:tr>
      <w:tr w:rsidR="00C13324" w:rsidRPr="00DB28D9" w14:paraId="6BB29396" w14:textId="77777777" w:rsidTr="00E73285">
        <w:tc>
          <w:tcPr>
            <w:tcW w:w="8364" w:type="dxa"/>
            <w:tcBorders>
              <w:top w:val="single" w:sz="4" w:space="0" w:color="auto"/>
              <w:left w:val="single" w:sz="4" w:space="0" w:color="auto"/>
              <w:bottom w:val="single" w:sz="4" w:space="0" w:color="auto"/>
              <w:right w:val="single" w:sz="4" w:space="0" w:color="auto"/>
            </w:tcBorders>
            <w:hideMark/>
          </w:tcPr>
          <w:p w14:paraId="7464CBEC" w14:textId="4D646F28" w:rsidR="00C13324" w:rsidRPr="00DA4C02" w:rsidRDefault="00C13324" w:rsidP="00E73285">
            <w:pPr>
              <w:spacing w:after="0" w:line="240" w:lineRule="auto"/>
              <w:rPr>
                <w:rFonts w:ascii="Arial" w:eastAsia="Times New Roman" w:hAnsi="Arial" w:cs="Arial"/>
                <w:bCs/>
                <w:kern w:val="36"/>
              </w:rPr>
            </w:pPr>
            <w:r w:rsidRPr="00DB28D9">
              <w:rPr>
                <w:rFonts w:ascii="Arial" w:hAnsi="Arial" w:cs="Arial"/>
              </w:rPr>
              <w:t xml:space="preserve">      </w:t>
            </w:r>
            <w:r w:rsidRPr="006864BA">
              <w:rPr>
                <w:rFonts w:ascii="Arial" w:hAnsi="Arial" w:cs="Arial"/>
                <w:i/>
                <w:sz w:val="24"/>
                <w:szCs w:val="24"/>
              </w:rPr>
              <w:t>Provisões de liquidação contingente</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9F01DC2" w14:textId="004184B2" w:rsidR="00C13324" w:rsidRPr="00DB28D9" w:rsidRDefault="00653BB6" w:rsidP="00E73285">
            <w:pPr>
              <w:spacing w:after="0" w:line="240" w:lineRule="auto"/>
              <w:jc w:val="center"/>
              <w:rPr>
                <w:rFonts w:ascii="Arial" w:eastAsia="Times New Roman" w:hAnsi="Arial" w:cs="Arial"/>
                <w:bCs/>
                <w:kern w:val="36"/>
              </w:rPr>
            </w:pPr>
            <w:r w:rsidRPr="00DB28D9">
              <w:rPr>
                <w:rFonts w:ascii="Arial" w:eastAsia="Times New Roman" w:hAnsi="Arial" w:cs="Arial"/>
                <w:bCs/>
                <w:kern w:val="36"/>
              </w:rPr>
              <w:t>30</w:t>
            </w:r>
            <w:r w:rsidR="00C13324" w:rsidRPr="00DB28D9">
              <w:rPr>
                <w:rFonts w:ascii="Arial" w:eastAsia="Times New Roman" w:hAnsi="Arial" w:cs="Arial"/>
                <w:bCs/>
                <w:kern w:val="36"/>
              </w:rPr>
              <w:t xml:space="preserve"> </w:t>
            </w:r>
          </w:p>
        </w:tc>
      </w:tr>
      <w:tr w:rsidR="00C13324" w:rsidRPr="00DB28D9" w14:paraId="0E881FD8" w14:textId="77777777" w:rsidTr="00E73285">
        <w:tc>
          <w:tcPr>
            <w:tcW w:w="8364" w:type="dxa"/>
            <w:tcBorders>
              <w:top w:val="single" w:sz="4" w:space="0" w:color="auto"/>
              <w:left w:val="single" w:sz="4" w:space="0" w:color="auto"/>
              <w:bottom w:val="single" w:sz="4" w:space="0" w:color="auto"/>
              <w:right w:val="single" w:sz="4" w:space="0" w:color="auto"/>
            </w:tcBorders>
            <w:hideMark/>
          </w:tcPr>
          <w:p w14:paraId="3CD4C1DA" w14:textId="3C77B3DE" w:rsidR="00C13324" w:rsidRPr="00DA4C02" w:rsidRDefault="00C13324" w:rsidP="00E73285">
            <w:pPr>
              <w:spacing w:after="0" w:line="240" w:lineRule="auto"/>
              <w:rPr>
                <w:rFonts w:ascii="Arial" w:eastAsia="Times New Roman" w:hAnsi="Arial" w:cs="Arial"/>
                <w:bCs/>
                <w:kern w:val="36"/>
              </w:rPr>
            </w:pPr>
            <w:r w:rsidRPr="00DB28D9">
              <w:rPr>
                <w:rFonts w:ascii="Arial" w:hAnsi="Arial" w:cs="Arial"/>
              </w:rPr>
              <w:t xml:space="preserve">      </w:t>
            </w:r>
            <w:r w:rsidR="00653BB6" w:rsidRPr="006864BA">
              <w:rPr>
                <w:rFonts w:ascii="Arial" w:hAnsi="Arial" w:cs="Arial"/>
                <w:i/>
                <w:iCs/>
                <w:sz w:val="24"/>
                <w:szCs w:val="24"/>
              </w:rPr>
              <w:t>Opção de liquidação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91D9273" w14:textId="69DA507F" w:rsidR="00C13324" w:rsidRPr="00DB28D9" w:rsidRDefault="00653BB6" w:rsidP="00E73285">
            <w:pPr>
              <w:spacing w:after="0" w:line="240" w:lineRule="auto"/>
              <w:jc w:val="center"/>
              <w:rPr>
                <w:rFonts w:ascii="Arial" w:eastAsia="Times New Roman" w:hAnsi="Arial" w:cs="Arial"/>
                <w:bCs/>
                <w:kern w:val="36"/>
              </w:rPr>
            </w:pPr>
            <w:r w:rsidRPr="00DB28D9">
              <w:rPr>
                <w:rFonts w:ascii="Arial" w:eastAsia="Times New Roman" w:hAnsi="Arial" w:cs="Arial"/>
                <w:bCs/>
                <w:kern w:val="36"/>
              </w:rPr>
              <w:t>31</w:t>
            </w:r>
            <w:r w:rsidR="00C13324" w:rsidRPr="00DB28D9">
              <w:rPr>
                <w:rFonts w:ascii="Arial" w:eastAsia="Times New Roman" w:hAnsi="Arial" w:cs="Arial"/>
                <w:bCs/>
                <w:kern w:val="36"/>
              </w:rPr>
              <w:t xml:space="preserve"> - 32 </w:t>
            </w:r>
          </w:p>
        </w:tc>
      </w:tr>
      <w:tr w:rsidR="00C13324" w:rsidRPr="00DB28D9" w14:paraId="78A83A4B" w14:textId="77777777" w:rsidTr="00E73285">
        <w:tc>
          <w:tcPr>
            <w:tcW w:w="8364" w:type="dxa"/>
            <w:tcBorders>
              <w:top w:val="single" w:sz="4" w:space="0" w:color="auto"/>
              <w:left w:val="single" w:sz="4" w:space="0" w:color="auto"/>
              <w:bottom w:val="single" w:sz="4" w:space="0" w:color="auto"/>
              <w:right w:val="single" w:sz="4" w:space="0" w:color="auto"/>
            </w:tcBorders>
            <w:hideMark/>
          </w:tcPr>
          <w:p w14:paraId="173A61AF" w14:textId="3F6EF581" w:rsidR="00C13324" w:rsidRPr="006864BA" w:rsidRDefault="00653BB6" w:rsidP="00E73285">
            <w:pPr>
              <w:spacing w:after="0" w:line="240" w:lineRule="auto"/>
              <w:ind w:left="318"/>
              <w:rPr>
                <w:rFonts w:ascii="Arial" w:eastAsia="Times New Roman" w:hAnsi="Arial" w:cs="Arial"/>
                <w:bCs/>
                <w:kern w:val="36"/>
              </w:rPr>
            </w:pPr>
            <w:r w:rsidRPr="00DB28D9">
              <w:rPr>
                <w:rFonts w:ascii="Arial" w:hAnsi="Arial" w:cs="Arial"/>
                <w:i/>
                <w:sz w:val="24"/>
                <w:szCs w:val="24"/>
              </w:rPr>
              <w:t>Instrumentos financeiros compostos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5C2439A" w14:textId="3FFF65D3" w:rsidR="00C13324" w:rsidRPr="00DB28D9" w:rsidRDefault="00C13324" w:rsidP="00E73285">
            <w:pPr>
              <w:spacing w:after="0" w:line="240" w:lineRule="auto"/>
              <w:jc w:val="center"/>
              <w:rPr>
                <w:rFonts w:ascii="Arial" w:eastAsia="Times New Roman" w:hAnsi="Arial" w:cs="Arial"/>
                <w:bCs/>
                <w:kern w:val="36"/>
              </w:rPr>
            </w:pPr>
            <w:r w:rsidRPr="00DA4C02">
              <w:rPr>
                <w:rFonts w:ascii="Arial" w:eastAsia="Times New Roman" w:hAnsi="Arial" w:cs="Arial"/>
                <w:bCs/>
                <w:kern w:val="36"/>
              </w:rPr>
              <w:t>33 - 3</w:t>
            </w:r>
            <w:r w:rsidR="00653BB6" w:rsidRPr="00DA4C02">
              <w:rPr>
                <w:rFonts w:ascii="Arial" w:eastAsia="Times New Roman" w:hAnsi="Arial" w:cs="Arial"/>
                <w:bCs/>
                <w:kern w:val="36"/>
              </w:rPr>
              <w:t>7</w:t>
            </w:r>
          </w:p>
        </w:tc>
      </w:tr>
      <w:tr w:rsidR="00C13324" w:rsidRPr="00DB28D9" w14:paraId="77287EE0" w14:textId="77777777" w:rsidTr="00E73285">
        <w:tc>
          <w:tcPr>
            <w:tcW w:w="8364" w:type="dxa"/>
            <w:tcBorders>
              <w:top w:val="single" w:sz="4" w:space="0" w:color="auto"/>
              <w:left w:val="single" w:sz="4" w:space="0" w:color="auto"/>
              <w:bottom w:val="single" w:sz="4" w:space="0" w:color="auto"/>
              <w:right w:val="single" w:sz="4" w:space="0" w:color="auto"/>
            </w:tcBorders>
            <w:hideMark/>
          </w:tcPr>
          <w:p w14:paraId="68D136CB" w14:textId="006A8D60" w:rsidR="00C13324" w:rsidRPr="006864BA" w:rsidRDefault="00653BB6" w:rsidP="00E73285">
            <w:pPr>
              <w:spacing w:after="0" w:line="240" w:lineRule="auto"/>
              <w:ind w:left="318"/>
              <w:rPr>
                <w:rFonts w:ascii="Arial" w:eastAsia="Times New Roman" w:hAnsi="Arial" w:cs="Arial"/>
                <w:bCs/>
                <w:i/>
                <w:iCs/>
                <w:kern w:val="36"/>
              </w:rPr>
            </w:pPr>
            <w:r w:rsidRPr="00DB28D9">
              <w:rPr>
                <w:rFonts w:ascii="Arial" w:hAnsi="Arial" w:cs="Arial"/>
                <w:i/>
                <w:iCs/>
                <w:sz w:val="24"/>
                <w:szCs w:val="24"/>
              </w:rPr>
              <w:t>Ações em tesouraria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D300B26" w14:textId="4E23BF3E" w:rsidR="00C13324" w:rsidRPr="00DB28D9" w:rsidRDefault="00653BB6" w:rsidP="00E73285">
            <w:pPr>
              <w:spacing w:after="0" w:line="240" w:lineRule="auto"/>
              <w:jc w:val="center"/>
              <w:rPr>
                <w:rFonts w:ascii="Arial" w:eastAsia="Times New Roman" w:hAnsi="Arial" w:cs="Arial"/>
                <w:bCs/>
                <w:kern w:val="36"/>
              </w:rPr>
            </w:pPr>
            <w:r w:rsidRPr="00DA4C02">
              <w:rPr>
                <w:rFonts w:ascii="Arial" w:eastAsia="Times New Roman" w:hAnsi="Arial" w:cs="Arial"/>
                <w:bCs/>
                <w:kern w:val="36"/>
              </w:rPr>
              <w:t>38</w:t>
            </w:r>
            <w:r w:rsidR="00C13324" w:rsidRPr="00DA4C02">
              <w:rPr>
                <w:rFonts w:ascii="Arial" w:eastAsia="Times New Roman" w:hAnsi="Arial" w:cs="Arial"/>
                <w:bCs/>
                <w:kern w:val="36"/>
              </w:rPr>
              <w:t xml:space="preserve"> - 3</w:t>
            </w:r>
            <w:r w:rsidRPr="00DB28D9">
              <w:rPr>
                <w:rFonts w:ascii="Arial" w:eastAsia="Times New Roman" w:hAnsi="Arial" w:cs="Arial"/>
                <w:bCs/>
                <w:kern w:val="36"/>
              </w:rPr>
              <w:t>9</w:t>
            </w:r>
          </w:p>
        </w:tc>
      </w:tr>
      <w:tr w:rsidR="00C13324" w:rsidRPr="00DB28D9" w14:paraId="527D88DC" w14:textId="77777777" w:rsidTr="00E73285">
        <w:tc>
          <w:tcPr>
            <w:tcW w:w="8364" w:type="dxa"/>
            <w:tcBorders>
              <w:top w:val="single" w:sz="4" w:space="0" w:color="auto"/>
              <w:left w:val="single" w:sz="4" w:space="0" w:color="auto"/>
              <w:bottom w:val="single" w:sz="4" w:space="0" w:color="auto"/>
              <w:right w:val="single" w:sz="4" w:space="0" w:color="auto"/>
            </w:tcBorders>
            <w:hideMark/>
          </w:tcPr>
          <w:p w14:paraId="679861EA" w14:textId="6588D845" w:rsidR="00C13324" w:rsidRPr="006864BA" w:rsidRDefault="00653BB6" w:rsidP="00E73285">
            <w:pPr>
              <w:spacing w:after="0" w:line="240" w:lineRule="auto"/>
              <w:rPr>
                <w:rFonts w:ascii="Arial" w:eastAsia="Times New Roman" w:hAnsi="Arial" w:cs="Arial"/>
                <w:bCs/>
                <w:i/>
                <w:iCs/>
                <w:kern w:val="36"/>
              </w:rPr>
            </w:pPr>
            <w:r w:rsidRPr="00DB28D9">
              <w:rPr>
                <w:rFonts w:ascii="Arial" w:hAnsi="Arial" w:cs="Arial"/>
                <w:i/>
                <w:iCs/>
                <w:sz w:val="24"/>
                <w:szCs w:val="24"/>
              </w:rPr>
              <w:t xml:space="preserve">    Juros, dividendos ou distribuições similares, perdas e ganhos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BF148AA" w14:textId="01530F03" w:rsidR="00C13324" w:rsidRPr="00DA4C02" w:rsidRDefault="00653BB6" w:rsidP="00E73285">
            <w:pPr>
              <w:spacing w:after="0" w:line="240" w:lineRule="auto"/>
              <w:jc w:val="center"/>
              <w:rPr>
                <w:rFonts w:ascii="Arial" w:eastAsia="Times New Roman" w:hAnsi="Arial" w:cs="Arial"/>
                <w:bCs/>
                <w:kern w:val="36"/>
              </w:rPr>
            </w:pPr>
            <w:r w:rsidRPr="00DA4C02">
              <w:rPr>
                <w:rFonts w:ascii="Arial" w:eastAsia="Times New Roman" w:hAnsi="Arial" w:cs="Arial"/>
                <w:bCs/>
                <w:kern w:val="36"/>
              </w:rPr>
              <w:t>40 - 46</w:t>
            </w:r>
          </w:p>
        </w:tc>
      </w:tr>
      <w:tr w:rsidR="00C13324" w:rsidRPr="00DB28D9" w14:paraId="4E0EA17A" w14:textId="77777777" w:rsidTr="00E73285">
        <w:tc>
          <w:tcPr>
            <w:tcW w:w="8364" w:type="dxa"/>
            <w:tcBorders>
              <w:top w:val="single" w:sz="4" w:space="0" w:color="auto"/>
              <w:left w:val="single" w:sz="4" w:space="0" w:color="auto"/>
              <w:bottom w:val="single" w:sz="4" w:space="0" w:color="auto"/>
              <w:right w:val="single" w:sz="4" w:space="0" w:color="auto"/>
            </w:tcBorders>
            <w:hideMark/>
          </w:tcPr>
          <w:p w14:paraId="34F8375D" w14:textId="1CC885C6" w:rsidR="00C13324" w:rsidRPr="006864BA" w:rsidRDefault="00653BB6" w:rsidP="00E73285">
            <w:pPr>
              <w:spacing w:after="0" w:line="240" w:lineRule="auto"/>
              <w:ind w:left="318"/>
              <w:rPr>
                <w:rFonts w:ascii="Arial" w:eastAsia="Times New Roman" w:hAnsi="Arial" w:cs="Arial"/>
                <w:bCs/>
                <w:kern w:val="36"/>
              </w:rPr>
            </w:pPr>
            <w:r w:rsidRPr="00DB28D9">
              <w:rPr>
                <w:rFonts w:ascii="Arial" w:hAnsi="Arial" w:cs="Arial"/>
                <w:sz w:val="24"/>
                <w:szCs w:val="24"/>
              </w:rPr>
              <w:t>Compensação de ativo financeiro e passivo financeiro</w:t>
            </w:r>
          </w:p>
        </w:tc>
        <w:tc>
          <w:tcPr>
            <w:tcW w:w="1275" w:type="dxa"/>
            <w:tcBorders>
              <w:top w:val="single" w:sz="4" w:space="0" w:color="auto"/>
              <w:left w:val="single" w:sz="4" w:space="0" w:color="auto"/>
              <w:bottom w:val="single" w:sz="4" w:space="0" w:color="auto"/>
              <w:right w:val="single" w:sz="4" w:space="0" w:color="auto"/>
            </w:tcBorders>
            <w:vAlign w:val="center"/>
          </w:tcPr>
          <w:p w14:paraId="3170C3A7" w14:textId="40BC82DF" w:rsidR="00C13324" w:rsidRPr="00DB28D9" w:rsidRDefault="00653BB6" w:rsidP="00E73285">
            <w:pPr>
              <w:spacing w:after="0" w:line="240" w:lineRule="auto"/>
              <w:jc w:val="center"/>
              <w:rPr>
                <w:rFonts w:ascii="Arial" w:eastAsia="Times New Roman" w:hAnsi="Arial" w:cs="Arial"/>
                <w:bCs/>
                <w:kern w:val="36"/>
              </w:rPr>
            </w:pPr>
            <w:r w:rsidRPr="00DA4C02">
              <w:rPr>
                <w:rFonts w:ascii="Arial" w:eastAsia="Times New Roman" w:hAnsi="Arial" w:cs="Arial"/>
                <w:bCs/>
                <w:kern w:val="36"/>
              </w:rPr>
              <w:t>47</w:t>
            </w:r>
            <w:r w:rsidR="00C13324" w:rsidRPr="00DA4C02">
              <w:rPr>
                <w:rFonts w:ascii="Arial" w:eastAsia="Times New Roman" w:hAnsi="Arial" w:cs="Arial"/>
                <w:bCs/>
                <w:kern w:val="36"/>
              </w:rPr>
              <w:t xml:space="preserve"> - </w:t>
            </w:r>
            <w:r w:rsidRPr="00DB28D9">
              <w:rPr>
                <w:rFonts w:ascii="Arial" w:eastAsia="Times New Roman" w:hAnsi="Arial" w:cs="Arial"/>
                <w:bCs/>
                <w:kern w:val="36"/>
              </w:rPr>
              <w:t>58</w:t>
            </w:r>
          </w:p>
        </w:tc>
      </w:tr>
      <w:tr w:rsidR="00C13324" w:rsidRPr="00DB28D9" w14:paraId="6A564586" w14:textId="77777777" w:rsidTr="00E73285">
        <w:tc>
          <w:tcPr>
            <w:tcW w:w="8364" w:type="dxa"/>
            <w:tcBorders>
              <w:top w:val="single" w:sz="4" w:space="0" w:color="auto"/>
              <w:left w:val="single" w:sz="4" w:space="0" w:color="auto"/>
              <w:bottom w:val="single" w:sz="4" w:space="0" w:color="auto"/>
              <w:right w:val="single" w:sz="4" w:space="0" w:color="auto"/>
            </w:tcBorders>
            <w:hideMark/>
          </w:tcPr>
          <w:p w14:paraId="2255ADEC" w14:textId="51AEDF1E" w:rsidR="00C13324" w:rsidRPr="00DB28D9" w:rsidRDefault="00653BB6" w:rsidP="00E73285">
            <w:pPr>
              <w:spacing w:after="0" w:line="240" w:lineRule="auto"/>
              <w:ind w:left="318"/>
              <w:rPr>
                <w:rFonts w:ascii="Arial" w:eastAsia="Times New Roman" w:hAnsi="Arial" w:cs="Arial"/>
                <w:bCs/>
                <w:kern w:val="36"/>
              </w:rPr>
            </w:pPr>
            <w:r w:rsidRPr="00DB28D9">
              <w:rPr>
                <w:rFonts w:ascii="Arial" w:hAnsi="Arial" w:cs="Arial"/>
                <w:i/>
                <w:sz w:val="24"/>
                <w:szCs w:val="24"/>
              </w:rPr>
              <w:t xml:space="preserve">Data de </w:t>
            </w:r>
            <w:r w:rsidR="00CE4FD1" w:rsidRPr="00DB28D9">
              <w:rPr>
                <w:rFonts w:ascii="Arial" w:hAnsi="Arial" w:cs="Arial"/>
                <w:i/>
                <w:sz w:val="24"/>
                <w:szCs w:val="24"/>
              </w:rPr>
              <w:t>v</w:t>
            </w:r>
            <w:r w:rsidRPr="00DB28D9">
              <w:rPr>
                <w:rFonts w:ascii="Arial" w:hAnsi="Arial" w:cs="Arial"/>
                <w:i/>
                <w:sz w:val="24"/>
                <w:szCs w:val="24"/>
              </w:rPr>
              <w:t>igência</w:t>
            </w:r>
          </w:p>
        </w:tc>
        <w:tc>
          <w:tcPr>
            <w:tcW w:w="1275" w:type="dxa"/>
            <w:tcBorders>
              <w:top w:val="single" w:sz="4" w:space="0" w:color="auto"/>
              <w:left w:val="single" w:sz="4" w:space="0" w:color="auto"/>
              <w:bottom w:val="single" w:sz="4" w:space="0" w:color="auto"/>
              <w:right w:val="single" w:sz="4" w:space="0" w:color="auto"/>
            </w:tcBorders>
            <w:vAlign w:val="center"/>
          </w:tcPr>
          <w:p w14:paraId="4BFE0017" w14:textId="129F8364" w:rsidR="00C13324" w:rsidRPr="00DB28D9" w:rsidRDefault="00653BB6" w:rsidP="00E73285">
            <w:pPr>
              <w:spacing w:after="0" w:line="240" w:lineRule="auto"/>
              <w:jc w:val="center"/>
              <w:rPr>
                <w:rFonts w:ascii="Arial" w:eastAsia="Times New Roman" w:hAnsi="Arial" w:cs="Arial"/>
                <w:bCs/>
                <w:kern w:val="36"/>
              </w:rPr>
            </w:pPr>
            <w:r w:rsidRPr="00DB28D9">
              <w:rPr>
                <w:rFonts w:ascii="Arial" w:eastAsia="Times New Roman" w:hAnsi="Arial" w:cs="Arial"/>
                <w:bCs/>
                <w:kern w:val="36"/>
              </w:rPr>
              <w:t>59</w:t>
            </w:r>
          </w:p>
        </w:tc>
      </w:tr>
    </w:tbl>
    <w:p w14:paraId="49EA852F" w14:textId="77777777" w:rsidR="00C13324" w:rsidRPr="00DB28D9" w:rsidRDefault="00C13324" w:rsidP="00C13324">
      <w:pPr>
        <w:autoSpaceDE w:val="0"/>
        <w:autoSpaceDN w:val="0"/>
        <w:adjustRightInd w:val="0"/>
        <w:spacing w:after="0"/>
        <w:jc w:val="center"/>
        <w:rPr>
          <w:rFonts w:ascii="Arial" w:hAnsi="Arial" w:cs="Arial"/>
          <w:sz w:val="24"/>
          <w:szCs w:val="24"/>
        </w:rPr>
      </w:pPr>
    </w:p>
    <w:p w14:paraId="2E3618CD" w14:textId="2F33BF42" w:rsidR="00152020" w:rsidRPr="00DA4C02" w:rsidRDefault="00152020" w:rsidP="00C13324">
      <w:pPr>
        <w:autoSpaceDE w:val="0"/>
        <w:autoSpaceDN w:val="0"/>
        <w:adjustRightInd w:val="0"/>
        <w:spacing w:after="0"/>
        <w:jc w:val="both"/>
        <w:rPr>
          <w:rFonts w:ascii="Arial" w:hAnsi="Arial" w:cs="Arial"/>
          <w:b/>
          <w:sz w:val="24"/>
          <w:szCs w:val="24"/>
        </w:rPr>
      </w:pPr>
      <w:r w:rsidRPr="00DA4C02">
        <w:rPr>
          <w:rFonts w:ascii="Arial" w:hAnsi="Arial" w:cs="Arial"/>
          <w:b/>
          <w:sz w:val="24"/>
          <w:szCs w:val="24"/>
        </w:rPr>
        <w:t>Objetivo</w:t>
      </w:r>
    </w:p>
    <w:p w14:paraId="6F3D1353" w14:textId="77777777" w:rsidR="00653BB6" w:rsidRPr="00DB28D9" w:rsidRDefault="00653BB6" w:rsidP="00C13324">
      <w:pPr>
        <w:autoSpaceDE w:val="0"/>
        <w:autoSpaceDN w:val="0"/>
        <w:adjustRightInd w:val="0"/>
        <w:spacing w:after="0"/>
        <w:jc w:val="both"/>
        <w:rPr>
          <w:rFonts w:ascii="Arial" w:hAnsi="Arial" w:cs="Arial"/>
          <w:b/>
          <w:sz w:val="24"/>
          <w:szCs w:val="24"/>
        </w:rPr>
      </w:pPr>
    </w:p>
    <w:p w14:paraId="6C623149" w14:textId="2798A981" w:rsidR="00152020" w:rsidRPr="00DB28D9" w:rsidRDefault="00152020" w:rsidP="00C13324">
      <w:pPr>
        <w:pStyle w:val="PargrafodaLista"/>
        <w:autoSpaceDE w:val="0"/>
        <w:autoSpaceDN w:val="0"/>
        <w:adjustRightInd w:val="0"/>
        <w:spacing w:after="0" w:line="240" w:lineRule="auto"/>
        <w:ind w:left="567" w:hanging="567"/>
        <w:jc w:val="both"/>
        <w:rPr>
          <w:rFonts w:ascii="Arial" w:eastAsia="Calibri" w:hAnsi="Arial" w:cs="Arial"/>
          <w:sz w:val="24"/>
          <w:szCs w:val="24"/>
          <w:lang w:eastAsia="en-US"/>
        </w:rPr>
      </w:pPr>
      <w:r w:rsidRPr="00DB28D9">
        <w:rPr>
          <w:rFonts w:ascii="Arial" w:eastAsia="Calibri" w:hAnsi="Arial" w:cs="Arial"/>
          <w:sz w:val="24"/>
          <w:szCs w:val="24"/>
          <w:lang w:eastAsia="en-US"/>
        </w:rPr>
        <w:t xml:space="preserve">1. </w:t>
      </w:r>
      <w:r w:rsidR="00F426C2" w:rsidRPr="00DB28D9">
        <w:rPr>
          <w:rFonts w:ascii="Arial" w:eastAsia="Calibri" w:hAnsi="Arial" w:cs="Arial"/>
          <w:sz w:val="24"/>
          <w:szCs w:val="24"/>
          <w:lang w:eastAsia="en-US"/>
        </w:rPr>
        <w:tab/>
      </w:r>
      <w:r w:rsidRPr="00DB28D9">
        <w:rPr>
          <w:rFonts w:ascii="Arial" w:eastAsia="Calibri" w:hAnsi="Arial" w:cs="Arial"/>
          <w:sz w:val="24"/>
          <w:szCs w:val="24"/>
          <w:lang w:eastAsia="en-US"/>
        </w:rPr>
        <w:t>O objetivo desta Norma é estabelecer princípios para a apresentação de instrumentos financeiros como passivos ou patrimônio líquido e para compensação de ativos financeiros e passivos financeiros. Aplica-se à classificação de instrumentos financeiros, na perspectiva do emitente, em ativos financeiros, passivos financeiros e instrumentos patrimoniais; a classificação de juros a eles relacionados, dividendos ou distribuições similares, perdas e ganhos; e as circunstâncias em que ativos financeiros e passivos financeiros devem ser compensados.</w:t>
      </w:r>
    </w:p>
    <w:p w14:paraId="26AB761C" w14:textId="77777777" w:rsidR="00F426C2" w:rsidRPr="00DA4C02" w:rsidRDefault="00F426C2" w:rsidP="00F426C2">
      <w:pPr>
        <w:pStyle w:val="PargrafodaLista"/>
        <w:autoSpaceDE w:val="0"/>
        <w:autoSpaceDN w:val="0"/>
        <w:adjustRightInd w:val="0"/>
        <w:spacing w:after="0" w:line="240" w:lineRule="auto"/>
        <w:ind w:left="567" w:hanging="567"/>
        <w:jc w:val="both"/>
        <w:rPr>
          <w:rFonts w:ascii="Arial" w:eastAsia="Calibri" w:hAnsi="Arial" w:cs="Arial"/>
          <w:sz w:val="24"/>
          <w:szCs w:val="24"/>
          <w:lang w:eastAsia="en-US"/>
        </w:rPr>
      </w:pPr>
    </w:p>
    <w:p w14:paraId="0E099BEF" w14:textId="2AAA364C" w:rsidR="00152020" w:rsidRPr="00DB28D9" w:rsidRDefault="00152020" w:rsidP="00F426C2">
      <w:pPr>
        <w:autoSpaceDE w:val="0"/>
        <w:autoSpaceDN w:val="0"/>
        <w:adjustRightInd w:val="0"/>
        <w:ind w:left="567" w:hanging="567"/>
        <w:jc w:val="both"/>
        <w:rPr>
          <w:rFonts w:ascii="Arial" w:hAnsi="Arial" w:cs="Arial"/>
          <w:sz w:val="24"/>
          <w:szCs w:val="24"/>
        </w:rPr>
      </w:pPr>
      <w:r w:rsidRPr="00DB28D9">
        <w:rPr>
          <w:rFonts w:ascii="Arial" w:hAnsi="Arial" w:cs="Arial"/>
          <w:color w:val="000000"/>
          <w:sz w:val="24"/>
          <w:szCs w:val="24"/>
        </w:rPr>
        <w:t xml:space="preserve">2. </w:t>
      </w:r>
      <w:r w:rsidR="00FE69D6" w:rsidRPr="00DB28D9">
        <w:rPr>
          <w:rFonts w:ascii="Arial" w:hAnsi="Arial" w:cs="Arial"/>
          <w:color w:val="000000"/>
          <w:sz w:val="24"/>
          <w:szCs w:val="24"/>
        </w:rPr>
        <w:tab/>
      </w:r>
      <w:r w:rsidRPr="00DB28D9">
        <w:rPr>
          <w:rFonts w:ascii="Arial" w:hAnsi="Arial" w:cs="Arial"/>
          <w:color w:val="000000"/>
          <w:sz w:val="24"/>
          <w:szCs w:val="24"/>
        </w:rPr>
        <w:t xml:space="preserve">Os princípios desta Norma complementam os princípios para reconhecimento e mensuração dos ativos financeiros e passivos financeiros da </w:t>
      </w:r>
      <w:r w:rsidRPr="00DB28D9">
        <w:rPr>
          <w:rFonts w:ascii="Arial" w:hAnsi="Arial" w:cs="Arial"/>
          <w:sz w:val="24"/>
          <w:szCs w:val="24"/>
        </w:rPr>
        <w:t xml:space="preserve">NBC TSP 31 – </w:t>
      </w:r>
      <w:r w:rsidRPr="00DB28D9">
        <w:rPr>
          <w:rFonts w:ascii="Arial" w:hAnsi="Arial" w:cs="Arial"/>
          <w:sz w:val="24"/>
          <w:szCs w:val="24"/>
        </w:rPr>
        <w:lastRenderedPageBreak/>
        <w:t>Instrumentos Financeiros: Reconhecimento e Mensuração</w:t>
      </w:r>
      <w:r w:rsidRPr="00DB28D9">
        <w:rPr>
          <w:rFonts w:ascii="Arial" w:hAnsi="Arial" w:cs="Arial"/>
          <w:color w:val="FF0000"/>
          <w:sz w:val="24"/>
          <w:szCs w:val="24"/>
        </w:rPr>
        <w:t xml:space="preserve"> </w:t>
      </w:r>
      <w:r w:rsidRPr="00DB28D9">
        <w:rPr>
          <w:rFonts w:ascii="Arial" w:hAnsi="Arial" w:cs="Arial"/>
          <w:sz w:val="24"/>
          <w:szCs w:val="24"/>
        </w:rPr>
        <w:t>e para divulgação das informações sobre eles da NBC TSP 33 – Instrumentos Financeiros: Divulgação.</w:t>
      </w:r>
    </w:p>
    <w:p w14:paraId="21AFCE35" w14:textId="77777777" w:rsidR="00152020" w:rsidRPr="00DB28D9" w:rsidRDefault="00152020" w:rsidP="003B4208">
      <w:pPr>
        <w:autoSpaceDE w:val="0"/>
        <w:autoSpaceDN w:val="0"/>
        <w:adjustRightInd w:val="0"/>
        <w:jc w:val="both"/>
        <w:rPr>
          <w:rFonts w:ascii="Arial" w:hAnsi="Arial" w:cs="Arial"/>
          <w:b/>
          <w:sz w:val="24"/>
          <w:szCs w:val="24"/>
        </w:rPr>
      </w:pPr>
      <w:r w:rsidRPr="00DB28D9">
        <w:rPr>
          <w:rFonts w:ascii="Arial" w:hAnsi="Arial" w:cs="Arial"/>
          <w:b/>
          <w:sz w:val="24"/>
          <w:szCs w:val="24"/>
        </w:rPr>
        <w:t>Alcance</w:t>
      </w:r>
    </w:p>
    <w:p w14:paraId="70868B70" w14:textId="659052E8" w:rsidR="00152020" w:rsidRPr="00DB28D9" w:rsidRDefault="00152020" w:rsidP="00FE69D6">
      <w:pPr>
        <w:autoSpaceDE w:val="0"/>
        <w:autoSpaceDN w:val="0"/>
        <w:adjustRightInd w:val="0"/>
        <w:spacing w:after="0"/>
        <w:ind w:left="567" w:hanging="567"/>
        <w:jc w:val="both"/>
        <w:rPr>
          <w:rFonts w:ascii="Arial" w:hAnsi="Arial" w:cs="Arial"/>
          <w:bCs/>
          <w:sz w:val="24"/>
          <w:szCs w:val="24"/>
        </w:rPr>
      </w:pPr>
      <w:r w:rsidRPr="00DB28D9">
        <w:rPr>
          <w:rFonts w:ascii="Arial" w:hAnsi="Arial" w:cs="Arial"/>
          <w:bCs/>
          <w:color w:val="000000"/>
          <w:sz w:val="24"/>
          <w:szCs w:val="24"/>
        </w:rPr>
        <w:t>3.</w:t>
      </w:r>
      <w:r w:rsidR="00F426C2" w:rsidRPr="00DB28D9">
        <w:rPr>
          <w:rFonts w:ascii="Arial" w:hAnsi="Arial" w:cs="Arial"/>
          <w:bCs/>
          <w:color w:val="000000"/>
          <w:sz w:val="24"/>
          <w:szCs w:val="24"/>
        </w:rPr>
        <w:tab/>
      </w:r>
      <w:r w:rsidRPr="00DB28D9">
        <w:rPr>
          <w:rFonts w:ascii="Arial" w:hAnsi="Arial" w:cs="Arial"/>
          <w:bCs/>
          <w:sz w:val="24"/>
          <w:szCs w:val="24"/>
        </w:rPr>
        <w:t>Esta Norma deve ser aplicada por todas as entidades que estão sob o alcance das NBC TSP e a todos os tipos de instrumentos financeiros dessas entidades, exceto:</w:t>
      </w:r>
    </w:p>
    <w:p w14:paraId="74A02CC3" w14:textId="5EF1C80A" w:rsidR="00152020" w:rsidRPr="00DB28D9" w:rsidRDefault="00152020" w:rsidP="00FE69D6">
      <w:pPr>
        <w:autoSpaceDE w:val="0"/>
        <w:autoSpaceDN w:val="0"/>
        <w:adjustRightInd w:val="0"/>
        <w:spacing w:after="0"/>
        <w:ind w:left="1134" w:hanging="567"/>
        <w:jc w:val="both"/>
        <w:rPr>
          <w:rFonts w:ascii="Arial" w:hAnsi="Arial" w:cs="Arial"/>
          <w:sz w:val="24"/>
          <w:szCs w:val="24"/>
        </w:rPr>
      </w:pPr>
      <w:r w:rsidRPr="00DB28D9">
        <w:rPr>
          <w:rFonts w:ascii="Arial" w:hAnsi="Arial" w:cs="Arial"/>
          <w:iCs/>
          <w:color w:val="000000"/>
          <w:sz w:val="24"/>
          <w:szCs w:val="24"/>
        </w:rPr>
        <w:t xml:space="preserve">(a) </w:t>
      </w:r>
      <w:r w:rsidR="00FE69D6" w:rsidRPr="00DB28D9">
        <w:rPr>
          <w:rFonts w:ascii="Arial" w:hAnsi="Arial" w:cs="Arial"/>
          <w:iCs/>
          <w:color w:val="000000"/>
          <w:sz w:val="24"/>
          <w:szCs w:val="24"/>
        </w:rPr>
        <w:tab/>
      </w:r>
      <w:r w:rsidRPr="00DB28D9">
        <w:rPr>
          <w:rFonts w:ascii="Arial" w:hAnsi="Arial" w:cs="Arial"/>
          <w:iCs/>
          <w:color w:val="000000"/>
          <w:sz w:val="24"/>
          <w:szCs w:val="24"/>
        </w:rPr>
        <w:t>participações em controladas, coligadas ou empreendimentos controlados em conjunto que sejam contabilizadas de acordo com a NBC TSP 17 – Demonstrações Co</w:t>
      </w:r>
      <w:r w:rsidR="00421FEA" w:rsidRPr="00DB28D9">
        <w:rPr>
          <w:rFonts w:ascii="Arial" w:hAnsi="Arial" w:cs="Arial"/>
          <w:iCs/>
          <w:color w:val="000000"/>
          <w:sz w:val="24"/>
          <w:szCs w:val="24"/>
        </w:rPr>
        <w:t>ntábeis Consolidadas, a NBC TSP</w:t>
      </w:r>
      <w:r w:rsidRPr="00DB28D9">
        <w:rPr>
          <w:rFonts w:ascii="Arial" w:hAnsi="Arial" w:cs="Arial"/>
          <w:iCs/>
          <w:color w:val="000000"/>
          <w:sz w:val="24"/>
          <w:szCs w:val="24"/>
        </w:rPr>
        <w:t xml:space="preserve"> 16 – Demonstrações C</w:t>
      </w:r>
      <w:r w:rsidR="00421FEA" w:rsidRPr="00DB28D9">
        <w:rPr>
          <w:rFonts w:ascii="Arial" w:hAnsi="Arial" w:cs="Arial"/>
          <w:iCs/>
          <w:color w:val="000000"/>
          <w:sz w:val="24"/>
          <w:szCs w:val="24"/>
        </w:rPr>
        <w:t>ontábeis Separadas ou a NBC TSP</w:t>
      </w:r>
      <w:r w:rsidRPr="00DB28D9">
        <w:rPr>
          <w:rFonts w:ascii="Arial" w:hAnsi="Arial" w:cs="Arial"/>
          <w:iCs/>
          <w:color w:val="000000"/>
          <w:sz w:val="24"/>
          <w:szCs w:val="24"/>
        </w:rPr>
        <w:t xml:space="preserve"> 18 – Investimento em Coligada e em Empreendimento Controlado em Conjunto</w:t>
      </w:r>
      <w:r w:rsidRPr="00DB28D9">
        <w:rPr>
          <w:rFonts w:ascii="Arial" w:hAnsi="Arial" w:cs="Arial"/>
          <w:iCs/>
          <w:sz w:val="24"/>
          <w:szCs w:val="24"/>
        </w:rPr>
        <w:t>.</w:t>
      </w:r>
      <w:r w:rsidRPr="00DB28D9">
        <w:rPr>
          <w:rFonts w:ascii="Arial" w:hAnsi="Arial" w:cs="Arial"/>
          <w:iCs/>
          <w:color w:val="000000"/>
          <w:sz w:val="24"/>
          <w:szCs w:val="24"/>
        </w:rPr>
        <w:t xml:space="preserve"> No entanto, em alguns casos, a NBC TSP 16, a NBC TSP 17 ou a NBC TSP 18 exigem ou permitem que a entidade contabilize participações em controlada, coligada ou em empreendimento controlado em conjunto utilizando a NBC TSP 31; nesses casos</w:t>
      </w:r>
      <w:r w:rsidR="004B19DA" w:rsidRPr="00DB28D9">
        <w:rPr>
          <w:rFonts w:ascii="Arial" w:hAnsi="Arial" w:cs="Arial"/>
          <w:iCs/>
          <w:color w:val="000000"/>
          <w:sz w:val="24"/>
          <w:szCs w:val="24"/>
        </w:rPr>
        <w:t>,</w:t>
      </w:r>
      <w:r w:rsidRPr="00DB28D9">
        <w:rPr>
          <w:rFonts w:ascii="Arial" w:hAnsi="Arial" w:cs="Arial"/>
          <w:iCs/>
          <w:color w:val="000000"/>
          <w:sz w:val="24"/>
          <w:szCs w:val="24"/>
        </w:rPr>
        <w:t xml:space="preserve"> a entidade deve aplicar os requisitos desta Norma. A entidade também deve aplicar esta Norma a todos os derivativos ligados a participações em controladas, coligadas e em empreendimentos controlados em conjunto;</w:t>
      </w:r>
    </w:p>
    <w:p w14:paraId="3FE23664" w14:textId="6EEA3456" w:rsidR="00152020" w:rsidRPr="00DB28D9" w:rsidRDefault="00152020" w:rsidP="00FE69D6">
      <w:pPr>
        <w:pStyle w:val="PargrafodaLista"/>
        <w:autoSpaceDE w:val="0"/>
        <w:autoSpaceDN w:val="0"/>
        <w:adjustRightInd w:val="0"/>
        <w:ind w:left="1134" w:hanging="567"/>
        <w:jc w:val="both"/>
        <w:rPr>
          <w:rFonts w:ascii="Arial" w:hAnsi="Arial" w:cs="Arial"/>
          <w:iCs/>
          <w:color w:val="000000"/>
          <w:sz w:val="24"/>
          <w:szCs w:val="24"/>
        </w:rPr>
      </w:pPr>
      <w:r w:rsidRPr="00DB28D9">
        <w:rPr>
          <w:rFonts w:ascii="Arial" w:hAnsi="Arial" w:cs="Arial"/>
          <w:iCs/>
          <w:color w:val="000000"/>
          <w:sz w:val="24"/>
          <w:szCs w:val="24"/>
        </w:rPr>
        <w:t xml:space="preserve">(b) </w:t>
      </w:r>
      <w:r w:rsidR="00FE69D6" w:rsidRPr="00DB28D9">
        <w:rPr>
          <w:rFonts w:ascii="Arial" w:hAnsi="Arial" w:cs="Arial"/>
          <w:iCs/>
          <w:color w:val="000000"/>
          <w:sz w:val="24"/>
          <w:szCs w:val="24"/>
        </w:rPr>
        <w:tab/>
      </w:r>
      <w:r w:rsidRPr="00DB28D9">
        <w:rPr>
          <w:rFonts w:ascii="Arial" w:hAnsi="Arial" w:cs="Arial"/>
          <w:iCs/>
          <w:color w:val="000000"/>
          <w:sz w:val="24"/>
          <w:szCs w:val="24"/>
        </w:rPr>
        <w:t>direitos e obrigações da entidade empregadora decorrentes de planos de benefício a empregados, aos quais se aplica a NBC TSP 15 – Benefícios a Empregados;</w:t>
      </w:r>
    </w:p>
    <w:p w14:paraId="644D766A" w14:textId="29E6B012" w:rsidR="00152020" w:rsidRPr="00DB28D9" w:rsidRDefault="00152020" w:rsidP="00FE69D6">
      <w:pPr>
        <w:autoSpaceDE w:val="0"/>
        <w:autoSpaceDN w:val="0"/>
        <w:adjustRightInd w:val="0"/>
        <w:spacing w:after="0"/>
        <w:ind w:left="1134" w:hanging="567"/>
        <w:jc w:val="both"/>
        <w:rPr>
          <w:rFonts w:ascii="Arial" w:hAnsi="Arial" w:cs="Arial"/>
          <w:sz w:val="24"/>
          <w:szCs w:val="24"/>
        </w:rPr>
      </w:pPr>
      <w:r w:rsidRPr="00DB28D9">
        <w:rPr>
          <w:rFonts w:ascii="Arial" w:hAnsi="Arial" w:cs="Arial"/>
          <w:iCs/>
          <w:color w:val="000000"/>
          <w:sz w:val="24"/>
          <w:szCs w:val="24"/>
        </w:rPr>
        <w:t xml:space="preserve">c) </w:t>
      </w:r>
      <w:r w:rsidR="00FE69D6" w:rsidRPr="00DB28D9">
        <w:rPr>
          <w:rFonts w:ascii="Arial" w:hAnsi="Arial" w:cs="Arial"/>
          <w:iCs/>
          <w:color w:val="000000"/>
          <w:sz w:val="24"/>
          <w:szCs w:val="24"/>
        </w:rPr>
        <w:tab/>
      </w:r>
      <w:r w:rsidRPr="00DB28D9">
        <w:rPr>
          <w:rFonts w:ascii="Arial" w:hAnsi="Arial" w:cs="Arial"/>
          <w:iCs/>
          <w:color w:val="000000"/>
          <w:sz w:val="24"/>
          <w:szCs w:val="24"/>
        </w:rPr>
        <w:t>obrigações decorrentes de contratos de seguro. Entretanto, esta Norma se aplica a:</w:t>
      </w:r>
    </w:p>
    <w:p w14:paraId="0AC4A36B" w14:textId="728D3AF4" w:rsidR="00152020" w:rsidRPr="00DB28D9" w:rsidRDefault="00152020" w:rsidP="00FE69D6">
      <w:pPr>
        <w:autoSpaceDE w:val="0"/>
        <w:autoSpaceDN w:val="0"/>
        <w:adjustRightInd w:val="0"/>
        <w:spacing w:after="0"/>
        <w:ind w:left="1417"/>
        <w:jc w:val="both"/>
        <w:rPr>
          <w:rFonts w:ascii="Arial" w:hAnsi="Arial" w:cs="Arial"/>
          <w:sz w:val="24"/>
          <w:szCs w:val="24"/>
        </w:rPr>
      </w:pPr>
      <w:r w:rsidRPr="00DB28D9">
        <w:rPr>
          <w:rFonts w:ascii="Arial" w:hAnsi="Arial" w:cs="Arial"/>
          <w:iCs/>
          <w:color w:val="000000"/>
          <w:sz w:val="24"/>
          <w:szCs w:val="24"/>
        </w:rPr>
        <w:t>(i) derivativos que estão embutidos em contr</w:t>
      </w:r>
      <w:r w:rsidR="00421FEA" w:rsidRPr="00DB28D9">
        <w:rPr>
          <w:rFonts w:ascii="Arial" w:hAnsi="Arial" w:cs="Arial"/>
          <w:iCs/>
          <w:color w:val="000000"/>
          <w:sz w:val="24"/>
          <w:szCs w:val="24"/>
        </w:rPr>
        <w:t xml:space="preserve">atos de seguro se a NBC TSP 31 </w:t>
      </w:r>
      <w:r w:rsidRPr="00DB28D9">
        <w:rPr>
          <w:rFonts w:ascii="Arial" w:hAnsi="Arial" w:cs="Arial"/>
          <w:iCs/>
          <w:color w:val="000000"/>
          <w:sz w:val="24"/>
          <w:szCs w:val="24"/>
        </w:rPr>
        <w:t>exigir que a entidade os contabilize separadamente; e</w:t>
      </w:r>
    </w:p>
    <w:p w14:paraId="34BDEA5B" w14:textId="594D9F7C" w:rsidR="00152020" w:rsidRPr="00DB28D9" w:rsidRDefault="00152020" w:rsidP="00FE69D6">
      <w:pPr>
        <w:widowControl w:val="0"/>
        <w:spacing w:before="120" w:after="0"/>
        <w:ind w:left="1417"/>
        <w:jc w:val="both"/>
        <w:rPr>
          <w:rFonts w:ascii="Arial" w:hAnsi="Arial" w:cs="Arial"/>
          <w:iCs/>
          <w:color w:val="000000"/>
          <w:sz w:val="24"/>
          <w:szCs w:val="24"/>
        </w:rPr>
      </w:pPr>
      <w:r w:rsidRPr="00DB28D9">
        <w:rPr>
          <w:rFonts w:ascii="Arial" w:hAnsi="Arial" w:cs="Arial"/>
          <w:iCs/>
          <w:color w:val="000000"/>
          <w:sz w:val="24"/>
          <w:szCs w:val="24"/>
        </w:rPr>
        <w:t>(</w:t>
      </w:r>
      <w:proofErr w:type="spellStart"/>
      <w:r w:rsidRPr="00DB28D9">
        <w:rPr>
          <w:rFonts w:ascii="Arial" w:hAnsi="Arial" w:cs="Arial"/>
          <w:iCs/>
          <w:color w:val="000000"/>
          <w:sz w:val="24"/>
          <w:szCs w:val="24"/>
        </w:rPr>
        <w:t>ii</w:t>
      </w:r>
      <w:proofErr w:type="spellEnd"/>
      <w:r w:rsidRPr="00DB28D9">
        <w:rPr>
          <w:rFonts w:ascii="Arial" w:hAnsi="Arial" w:cs="Arial"/>
          <w:iCs/>
          <w:color w:val="000000"/>
          <w:sz w:val="24"/>
          <w:szCs w:val="24"/>
        </w:rPr>
        <w:t xml:space="preserve">) contratos de garantia financeira, se o emitente aplica a NBC TSP 31 no reconhecimento e mensuração dos contratos, </w:t>
      </w:r>
      <w:r w:rsidRPr="00DB28D9">
        <w:rPr>
          <w:rFonts w:ascii="Arial" w:hAnsi="Arial" w:cs="Arial"/>
          <w:iCs/>
          <w:sz w:val="24"/>
          <w:szCs w:val="24"/>
        </w:rPr>
        <w:t xml:space="preserve">mas deve aplicar </w:t>
      </w:r>
      <w:r w:rsidRPr="00DB28D9">
        <w:rPr>
          <w:rFonts w:ascii="Arial" w:hAnsi="Arial" w:cs="Arial"/>
          <w:sz w:val="24"/>
          <w:szCs w:val="24"/>
        </w:rPr>
        <w:t>norma contábil que trata de contratos de seguro</w:t>
      </w:r>
      <w:r w:rsidRPr="00DB28D9">
        <w:rPr>
          <w:rStyle w:val="Refdenotaderodap"/>
          <w:rFonts w:ascii="Arial" w:hAnsi="Arial" w:cs="Arial"/>
          <w:sz w:val="24"/>
          <w:szCs w:val="24"/>
        </w:rPr>
        <w:footnoteReference w:id="1"/>
      </w:r>
      <w:r w:rsidRPr="00DB28D9">
        <w:rPr>
          <w:rFonts w:ascii="Arial" w:hAnsi="Arial" w:cs="Arial"/>
          <w:iCs/>
          <w:sz w:val="24"/>
          <w:szCs w:val="24"/>
        </w:rPr>
        <w:t>,</w:t>
      </w:r>
      <w:r w:rsidRPr="006864BA">
        <w:rPr>
          <w:rFonts w:ascii="Arial" w:hAnsi="Arial" w:cs="Arial"/>
          <w:iCs/>
          <w:color w:val="000000"/>
          <w:sz w:val="24"/>
          <w:szCs w:val="24"/>
        </w:rPr>
        <w:t xml:space="preserve"> se o emitente opta por aplicar esta </w:t>
      </w:r>
      <w:r w:rsidR="00C1692A" w:rsidRPr="00DB28D9">
        <w:rPr>
          <w:rFonts w:ascii="Arial" w:hAnsi="Arial" w:cs="Arial"/>
          <w:iCs/>
          <w:color w:val="000000"/>
          <w:sz w:val="24"/>
          <w:szCs w:val="24"/>
        </w:rPr>
        <w:t xml:space="preserve">Norma </w:t>
      </w:r>
      <w:r w:rsidRPr="00DB28D9">
        <w:rPr>
          <w:rFonts w:ascii="Arial" w:hAnsi="Arial" w:cs="Arial"/>
          <w:iCs/>
          <w:color w:val="000000"/>
          <w:sz w:val="24"/>
          <w:szCs w:val="24"/>
        </w:rPr>
        <w:t>no reconhecimento e mensuração deles</w:t>
      </w:r>
      <w:r w:rsidR="00C1692A" w:rsidRPr="00DB28D9">
        <w:rPr>
          <w:rFonts w:ascii="Arial" w:hAnsi="Arial" w:cs="Arial"/>
          <w:iCs/>
          <w:color w:val="000000"/>
          <w:sz w:val="24"/>
          <w:szCs w:val="24"/>
        </w:rPr>
        <w:t>;</w:t>
      </w:r>
    </w:p>
    <w:p w14:paraId="74D47E85" w14:textId="65494123" w:rsidR="00152020" w:rsidRPr="00DB28D9" w:rsidRDefault="00152020" w:rsidP="00A561DB">
      <w:pPr>
        <w:widowControl w:val="0"/>
        <w:ind w:left="1134"/>
        <w:jc w:val="both"/>
        <w:rPr>
          <w:rFonts w:ascii="Arial" w:hAnsi="Arial" w:cs="Arial"/>
          <w:b/>
          <w:bCs/>
          <w:iCs/>
          <w:color w:val="000000"/>
          <w:sz w:val="24"/>
          <w:szCs w:val="24"/>
        </w:rPr>
      </w:pPr>
      <w:r w:rsidRPr="00DB28D9">
        <w:rPr>
          <w:rFonts w:ascii="Arial" w:hAnsi="Arial" w:cs="Arial"/>
          <w:b/>
          <w:bCs/>
          <w:iCs/>
          <w:color w:val="000000"/>
          <w:sz w:val="24"/>
          <w:szCs w:val="24"/>
        </w:rPr>
        <w:t>Além dos itens (i) e (</w:t>
      </w:r>
      <w:proofErr w:type="spellStart"/>
      <w:r w:rsidRPr="00DB28D9">
        <w:rPr>
          <w:rFonts w:ascii="Arial" w:hAnsi="Arial" w:cs="Arial"/>
          <w:b/>
          <w:bCs/>
          <w:iCs/>
          <w:color w:val="000000"/>
          <w:sz w:val="24"/>
          <w:szCs w:val="24"/>
        </w:rPr>
        <w:t>ii</w:t>
      </w:r>
      <w:proofErr w:type="spellEnd"/>
      <w:r w:rsidRPr="00DB28D9">
        <w:rPr>
          <w:rFonts w:ascii="Arial" w:hAnsi="Arial" w:cs="Arial"/>
          <w:b/>
          <w:bCs/>
          <w:iCs/>
          <w:color w:val="000000"/>
          <w:sz w:val="24"/>
          <w:szCs w:val="24"/>
        </w:rPr>
        <w:t>) acima, a entidade pode aplicar esta Norma aos contratos de seguro que envolvam a transferência de risco financeiro.</w:t>
      </w:r>
    </w:p>
    <w:p w14:paraId="1706AFE0" w14:textId="4E409092" w:rsidR="00152020" w:rsidRPr="00DB28D9" w:rsidRDefault="00152020" w:rsidP="00A561DB">
      <w:pPr>
        <w:widowControl w:val="0"/>
        <w:spacing w:before="120"/>
        <w:ind w:left="1134" w:hanging="567"/>
        <w:jc w:val="both"/>
        <w:rPr>
          <w:rFonts w:ascii="Arial" w:hAnsi="Arial" w:cs="Arial"/>
          <w:iCs/>
          <w:color w:val="000000"/>
          <w:sz w:val="24"/>
          <w:szCs w:val="24"/>
        </w:rPr>
      </w:pPr>
      <w:r w:rsidRPr="00DB28D9">
        <w:rPr>
          <w:rFonts w:ascii="Arial" w:hAnsi="Arial" w:cs="Arial"/>
          <w:iCs/>
          <w:color w:val="000000"/>
          <w:sz w:val="24"/>
          <w:szCs w:val="24"/>
        </w:rPr>
        <w:t xml:space="preserve">(d) </w:t>
      </w:r>
      <w:r w:rsidR="00A561DB" w:rsidRPr="00DB28D9">
        <w:rPr>
          <w:rFonts w:ascii="Arial" w:hAnsi="Arial" w:cs="Arial"/>
          <w:iCs/>
          <w:color w:val="000000"/>
          <w:sz w:val="24"/>
          <w:szCs w:val="24"/>
        </w:rPr>
        <w:tab/>
      </w:r>
      <w:r w:rsidRPr="00DB28D9">
        <w:rPr>
          <w:rFonts w:ascii="Arial" w:hAnsi="Arial" w:cs="Arial"/>
          <w:iCs/>
          <w:color w:val="000000"/>
          <w:sz w:val="24"/>
          <w:szCs w:val="24"/>
        </w:rPr>
        <w:t xml:space="preserve">instrumentos </w:t>
      </w:r>
      <w:r w:rsidRPr="00DB28D9">
        <w:rPr>
          <w:rFonts w:ascii="Arial" w:hAnsi="Arial" w:cs="Arial"/>
          <w:iCs/>
          <w:sz w:val="24"/>
          <w:szCs w:val="24"/>
        </w:rPr>
        <w:t>financeiros que estejam dentro do alcance da</w:t>
      </w:r>
      <w:r w:rsidRPr="00DB28D9">
        <w:rPr>
          <w:rFonts w:ascii="Arial" w:hAnsi="Arial" w:cs="Arial"/>
          <w:iCs/>
          <w:color w:val="000000"/>
          <w:sz w:val="24"/>
          <w:szCs w:val="24"/>
        </w:rPr>
        <w:t xml:space="preserve"> </w:t>
      </w:r>
      <w:r w:rsidRPr="00DB28D9">
        <w:rPr>
          <w:rFonts w:ascii="Arial" w:hAnsi="Arial" w:cs="Arial"/>
          <w:sz w:val="24"/>
          <w:szCs w:val="24"/>
        </w:rPr>
        <w:t>norma contábil que trata de contratos de seguro</w:t>
      </w:r>
      <w:r w:rsidRPr="00DB28D9">
        <w:rPr>
          <w:rFonts w:ascii="Arial" w:hAnsi="Arial" w:cs="Arial"/>
          <w:iCs/>
          <w:sz w:val="24"/>
          <w:szCs w:val="24"/>
        </w:rPr>
        <w:t xml:space="preserve">, </w:t>
      </w:r>
      <w:r w:rsidRPr="00DB28D9">
        <w:rPr>
          <w:rFonts w:ascii="Arial" w:hAnsi="Arial" w:cs="Arial"/>
          <w:iCs/>
          <w:color w:val="000000"/>
          <w:sz w:val="24"/>
          <w:szCs w:val="24"/>
        </w:rPr>
        <w:t>porque contêm característica de participação discricionária. O emitente desses instrumentos está dispensado da aplicação, a estas características, dos itens 13 a 37 desta Norma no que diz respeito à distinção entre passivos financeiros e instrumentos patrimoniais. Entretanto, esses instrumentos estão sujeitos a todos os demais requisitos desta Norma. Além disso, esta Norma aplica-se aos derivativos que são embutidos nesses instrumentos (ver NBC TSP 31);</w:t>
      </w:r>
    </w:p>
    <w:p w14:paraId="7695EC14" w14:textId="1DF70D5A" w:rsidR="00152020" w:rsidRPr="00DA4C02" w:rsidRDefault="00152020" w:rsidP="00A561DB">
      <w:pPr>
        <w:widowControl w:val="0"/>
        <w:spacing w:after="0"/>
        <w:ind w:left="1134" w:hanging="567"/>
        <w:jc w:val="both"/>
        <w:rPr>
          <w:rFonts w:ascii="Arial" w:hAnsi="Arial" w:cs="Arial"/>
          <w:iCs/>
          <w:color w:val="000000"/>
          <w:sz w:val="24"/>
          <w:szCs w:val="24"/>
        </w:rPr>
      </w:pPr>
      <w:r w:rsidRPr="00DB28D9">
        <w:rPr>
          <w:rFonts w:ascii="Arial" w:hAnsi="Arial" w:cs="Arial"/>
          <w:iCs/>
          <w:color w:val="000000"/>
          <w:sz w:val="24"/>
          <w:szCs w:val="24"/>
        </w:rPr>
        <w:t xml:space="preserve">(e) </w:t>
      </w:r>
      <w:r w:rsidR="00A561DB" w:rsidRPr="00DB28D9">
        <w:rPr>
          <w:rFonts w:ascii="Arial" w:hAnsi="Arial" w:cs="Arial"/>
          <w:iCs/>
          <w:color w:val="000000"/>
          <w:sz w:val="24"/>
          <w:szCs w:val="24"/>
        </w:rPr>
        <w:tab/>
      </w:r>
      <w:r w:rsidRPr="00DB28D9">
        <w:rPr>
          <w:rFonts w:ascii="Arial" w:hAnsi="Arial" w:cs="Arial"/>
          <w:iCs/>
          <w:color w:val="000000"/>
          <w:sz w:val="24"/>
          <w:szCs w:val="24"/>
        </w:rPr>
        <w:t xml:space="preserve">instrumentos financeiros, contratos e obrigações relacionados a transações com </w:t>
      </w:r>
      <w:r w:rsidRPr="00DB28D9">
        <w:rPr>
          <w:rFonts w:ascii="Arial" w:hAnsi="Arial" w:cs="Arial"/>
          <w:iCs/>
          <w:color w:val="000000"/>
          <w:sz w:val="24"/>
          <w:szCs w:val="24"/>
        </w:rPr>
        <w:lastRenderedPageBreak/>
        <w:t xml:space="preserve">pagamentos baseados em </w:t>
      </w:r>
      <w:r w:rsidRPr="00DB28D9">
        <w:rPr>
          <w:rFonts w:ascii="Arial" w:hAnsi="Arial" w:cs="Arial"/>
          <w:iCs/>
          <w:sz w:val="24"/>
          <w:szCs w:val="24"/>
        </w:rPr>
        <w:t xml:space="preserve">ações às quais a </w:t>
      </w:r>
      <w:r w:rsidRPr="00DB28D9">
        <w:rPr>
          <w:rFonts w:ascii="Arial" w:hAnsi="Arial" w:cs="Arial"/>
          <w:sz w:val="24"/>
          <w:szCs w:val="24"/>
        </w:rPr>
        <w:t>norma contábil que trata de pagamentos baseados em ações</w:t>
      </w:r>
      <w:r w:rsidRPr="00DB28D9">
        <w:rPr>
          <w:rStyle w:val="Refdenotaderodap"/>
          <w:rFonts w:ascii="Arial" w:hAnsi="Arial" w:cs="Arial"/>
          <w:sz w:val="24"/>
          <w:szCs w:val="24"/>
        </w:rPr>
        <w:footnoteReference w:id="2"/>
      </w:r>
      <w:r w:rsidRPr="00DB28D9">
        <w:rPr>
          <w:rFonts w:ascii="Arial" w:hAnsi="Arial" w:cs="Arial"/>
          <w:sz w:val="24"/>
          <w:szCs w:val="24"/>
        </w:rPr>
        <w:t xml:space="preserve"> </w:t>
      </w:r>
      <w:r w:rsidRPr="006864BA">
        <w:rPr>
          <w:rFonts w:ascii="Arial" w:hAnsi="Arial" w:cs="Arial"/>
          <w:iCs/>
          <w:sz w:val="24"/>
          <w:szCs w:val="24"/>
        </w:rPr>
        <w:t>deve ser aplicada, e</w:t>
      </w:r>
      <w:r w:rsidRPr="00DA4C02">
        <w:rPr>
          <w:rFonts w:ascii="Arial" w:hAnsi="Arial" w:cs="Arial"/>
          <w:iCs/>
          <w:sz w:val="24"/>
          <w:szCs w:val="24"/>
        </w:rPr>
        <w:t xml:space="preserve">xceto </w:t>
      </w:r>
      <w:r w:rsidRPr="00DA4C02">
        <w:rPr>
          <w:rFonts w:ascii="Arial" w:hAnsi="Arial" w:cs="Arial"/>
          <w:iCs/>
          <w:color w:val="000000"/>
          <w:sz w:val="24"/>
          <w:szCs w:val="24"/>
        </w:rPr>
        <w:t>para:</w:t>
      </w:r>
    </w:p>
    <w:p w14:paraId="708EB4F2" w14:textId="44FE3C4E" w:rsidR="00152020" w:rsidRPr="00DB28D9" w:rsidRDefault="00152020" w:rsidP="00A561DB">
      <w:pPr>
        <w:widowControl w:val="0"/>
        <w:spacing w:after="0"/>
        <w:ind w:left="1418"/>
        <w:jc w:val="both"/>
        <w:rPr>
          <w:rFonts w:ascii="Arial" w:hAnsi="Arial" w:cs="Arial"/>
          <w:iCs/>
          <w:color w:val="000000"/>
          <w:sz w:val="24"/>
          <w:szCs w:val="24"/>
        </w:rPr>
      </w:pPr>
      <w:r w:rsidRPr="00DB28D9">
        <w:rPr>
          <w:rFonts w:ascii="Arial" w:hAnsi="Arial" w:cs="Arial"/>
          <w:iCs/>
          <w:color w:val="000000"/>
          <w:sz w:val="24"/>
          <w:szCs w:val="24"/>
        </w:rPr>
        <w:t>(i) contratos no alcance dos itens 4 a 6 desta Norma aos quais se aplica esta Norma;</w:t>
      </w:r>
    </w:p>
    <w:p w14:paraId="2DC0A785" w14:textId="507F8730" w:rsidR="00152020" w:rsidRPr="00DB28D9" w:rsidRDefault="00152020" w:rsidP="00A561DB">
      <w:pPr>
        <w:widowControl w:val="0"/>
        <w:tabs>
          <w:tab w:val="num" w:pos="1560"/>
        </w:tabs>
        <w:spacing w:after="0"/>
        <w:ind w:left="1418"/>
        <w:jc w:val="both"/>
        <w:rPr>
          <w:rFonts w:ascii="Arial" w:hAnsi="Arial" w:cs="Arial"/>
          <w:iCs/>
          <w:color w:val="000000"/>
          <w:sz w:val="24"/>
          <w:szCs w:val="24"/>
        </w:rPr>
      </w:pPr>
      <w:r w:rsidRPr="00DB28D9">
        <w:rPr>
          <w:rFonts w:ascii="Arial" w:hAnsi="Arial" w:cs="Arial"/>
          <w:iCs/>
          <w:color w:val="000000"/>
          <w:sz w:val="24"/>
          <w:szCs w:val="24"/>
        </w:rPr>
        <w:t>(</w:t>
      </w:r>
      <w:proofErr w:type="spellStart"/>
      <w:r w:rsidRPr="00DB28D9">
        <w:rPr>
          <w:rFonts w:ascii="Arial" w:hAnsi="Arial" w:cs="Arial"/>
          <w:iCs/>
          <w:color w:val="000000"/>
          <w:sz w:val="24"/>
          <w:szCs w:val="24"/>
        </w:rPr>
        <w:t>ii</w:t>
      </w:r>
      <w:proofErr w:type="spellEnd"/>
      <w:r w:rsidRPr="00DB28D9">
        <w:rPr>
          <w:rFonts w:ascii="Arial" w:hAnsi="Arial" w:cs="Arial"/>
          <w:iCs/>
          <w:color w:val="000000"/>
          <w:sz w:val="24"/>
          <w:szCs w:val="24"/>
        </w:rPr>
        <w:t>) itens 38 e 39 desta Norma, que devem ser aplicados às ações em tesouraria compradas, vendidas, emitidas ou canceladas em conexão com planos de opção de ações para empregados, planos de compra de ações para empregados e outros acordos de pagamento baseado em ações.</w:t>
      </w:r>
    </w:p>
    <w:p w14:paraId="47721A8C" w14:textId="77777777" w:rsidR="00A561DB" w:rsidRPr="00DB28D9" w:rsidRDefault="00A561DB" w:rsidP="00A561DB">
      <w:pPr>
        <w:widowControl w:val="0"/>
        <w:tabs>
          <w:tab w:val="num" w:pos="1560"/>
        </w:tabs>
        <w:spacing w:after="0"/>
        <w:ind w:left="1418"/>
        <w:jc w:val="both"/>
        <w:rPr>
          <w:rFonts w:ascii="Arial" w:hAnsi="Arial" w:cs="Arial"/>
          <w:iCs/>
          <w:color w:val="000000"/>
          <w:sz w:val="24"/>
          <w:szCs w:val="24"/>
        </w:rPr>
      </w:pPr>
    </w:p>
    <w:p w14:paraId="52E759AE" w14:textId="08F5942D" w:rsidR="00152020" w:rsidRPr="00DB28D9" w:rsidRDefault="00152020" w:rsidP="00A561DB">
      <w:pPr>
        <w:pStyle w:val="Textoembloco"/>
        <w:shd w:val="clear" w:color="auto" w:fill="FFFFFF"/>
        <w:tabs>
          <w:tab w:val="clear" w:pos="6804"/>
        </w:tabs>
        <w:spacing w:after="0" w:line="240" w:lineRule="auto"/>
        <w:ind w:left="567" w:hanging="567"/>
        <w:jc w:val="both"/>
        <w:rPr>
          <w:color w:val="FF0000"/>
          <w:sz w:val="24"/>
          <w:lang w:val="pt-BR"/>
        </w:rPr>
      </w:pPr>
      <w:r w:rsidRPr="00DB28D9">
        <w:rPr>
          <w:color w:val="000000"/>
          <w:sz w:val="24"/>
          <w:lang w:val="pt-BR"/>
        </w:rPr>
        <w:t>4</w:t>
      </w:r>
      <w:r w:rsidR="009C6B34" w:rsidRPr="00DB28D9">
        <w:rPr>
          <w:color w:val="000000"/>
          <w:sz w:val="24"/>
          <w:lang w:val="pt-BR"/>
        </w:rPr>
        <w:t>.</w:t>
      </w:r>
      <w:r w:rsidRPr="00DB28D9">
        <w:rPr>
          <w:color w:val="000000"/>
          <w:sz w:val="24"/>
          <w:lang w:val="pt-BR"/>
        </w:rPr>
        <w:tab/>
      </w:r>
      <w:r w:rsidRPr="00DB28D9">
        <w:rPr>
          <w:sz w:val="24"/>
          <w:lang w:val="pt-BR"/>
        </w:rPr>
        <w:t>Esta Norma deve ser aplicada aos contratos de compra ou venda de item não financeiro que possa ser liquidado pelo seu valor líquido em caixa ou com outro instrumento financeiro, ou pela troca de instrumentos financeiros, como se os contratos fossem instrumentos financeiros, com exceção dos c</w:t>
      </w:r>
      <w:r w:rsidR="00421FEA" w:rsidRPr="00DB28D9">
        <w:rPr>
          <w:sz w:val="24"/>
          <w:lang w:val="pt-BR"/>
        </w:rPr>
        <w:t>ontratos que foram celebrados e</w:t>
      </w:r>
      <w:r w:rsidRPr="00DB28D9">
        <w:rPr>
          <w:sz w:val="24"/>
          <w:lang w:val="pt-BR"/>
        </w:rPr>
        <w:t xml:space="preserve"> são mantidos com a finalidade de recebimento ou entrega de item não financeiro, de acordo com a expectativa da entidade na compra, venda ou exigências de uso. Entretanto, esta norma deve ser aplicada àqueles contratos que a entidade designa como mensurados ao valor justo por meio do resultado, de acordo com o item 6 da NBC TSP 31.</w:t>
      </w:r>
    </w:p>
    <w:p w14:paraId="1068432D" w14:textId="77777777" w:rsidR="00152020" w:rsidRPr="00DB28D9" w:rsidRDefault="00152020" w:rsidP="003B4208">
      <w:pPr>
        <w:pStyle w:val="Textoembloco"/>
        <w:shd w:val="clear" w:color="auto" w:fill="FFFFFF"/>
        <w:spacing w:after="0" w:line="240" w:lineRule="auto"/>
        <w:ind w:left="33"/>
        <w:jc w:val="both"/>
        <w:rPr>
          <w:color w:val="FF0000"/>
          <w:sz w:val="24"/>
          <w:lang w:val="pt-BR"/>
        </w:rPr>
      </w:pPr>
    </w:p>
    <w:p w14:paraId="0AE5DC75" w14:textId="63BBA2F0" w:rsidR="00152020" w:rsidRPr="00DB28D9" w:rsidRDefault="00152020" w:rsidP="003B4208">
      <w:pPr>
        <w:pStyle w:val="Textoembloco"/>
        <w:shd w:val="clear" w:color="auto" w:fill="FFFFFF"/>
        <w:tabs>
          <w:tab w:val="clear" w:pos="6804"/>
        </w:tabs>
        <w:spacing w:after="0" w:line="240" w:lineRule="auto"/>
        <w:ind w:left="33" w:firstLine="0"/>
        <w:jc w:val="both"/>
        <w:rPr>
          <w:b/>
          <w:color w:val="FF0000"/>
          <w:sz w:val="24"/>
          <w:lang w:val="pt-BR"/>
        </w:rPr>
      </w:pPr>
    </w:p>
    <w:p w14:paraId="2F473671" w14:textId="2F906832" w:rsidR="00152020" w:rsidRPr="00DB28D9" w:rsidRDefault="00152020" w:rsidP="00A561DB">
      <w:pPr>
        <w:pStyle w:val="Textoembloco"/>
        <w:shd w:val="clear" w:color="auto" w:fill="FFFFFF"/>
        <w:spacing w:before="0" w:after="0" w:line="240" w:lineRule="auto"/>
        <w:ind w:left="567" w:hanging="534"/>
        <w:jc w:val="both"/>
        <w:rPr>
          <w:color w:val="000000"/>
          <w:sz w:val="24"/>
          <w:lang w:val="pt-BR"/>
        </w:rPr>
      </w:pPr>
      <w:r w:rsidRPr="00DB28D9">
        <w:rPr>
          <w:sz w:val="24"/>
          <w:lang w:val="pt-BR"/>
        </w:rPr>
        <w:t>5</w:t>
      </w:r>
      <w:r w:rsidRPr="00DB28D9">
        <w:rPr>
          <w:color w:val="000000"/>
          <w:sz w:val="24"/>
          <w:lang w:val="pt-BR"/>
        </w:rPr>
        <w:t xml:space="preserve">. </w:t>
      </w:r>
      <w:r w:rsidR="00A561DB" w:rsidRPr="00DB28D9">
        <w:rPr>
          <w:color w:val="000000"/>
          <w:sz w:val="24"/>
          <w:lang w:val="pt-BR"/>
        </w:rPr>
        <w:tab/>
      </w:r>
      <w:r w:rsidRPr="00DB28D9">
        <w:rPr>
          <w:color w:val="000000"/>
          <w:sz w:val="24"/>
          <w:lang w:val="pt-BR"/>
        </w:rPr>
        <w:t>Há diversas maneiras pelas quais o contrato para compra ou venda de item não financeiro pode ser liquidado pelo seu valor líquido em caixa, outro instrumento financeiro ou pela troca de instrumentos financeiros. Elas incluem:</w:t>
      </w:r>
    </w:p>
    <w:p w14:paraId="5A0060E5" w14:textId="4402FBE6" w:rsidR="00152020" w:rsidRPr="00DA4C02" w:rsidRDefault="00152020" w:rsidP="00A561DB">
      <w:pPr>
        <w:widowControl w:val="0"/>
        <w:spacing w:after="0"/>
        <w:ind w:left="1134" w:hanging="567"/>
        <w:jc w:val="both"/>
        <w:rPr>
          <w:rFonts w:ascii="Arial" w:hAnsi="Arial" w:cs="Arial"/>
          <w:bCs/>
          <w:iCs/>
          <w:color w:val="000000"/>
          <w:sz w:val="24"/>
          <w:szCs w:val="24"/>
        </w:rPr>
      </w:pPr>
      <w:r w:rsidRPr="00DB28D9">
        <w:rPr>
          <w:rFonts w:ascii="Arial" w:hAnsi="Arial" w:cs="Arial"/>
          <w:bCs/>
          <w:iCs/>
          <w:sz w:val="24"/>
          <w:szCs w:val="24"/>
        </w:rPr>
        <w:t xml:space="preserve">(a) </w:t>
      </w:r>
      <w:r w:rsidR="00A561DB" w:rsidRPr="00DB28D9">
        <w:rPr>
          <w:rFonts w:ascii="Arial" w:hAnsi="Arial" w:cs="Arial"/>
          <w:bCs/>
          <w:iCs/>
          <w:sz w:val="24"/>
          <w:szCs w:val="24"/>
        </w:rPr>
        <w:tab/>
      </w:r>
      <w:r w:rsidRPr="00DB28D9">
        <w:rPr>
          <w:rFonts w:ascii="Arial" w:hAnsi="Arial" w:cs="Arial"/>
          <w:bCs/>
          <w:iCs/>
          <w:color w:val="000000"/>
          <w:sz w:val="24"/>
          <w:szCs w:val="24"/>
        </w:rPr>
        <w:t xml:space="preserve">quando os termos do contrato permitem que ambas as partes do contrato </w:t>
      </w:r>
      <w:r w:rsidRPr="00DA4C02">
        <w:rPr>
          <w:rFonts w:ascii="Arial" w:hAnsi="Arial" w:cs="Arial"/>
          <w:bCs/>
          <w:iCs/>
          <w:color w:val="000000"/>
          <w:sz w:val="24"/>
          <w:szCs w:val="24"/>
        </w:rPr>
        <w:t>liquidem-no pelo valor</w:t>
      </w:r>
      <w:r w:rsidRPr="00DB28D9">
        <w:rPr>
          <w:rFonts w:ascii="Arial" w:hAnsi="Arial" w:cs="Arial"/>
          <w:bCs/>
          <w:iCs/>
          <w:color w:val="000000"/>
          <w:sz w:val="24"/>
          <w:szCs w:val="24"/>
        </w:rPr>
        <w:t xml:space="preserve"> líquido em caixa, outro instrumento financeiro ou pela troca de instrumentos financeiros;</w:t>
      </w:r>
    </w:p>
    <w:p w14:paraId="5B9214D8" w14:textId="41867F58" w:rsidR="00152020" w:rsidRPr="00DB28D9" w:rsidRDefault="00152020" w:rsidP="00A561DB">
      <w:pPr>
        <w:widowControl w:val="0"/>
        <w:spacing w:after="0"/>
        <w:ind w:left="1134" w:hanging="567"/>
        <w:jc w:val="both"/>
        <w:rPr>
          <w:rFonts w:ascii="Arial" w:hAnsi="Arial" w:cs="Arial"/>
          <w:bCs/>
          <w:iCs/>
          <w:color w:val="000000"/>
          <w:sz w:val="24"/>
          <w:szCs w:val="24"/>
        </w:rPr>
      </w:pPr>
      <w:r w:rsidRPr="00DB28D9">
        <w:rPr>
          <w:rFonts w:ascii="Arial" w:hAnsi="Arial" w:cs="Arial"/>
          <w:bCs/>
          <w:iCs/>
          <w:sz w:val="24"/>
          <w:szCs w:val="24"/>
        </w:rPr>
        <w:t xml:space="preserve">(b) </w:t>
      </w:r>
      <w:r w:rsidR="00A561DB" w:rsidRPr="00DB28D9">
        <w:rPr>
          <w:rFonts w:ascii="Arial" w:hAnsi="Arial" w:cs="Arial"/>
          <w:bCs/>
          <w:iCs/>
          <w:sz w:val="24"/>
          <w:szCs w:val="24"/>
        </w:rPr>
        <w:tab/>
      </w:r>
      <w:r w:rsidRPr="00DB28D9">
        <w:rPr>
          <w:rFonts w:ascii="Arial" w:hAnsi="Arial" w:cs="Arial"/>
          <w:bCs/>
          <w:iCs/>
          <w:sz w:val="24"/>
          <w:szCs w:val="24"/>
        </w:rPr>
        <w:t xml:space="preserve">quando a capacidade de liquidar pelo valor líquido </w:t>
      </w:r>
      <w:r w:rsidRPr="00DB28D9">
        <w:rPr>
          <w:rFonts w:ascii="Arial" w:hAnsi="Arial" w:cs="Arial"/>
          <w:bCs/>
          <w:iCs/>
          <w:color w:val="000000"/>
          <w:sz w:val="24"/>
          <w:szCs w:val="24"/>
        </w:rPr>
        <w:t>em caixa ou outro instrumento financeiro, ou pela troca de instrumentos financeiros, não está explícita nos termos do contrato, porém a entidade tem a prática de liquidar contratos semelhantes em caixa ou outro instrumento financeiro, ou pela troca de instrumentos financeiros (seja com a contraparte, celebrando contratos de compensação ou vendendo o contrato antes do seu exercício ou prescrição);</w:t>
      </w:r>
    </w:p>
    <w:p w14:paraId="0E3692A4" w14:textId="5FD0362C" w:rsidR="00152020" w:rsidRPr="00DB28D9" w:rsidRDefault="00152020" w:rsidP="00A561DB">
      <w:pPr>
        <w:widowControl w:val="0"/>
        <w:spacing w:after="0"/>
        <w:ind w:left="1134" w:hanging="567"/>
        <w:jc w:val="both"/>
        <w:rPr>
          <w:rFonts w:ascii="Arial" w:hAnsi="Arial" w:cs="Arial"/>
          <w:bCs/>
          <w:iCs/>
          <w:sz w:val="24"/>
          <w:szCs w:val="24"/>
        </w:rPr>
      </w:pPr>
      <w:r w:rsidRPr="00DB28D9">
        <w:rPr>
          <w:rFonts w:ascii="Arial" w:hAnsi="Arial" w:cs="Arial"/>
          <w:bCs/>
          <w:iCs/>
          <w:sz w:val="24"/>
          <w:szCs w:val="24"/>
        </w:rPr>
        <w:t xml:space="preserve">(c) </w:t>
      </w:r>
      <w:r w:rsidR="00A561DB" w:rsidRPr="00DB28D9">
        <w:rPr>
          <w:rFonts w:ascii="Arial" w:hAnsi="Arial" w:cs="Arial"/>
          <w:bCs/>
          <w:iCs/>
          <w:sz w:val="24"/>
          <w:szCs w:val="24"/>
        </w:rPr>
        <w:tab/>
      </w:r>
      <w:r w:rsidRPr="00DB28D9">
        <w:rPr>
          <w:rFonts w:ascii="Arial" w:hAnsi="Arial" w:cs="Arial"/>
          <w:bCs/>
          <w:iCs/>
          <w:sz w:val="24"/>
          <w:szCs w:val="24"/>
        </w:rPr>
        <w:t>quando, para contratos similares, a entidade tenha a prática de aceitar a entrega do item subjacente e vendê-lo em curto período após a entrega com o propósito de obter resultado de curto prazo pelas flutuações no preço ou margem do negociante; e</w:t>
      </w:r>
    </w:p>
    <w:p w14:paraId="5EA44DD5" w14:textId="51BB22B4" w:rsidR="00152020" w:rsidRPr="00DB28D9" w:rsidRDefault="00152020" w:rsidP="00A561DB">
      <w:pPr>
        <w:widowControl w:val="0"/>
        <w:spacing w:after="0"/>
        <w:ind w:left="1134" w:hanging="567"/>
        <w:jc w:val="both"/>
        <w:rPr>
          <w:rFonts w:ascii="Arial" w:hAnsi="Arial" w:cs="Arial"/>
          <w:bCs/>
          <w:iCs/>
          <w:color w:val="000000"/>
          <w:sz w:val="24"/>
          <w:szCs w:val="24"/>
        </w:rPr>
      </w:pPr>
      <w:r w:rsidRPr="00DB28D9">
        <w:rPr>
          <w:rFonts w:ascii="Arial" w:hAnsi="Arial" w:cs="Arial"/>
          <w:bCs/>
          <w:iCs/>
          <w:color w:val="000000"/>
          <w:sz w:val="24"/>
          <w:szCs w:val="24"/>
        </w:rPr>
        <w:t xml:space="preserve">(d) </w:t>
      </w:r>
      <w:r w:rsidR="00A561DB" w:rsidRPr="00DB28D9">
        <w:rPr>
          <w:rFonts w:ascii="Arial" w:hAnsi="Arial" w:cs="Arial"/>
          <w:bCs/>
          <w:iCs/>
          <w:color w:val="000000"/>
          <w:sz w:val="24"/>
          <w:szCs w:val="24"/>
        </w:rPr>
        <w:tab/>
      </w:r>
      <w:r w:rsidRPr="00DB28D9">
        <w:rPr>
          <w:rFonts w:ascii="Arial" w:hAnsi="Arial" w:cs="Arial"/>
          <w:bCs/>
          <w:iCs/>
          <w:color w:val="000000"/>
          <w:sz w:val="24"/>
          <w:szCs w:val="24"/>
        </w:rPr>
        <w:t>quando o item não financeiro, que é objeto do contrato, é prontamente conversível em caixa.</w:t>
      </w:r>
    </w:p>
    <w:p w14:paraId="52A8E011" w14:textId="19BE12CE" w:rsidR="00152020" w:rsidRPr="00DB28D9" w:rsidRDefault="00152020" w:rsidP="00A561DB">
      <w:pPr>
        <w:pStyle w:val="Textoembloco"/>
        <w:tabs>
          <w:tab w:val="clear" w:pos="6804"/>
        </w:tabs>
        <w:spacing w:before="0" w:after="0" w:line="240" w:lineRule="auto"/>
        <w:ind w:left="567" w:firstLine="0"/>
        <w:jc w:val="both"/>
        <w:rPr>
          <w:color w:val="000000"/>
          <w:sz w:val="24"/>
          <w:lang w:val="pt-BR"/>
        </w:rPr>
      </w:pPr>
      <w:r w:rsidRPr="00DB28D9">
        <w:rPr>
          <w:color w:val="000000"/>
          <w:sz w:val="24"/>
          <w:lang w:val="pt-BR"/>
        </w:rPr>
        <w:t>O contrato no qual (b</w:t>
      </w:r>
      <w:r w:rsidR="00421FEA" w:rsidRPr="00DB28D9">
        <w:rPr>
          <w:color w:val="000000"/>
          <w:sz w:val="24"/>
          <w:lang w:val="pt-BR"/>
        </w:rPr>
        <w:t>)</w:t>
      </w:r>
      <w:r w:rsidRPr="00DB28D9">
        <w:rPr>
          <w:color w:val="000000"/>
          <w:sz w:val="24"/>
          <w:lang w:val="pt-BR"/>
        </w:rPr>
        <w:t xml:space="preserve"> ou (c) se aplica não é celebrado com o propósito de receber ou entregar item não financeiro, de acordo com os requisitos de compra, venda ou uso esperados pela entidade, e, portanto, está dentro do alcance desta Norma. Outros contratos, aos quais o item 4 é aplicável, devem ser avaliados para determinar se eles foram celebrados e são mantidos com o propósito de receber ou entregar </w:t>
      </w:r>
      <w:r w:rsidRPr="00DB28D9">
        <w:rPr>
          <w:color w:val="000000"/>
          <w:sz w:val="24"/>
          <w:lang w:val="pt-BR"/>
        </w:rPr>
        <w:lastRenderedPageBreak/>
        <w:t>itens não financeiros, de acordo com a expectativa de compra, venda ou uso e, conforme o caso, se eles estão dentro do alcance desta Norma.</w:t>
      </w:r>
    </w:p>
    <w:p w14:paraId="51A3F201" w14:textId="77777777" w:rsidR="009C6B34" w:rsidRPr="00DB28D9" w:rsidRDefault="009C6B34" w:rsidP="009C6B34">
      <w:pPr>
        <w:pStyle w:val="Textoembloco"/>
        <w:tabs>
          <w:tab w:val="clear" w:pos="6804"/>
        </w:tabs>
        <w:spacing w:after="0" w:line="240" w:lineRule="auto"/>
        <w:ind w:left="0" w:firstLine="0"/>
        <w:jc w:val="both"/>
        <w:rPr>
          <w:color w:val="000000"/>
          <w:sz w:val="24"/>
          <w:lang w:val="pt-BR"/>
        </w:rPr>
      </w:pPr>
    </w:p>
    <w:p w14:paraId="33A8E051" w14:textId="1B4A1D86" w:rsidR="00152020" w:rsidRPr="00DB28D9" w:rsidRDefault="00152020" w:rsidP="00A561DB">
      <w:pPr>
        <w:pStyle w:val="Textoembloco"/>
        <w:shd w:val="clear" w:color="auto" w:fill="FFFFFF"/>
        <w:tabs>
          <w:tab w:val="clear" w:pos="6804"/>
        </w:tabs>
        <w:spacing w:before="0" w:after="0" w:line="240" w:lineRule="auto"/>
        <w:ind w:left="567" w:hanging="567"/>
        <w:jc w:val="both"/>
        <w:rPr>
          <w:color w:val="000000"/>
          <w:sz w:val="24"/>
          <w:lang w:val="pt-BR"/>
        </w:rPr>
      </w:pPr>
      <w:r w:rsidRPr="00DB28D9">
        <w:rPr>
          <w:sz w:val="24"/>
          <w:lang w:val="pt-BR"/>
        </w:rPr>
        <w:t>6</w:t>
      </w:r>
      <w:r w:rsidR="009C6B34" w:rsidRPr="00DB28D9">
        <w:rPr>
          <w:sz w:val="24"/>
          <w:lang w:val="pt-BR"/>
        </w:rPr>
        <w:t>.</w:t>
      </w:r>
      <w:r w:rsidRPr="00DB28D9">
        <w:rPr>
          <w:color w:val="000000"/>
          <w:sz w:val="24"/>
          <w:lang w:val="pt-BR"/>
        </w:rPr>
        <w:tab/>
        <w:t>A opção lançada de compra ou venda de item não financeiro que pode ser liquidada pelo valor líquido em caixa ou por outro instrumento financeiro, ou pela troca de instrumentos financeiros, de acordo com o item 5 (a) ou (d), encontra-se dentro do alcance desta Norma. Esse contrato não pode ser celebrado com o propósito de entrega ou recebimento dos itens não financeiros, de acordo com os requisitos de compra, venda ou uso.</w:t>
      </w:r>
    </w:p>
    <w:p w14:paraId="176DA7FC" w14:textId="77777777" w:rsidR="00152020" w:rsidRPr="00DB28D9" w:rsidRDefault="00152020" w:rsidP="00A561DB">
      <w:pPr>
        <w:pStyle w:val="Textoembloco"/>
        <w:shd w:val="clear" w:color="auto" w:fill="FFFFFF"/>
        <w:tabs>
          <w:tab w:val="clear" w:pos="6804"/>
        </w:tabs>
        <w:spacing w:before="0" w:after="0" w:line="240" w:lineRule="auto"/>
        <w:ind w:left="0" w:firstLine="0"/>
        <w:jc w:val="both"/>
        <w:rPr>
          <w:color w:val="000000"/>
          <w:sz w:val="24"/>
          <w:lang w:val="pt-BR"/>
        </w:rPr>
      </w:pPr>
    </w:p>
    <w:p w14:paraId="70B24BBB" w14:textId="055B4E50" w:rsidR="00152020" w:rsidRPr="00DB28D9" w:rsidRDefault="00152020" w:rsidP="00A561DB">
      <w:pPr>
        <w:pStyle w:val="Textoembloco"/>
        <w:shd w:val="clear" w:color="auto" w:fill="FFFFFF"/>
        <w:tabs>
          <w:tab w:val="clear" w:pos="6804"/>
        </w:tabs>
        <w:spacing w:before="0" w:after="0" w:line="240" w:lineRule="auto"/>
        <w:ind w:left="33" w:firstLine="0"/>
        <w:jc w:val="both"/>
        <w:rPr>
          <w:bCs/>
          <w:sz w:val="24"/>
          <w:lang w:val="pt-BR"/>
        </w:rPr>
      </w:pPr>
      <w:r w:rsidRPr="00DB28D9">
        <w:rPr>
          <w:bCs/>
          <w:sz w:val="24"/>
          <w:lang w:val="pt-BR"/>
        </w:rPr>
        <w:t>7</w:t>
      </w:r>
      <w:r w:rsidR="00E027B0" w:rsidRPr="00DB28D9">
        <w:rPr>
          <w:bCs/>
          <w:sz w:val="24"/>
          <w:lang w:val="pt-BR"/>
        </w:rPr>
        <w:t xml:space="preserve"> a</w:t>
      </w:r>
      <w:r w:rsidR="009C6B34" w:rsidRPr="00DB28D9">
        <w:rPr>
          <w:bCs/>
          <w:sz w:val="24"/>
          <w:lang w:val="pt-BR"/>
        </w:rPr>
        <w:t>o</w:t>
      </w:r>
      <w:r w:rsidR="00E027B0" w:rsidRPr="00DB28D9">
        <w:rPr>
          <w:bCs/>
          <w:sz w:val="24"/>
          <w:lang w:val="pt-BR"/>
        </w:rPr>
        <w:t xml:space="preserve"> 8</w:t>
      </w:r>
      <w:r w:rsidR="009C6B34" w:rsidRPr="00DB28D9">
        <w:rPr>
          <w:bCs/>
          <w:sz w:val="24"/>
          <w:lang w:val="pt-BR"/>
        </w:rPr>
        <w:t>.</w:t>
      </w:r>
      <w:r w:rsidR="00E027B0" w:rsidRPr="00DB28D9">
        <w:rPr>
          <w:bCs/>
          <w:sz w:val="24"/>
          <w:lang w:val="pt-BR"/>
        </w:rPr>
        <w:t xml:space="preserve"> </w:t>
      </w:r>
      <w:r w:rsidRPr="00DB28D9">
        <w:rPr>
          <w:bCs/>
          <w:sz w:val="24"/>
          <w:lang w:val="pt-BR"/>
        </w:rPr>
        <w:t>Eliminado</w:t>
      </w:r>
      <w:r w:rsidR="00E027B0" w:rsidRPr="00DB28D9">
        <w:rPr>
          <w:bCs/>
          <w:sz w:val="24"/>
          <w:lang w:val="pt-BR"/>
        </w:rPr>
        <w:t>s</w:t>
      </w:r>
      <w:r w:rsidR="009C6B34" w:rsidRPr="00DB28D9">
        <w:rPr>
          <w:bCs/>
          <w:sz w:val="24"/>
          <w:lang w:val="pt-BR"/>
        </w:rPr>
        <w:t>.</w:t>
      </w:r>
    </w:p>
    <w:p w14:paraId="0902C917" w14:textId="77777777" w:rsidR="00152020" w:rsidRPr="00DB28D9" w:rsidRDefault="00152020" w:rsidP="00A561DB">
      <w:pPr>
        <w:pStyle w:val="Textoembloco"/>
        <w:shd w:val="clear" w:color="auto" w:fill="FFFFFF"/>
        <w:tabs>
          <w:tab w:val="clear" w:pos="6804"/>
        </w:tabs>
        <w:spacing w:before="0" w:after="0" w:line="240" w:lineRule="auto"/>
        <w:ind w:left="33" w:firstLine="0"/>
        <w:jc w:val="both"/>
        <w:rPr>
          <w:b/>
          <w:sz w:val="24"/>
          <w:lang w:val="pt-BR"/>
        </w:rPr>
      </w:pPr>
    </w:p>
    <w:p w14:paraId="1E1A30DA" w14:textId="132F42BD" w:rsidR="00152020" w:rsidRPr="00DB28D9" w:rsidRDefault="00152020" w:rsidP="00A561DB">
      <w:pPr>
        <w:autoSpaceDE w:val="0"/>
        <w:autoSpaceDN w:val="0"/>
        <w:adjustRightInd w:val="0"/>
        <w:spacing w:after="0"/>
        <w:jc w:val="both"/>
        <w:rPr>
          <w:rFonts w:ascii="Arial" w:hAnsi="Arial" w:cs="Arial"/>
          <w:bCs/>
          <w:sz w:val="24"/>
          <w:szCs w:val="24"/>
        </w:rPr>
      </w:pPr>
      <w:r w:rsidRPr="00DB28D9">
        <w:rPr>
          <w:rFonts w:ascii="Arial" w:hAnsi="Arial" w:cs="Arial"/>
          <w:bCs/>
          <w:sz w:val="24"/>
          <w:szCs w:val="24"/>
        </w:rPr>
        <w:t>Definições</w:t>
      </w:r>
    </w:p>
    <w:p w14:paraId="171FFCFE" w14:textId="77777777" w:rsidR="00A561DB" w:rsidRPr="00DB28D9" w:rsidRDefault="00A561DB" w:rsidP="00A561DB">
      <w:pPr>
        <w:autoSpaceDE w:val="0"/>
        <w:autoSpaceDN w:val="0"/>
        <w:adjustRightInd w:val="0"/>
        <w:spacing w:after="0"/>
        <w:jc w:val="both"/>
        <w:rPr>
          <w:rFonts w:ascii="Arial" w:hAnsi="Arial" w:cs="Arial"/>
          <w:bCs/>
          <w:sz w:val="24"/>
          <w:szCs w:val="24"/>
        </w:rPr>
      </w:pPr>
    </w:p>
    <w:p w14:paraId="6DD0DE7B" w14:textId="11EC387C" w:rsidR="00152020" w:rsidRPr="00DB28D9" w:rsidRDefault="00152020" w:rsidP="00A561DB">
      <w:pPr>
        <w:autoSpaceDE w:val="0"/>
        <w:autoSpaceDN w:val="0"/>
        <w:adjustRightInd w:val="0"/>
        <w:ind w:left="567" w:hanging="567"/>
        <w:jc w:val="both"/>
        <w:rPr>
          <w:rFonts w:ascii="Arial" w:hAnsi="Arial" w:cs="Arial"/>
          <w:bCs/>
          <w:sz w:val="24"/>
          <w:szCs w:val="24"/>
        </w:rPr>
      </w:pPr>
      <w:r w:rsidRPr="00DB28D9">
        <w:rPr>
          <w:rFonts w:ascii="Arial" w:hAnsi="Arial" w:cs="Arial"/>
          <w:bCs/>
          <w:iCs/>
          <w:sz w:val="24"/>
          <w:szCs w:val="24"/>
        </w:rPr>
        <w:t>9</w:t>
      </w:r>
      <w:r w:rsidR="009C6B34" w:rsidRPr="00DB28D9">
        <w:rPr>
          <w:rFonts w:ascii="Arial" w:hAnsi="Arial" w:cs="Arial"/>
          <w:bCs/>
          <w:iCs/>
          <w:sz w:val="24"/>
          <w:szCs w:val="24"/>
        </w:rPr>
        <w:t>.</w:t>
      </w:r>
      <w:r w:rsidRPr="00DB28D9">
        <w:rPr>
          <w:rFonts w:ascii="Arial" w:hAnsi="Arial" w:cs="Arial"/>
          <w:bCs/>
          <w:iCs/>
          <w:sz w:val="24"/>
          <w:szCs w:val="24"/>
        </w:rPr>
        <w:t xml:space="preserve"> </w:t>
      </w:r>
      <w:r w:rsidR="00A561DB" w:rsidRPr="00DB28D9">
        <w:rPr>
          <w:rFonts w:ascii="Arial" w:hAnsi="Arial" w:cs="Arial"/>
          <w:bCs/>
          <w:iCs/>
          <w:sz w:val="24"/>
          <w:szCs w:val="24"/>
        </w:rPr>
        <w:tab/>
      </w:r>
      <w:r w:rsidRPr="00DB28D9">
        <w:rPr>
          <w:rFonts w:ascii="Arial" w:hAnsi="Arial" w:cs="Arial"/>
          <w:bCs/>
          <w:iCs/>
          <w:sz w:val="24"/>
          <w:szCs w:val="24"/>
        </w:rPr>
        <w:t xml:space="preserve">Os termos a seguir são utilizados nesta </w:t>
      </w:r>
      <w:r w:rsidR="009A2326" w:rsidRPr="00DB28D9">
        <w:rPr>
          <w:rFonts w:ascii="Arial" w:hAnsi="Arial" w:cs="Arial"/>
          <w:bCs/>
          <w:iCs/>
          <w:sz w:val="24"/>
          <w:szCs w:val="24"/>
        </w:rPr>
        <w:t>N</w:t>
      </w:r>
      <w:r w:rsidRPr="00DB28D9">
        <w:rPr>
          <w:rFonts w:ascii="Arial" w:hAnsi="Arial" w:cs="Arial"/>
          <w:bCs/>
          <w:iCs/>
          <w:sz w:val="24"/>
          <w:szCs w:val="24"/>
        </w:rPr>
        <w:t>orma com os seguintes significados:</w:t>
      </w:r>
    </w:p>
    <w:p w14:paraId="0189F9BC" w14:textId="04EEC311" w:rsidR="00152020" w:rsidRPr="00DB28D9" w:rsidRDefault="00152020" w:rsidP="00A561DB">
      <w:pPr>
        <w:pStyle w:val="Textoembloco"/>
        <w:spacing w:before="0" w:after="0" w:line="240" w:lineRule="auto"/>
        <w:ind w:left="567" w:firstLine="0"/>
        <w:jc w:val="both"/>
        <w:rPr>
          <w:bCs/>
          <w:color w:val="000000"/>
          <w:sz w:val="24"/>
          <w:lang w:val="pt-BR"/>
        </w:rPr>
      </w:pPr>
      <w:r w:rsidRPr="00DB28D9">
        <w:rPr>
          <w:bCs/>
          <w:color w:val="000000"/>
          <w:sz w:val="24"/>
          <w:u w:val="single"/>
          <w:lang w:val="pt-BR"/>
        </w:rPr>
        <w:t>Instrumento patrimonial</w:t>
      </w:r>
      <w:r w:rsidRPr="00DB28D9">
        <w:rPr>
          <w:bCs/>
          <w:i/>
          <w:color w:val="000000"/>
          <w:sz w:val="24"/>
          <w:lang w:val="pt-BR"/>
        </w:rPr>
        <w:t xml:space="preserve"> </w:t>
      </w:r>
      <w:r w:rsidRPr="00DB28D9">
        <w:rPr>
          <w:bCs/>
          <w:color w:val="000000"/>
          <w:sz w:val="24"/>
          <w:lang w:val="pt-BR"/>
        </w:rPr>
        <w:t>é qualquer contrato que evidencie uma participação residual nos ativos da entidade após a dedução de todos os seus passivos.</w:t>
      </w:r>
    </w:p>
    <w:p w14:paraId="0FD44BAF" w14:textId="77777777" w:rsidR="009C6B34" w:rsidRPr="00DB28D9" w:rsidRDefault="009C6B34" w:rsidP="00A561DB">
      <w:pPr>
        <w:pStyle w:val="Textoembloco"/>
        <w:spacing w:before="0" w:after="0" w:line="240" w:lineRule="auto"/>
        <w:ind w:left="567" w:firstLine="0"/>
        <w:jc w:val="both"/>
        <w:rPr>
          <w:bCs/>
          <w:color w:val="000000"/>
          <w:sz w:val="24"/>
          <w:lang w:val="pt-BR"/>
        </w:rPr>
      </w:pPr>
    </w:p>
    <w:p w14:paraId="253E420B" w14:textId="77777777" w:rsidR="00152020" w:rsidRPr="00DA4C02" w:rsidRDefault="00152020" w:rsidP="00A561DB">
      <w:pPr>
        <w:tabs>
          <w:tab w:val="left" w:pos="567"/>
        </w:tabs>
        <w:spacing w:after="0"/>
        <w:ind w:left="567"/>
        <w:jc w:val="both"/>
        <w:rPr>
          <w:rFonts w:ascii="Arial" w:hAnsi="Arial" w:cs="Arial"/>
          <w:bCs/>
          <w:sz w:val="24"/>
          <w:szCs w:val="24"/>
        </w:rPr>
      </w:pPr>
      <w:r w:rsidRPr="00DB28D9">
        <w:rPr>
          <w:rFonts w:ascii="Arial" w:hAnsi="Arial" w:cs="Arial"/>
          <w:bCs/>
          <w:sz w:val="24"/>
          <w:szCs w:val="24"/>
          <w:u w:val="single"/>
        </w:rPr>
        <w:t>Instrumento financeiro</w:t>
      </w:r>
      <w:r w:rsidRPr="00DB28D9">
        <w:rPr>
          <w:rFonts w:ascii="Arial" w:hAnsi="Arial" w:cs="Arial"/>
          <w:bCs/>
          <w:sz w:val="24"/>
          <w:szCs w:val="24"/>
        </w:rPr>
        <w:t xml:space="preserve"> </w:t>
      </w:r>
      <w:r w:rsidRPr="00DB28D9">
        <w:rPr>
          <w:rStyle w:val="Refdenotaderodap"/>
          <w:rFonts w:ascii="Arial" w:hAnsi="Arial" w:cs="Arial"/>
          <w:bCs/>
          <w:sz w:val="24"/>
          <w:szCs w:val="24"/>
        </w:rPr>
        <w:footnoteReference w:id="3"/>
      </w:r>
      <w:r w:rsidRPr="00DB28D9">
        <w:rPr>
          <w:rFonts w:ascii="Arial" w:hAnsi="Arial" w:cs="Arial"/>
          <w:bCs/>
          <w:sz w:val="24"/>
          <w:szCs w:val="24"/>
        </w:rPr>
        <w:t xml:space="preserve">é qualquer contrato que dê origem a um ativo financeiro para a entidade e a um passivo financeiro ou instrumento patrimonial para outra entidade. </w:t>
      </w:r>
    </w:p>
    <w:p w14:paraId="607861EF" w14:textId="77777777" w:rsidR="00152020" w:rsidRPr="00DB28D9" w:rsidRDefault="00152020" w:rsidP="00A561DB">
      <w:pPr>
        <w:pStyle w:val="Textoembloco"/>
        <w:tabs>
          <w:tab w:val="clear" w:pos="6804"/>
        </w:tabs>
        <w:spacing w:before="0" w:after="0" w:line="240" w:lineRule="auto"/>
        <w:ind w:left="567" w:firstLine="0"/>
        <w:jc w:val="both"/>
        <w:rPr>
          <w:bCs/>
          <w:sz w:val="24"/>
          <w:lang w:val="pt-BR"/>
        </w:rPr>
      </w:pPr>
      <w:r w:rsidRPr="00DB28D9">
        <w:rPr>
          <w:bCs/>
          <w:color w:val="000000"/>
          <w:sz w:val="24"/>
          <w:u w:val="single"/>
          <w:lang w:val="pt-BR"/>
        </w:rPr>
        <w:t>Ativo financeiro</w:t>
      </w:r>
      <w:r w:rsidRPr="00DB28D9">
        <w:rPr>
          <w:bCs/>
          <w:color w:val="000000"/>
          <w:sz w:val="24"/>
          <w:lang w:val="pt-BR"/>
        </w:rPr>
        <w:t xml:space="preserve"> é qualquer ativo que seja: </w:t>
      </w:r>
    </w:p>
    <w:p w14:paraId="0551ED2D" w14:textId="066F8608" w:rsidR="00152020" w:rsidRPr="00DB28D9" w:rsidRDefault="000B6A7C" w:rsidP="009A5282">
      <w:pPr>
        <w:pStyle w:val="PargrafodaLista"/>
        <w:widowControl w:val="0"/>
        <w:numPr>
          <w:ilvl w:val="0"/>
          <w:numId w:val="70"/>
        </w:numPr>
        <w:spacing w:after="0"/>
        <w:jc w:val="both"/>
        <w:rPr>
          <w:rFonts w:ascii="Arial" w:hAnsi="Arial" w:cs="Arial"/>
          <w:bCs/>
          <w:iCs/>
          <w:color w:val="000000"/>
          <w:sz w:val="24"/>
          <w:szCs w:val="24"/>
        </w:rPr>
      </w:pPr>
      <w:r w:rsidRPr="00DB28D9">
        <w:rPr>
          <w:rFonts w:ascii="Arial" w:hAnsi="Arial" w:cs="Arial"/>
          <w:bCs/>
          <w:iCs/>
          <w:color w:val="000000"/>
          <w:sz w:val="24"/>
          <w:szCs w:val="24"/>
        </w:rPr>
        <w:t xml:space="preserve"> </w:t>
      </w:r>
      <w:r w:rsidR="00152020" w:rsidRPr="00DB28D9">
        <w:rPr>
          <w:rFonts w:ascii="Arial" w:hAnsi="Arial" w:cs="Arial"/>
          <w:bCs/>
          <w:iCs/>
          <w:color w:val="000000"/>
          <w:sz w:val="24"/>
          <w:szCs w:val="24"/>
        </w:rPr>
        <w:t>caixa;</w:t>
      </w:r>
    </w:p>
    <w:p w14:paraId="33047CF6" w14:textId="195C5682" w:rsidR="00152020" w:rsidRPr="00DB28D9" w:rsidRDefault="00152020" w:rsidP="00A561DB">
      <w:pPr>
        <w:widowControl w:val="0"/>
        <w:spacing w:after="0"/>
        <w:ind w:left="851"/>
        <w:jc w:val="both"/>
        <w:rPr>
          <w:rFonts w:ascii="Arial" w:hAnsi="Arial" w:cs="Arial"/>
          <w:bCs/>
          <w:iCs/>
          <w:color w:val="000000"/>
          <w:sz w:val="24"/>
          <w:szCs w:val="24"/>
        </w:rPr>
      </w:pPr>
      <w:r w:rsidRPr="00DB28D9">
        <w:rPr>
          <w:rFonts w:ascii="Arial" w:hAnsi="Arial" w:cs="Arial"/>
          <w:bCs/>
          <w:iCs/>
          <w:color w:val="000000"/>
          <w:sz w:val="24"/>
          <w:szCs w:val="24"/>
        </w:rPr>
        <w:t xml:space="preserve">(b) </w:t>
      </w:r>
      <w:r w:rsidR="000B6A7C" w:rsidRPr="00DB28D9">
        <w:rPr>
          <w:rFonts w:ascii="Arial" w:hAnsi="Arial" w:cs="Arial"/>
          <w:bCs/>
          <w:iCs/>
          <w:color w:val="000000"/>
          <w:sz w:val="24"/>
          <w:szCs w:val="24"/>
        </w:rPr>
        <w:t xml:space="preserve"> </w:t>
      </w:r>
      <w:r w:rsidRPr="00DB28D9">
        <w:rPr>
          <w:rFonts w:ascii="Arial" w:hAnsi="Arial" w:cs="Arial"/>
          <w:bCs/>
          <w:iCs/>
          <w:color w:val="000000"/>
          <w:sz w:val="24"/>
          <w:szCs w:val="24"/>
        </w:rPr>
        <w:t>um instrumento patrimonial de outra entidade;</w:t>
      </w:r>
    </w:p>
    <w:p w14:paraId="4E3ACA40" w14:textId="732CD10A" w:rsidR="00152020" w:rsidRPr="00DB28D9" w:rsidRDefault="00152020" w:rsidP="009A5282">
      <w:pPr>
        <w:widowControl w:val="0"/>
        <w:spacing w:after="0"/>
        <w:ind w:left="851"/>
        <w:jc w:val="both"/>
        <w:rPr>
          <w:rFonts w:ascii="Arial" w:hAnsi="Arial" w:cs="Arial"/>
          <w:bCs/>
          <w:iCs/>
          <w:color w:val="000000"/>
          <w:sz w:val="24"/>
          <w:szCs w:val="24"/>
        </w:rPr>
      </w:pPr>
      <w:r w:rsidRPr="00DB28D9">
        <w:rPr>
          <w:rFonts w:ascii="Arial" w:hAnsi="Arial" w:cs="Arial"/>
          <w:bCs/>
          <w:iCs/>
          <w:color w:val="000000"/>
          <w:sz w:val="24"/>
          <w:szCs w:val="24"/>
        </w:rPr>
        <w:t xml:space="preserve">(c) </w:t>
      </w:r>
      <w:r w:rsidR="000B6A7C" w:rsidRPr="00DB28D9">
        <w:rPr>
          <w:rFonts w:ascii="Arial" w:hAnsi="Arial" w:cs="Arial"/>
          <w:bCs/>
          <w:iCs/>
          <w:color w:val="000000"/>
          <w:sz w:val="24"/>
          <w:szCs w:val="24"/>
        </w:rPr>
        <w:t xml:space="preserve"> </w:t>
      </w:r>
      <w:r w:rsidRPr="00DB28D9">
        <w:rPr>
          <w:rFonts w:ascii="Arial" w:hAnsi="Arial" w:cs="Arial"/>
          <w:bCs/>
          <w:iCs/>
          <w:color w:val="000000"/>
          <w:sz w:val="24"/>
          <w:szCs w:val="24"/>
        </w:rPr>
        <w:t xml:space="preserve">um direito contratual de: </w:t>
      </w:r>
    </w:p>
    <w:p w14:paraId="406DCDC5" w14:textId="1CC735CE" w:rsidR="00152020" w:rsidRPr="00DB28D9" w:rsidRDefault="00152020" w:rsidP="009A5282">
      <w:pPr>
        <w:pStyle w:val="PargrafodaLista"/>
        <w:widowControl w:val="0"/>
        <w:numPr>
          <w:ilvl w:val="0"/>
          <w:numId w:val="71"/>
        </w:numPr>
        <w:spacing w:after="0"/>
        <w:jc w:val="both"/>
        <w:rPr>
          <w:rFonts w:ascii="Arial" w:hAnsi="Arial" w:cs="Arial"/>
          <w:bCs/>
          <w:iCs/>
          <w:color w:val="000000"/>
          <w:sz w:val="24"/>
          <w:szCs w:val="24"/>
        </w:rPr>
      </w:pPr>
      <w:r w:rsidRPr="00DB28D9">
        <w:rPr>
          <w:rFonts w:ascii="Arial" w:hAnsi="Arial" w:cs="Arial"/>
          <w:bCs/>
          <w:iCs/>
          <w:color w:val="000000"/>
          <w:sz w:val="24"/>
          <w:szCs w:val="24"/>
        </w:rPr>
        <w:t>receber caixa ou outro ativo financeiro de outra entidade; ou</w:t>
      </w:r>
    </w:p>
    <w:p w14:paraId="4F7BD435" w14:textId="02D0B3D3" w:rsidR="00152020" w:rsidRPr="00DB28D9" w:rsidRDefault="00152020" w:rsidP="009A5282">
      <w:pPr>
        <w:widowControl w:val="0"/>
        <w:spacing w:after="0"/>
        <w:ind w:left="1418"/>
        <w:jc w:val="both"/>
        <w:rPr>
          <w:rFonts w:ascii="Arial" w:hAnsi="Arial" w:cs="Arial"/>
          <w:b/>
          <w:bCs/>
          <w:iCs/>
          <w:sz w:val="24"/>
          <w:szCs w:val="24"/>
        </w:rPr>
      </w:pPr>
      <w:r w:rsidRPr="00DB28D9">
        <w:rPr>
          <w:rFonts w:ascii="Arial" w:hAnsi="Arial" w:cs="Arial"/>
          <w:bCs/>
          <w:iCs/>
          <w:sz w:val="24"/>
          <w:szCs w:val="24"/>
        </w:rPr>
        <w:t>(</w:t>
      </w:r>
      <w:proofErr w:type="spellStart"/>
      <w:r w:rsidRPr="00DB28D9">
        <w:rPr>
          <w:rFonts w:ascii="Arial" w:hAnsi="Arial" w:cs="Arial"/>
          <w:bCs/>
          <w:iCs/>
          <w:sz w:val="24"/>
          <w:szCs w:val="24"/>
        </w:rPr>
        <w:t>ii</w:t>
      </w:r>
      <w:proofErr w:type="spellEnd"/>
      <w:r w:rsidRPr="00DB28D9">
        <w:rPr>
          <w:rFonts w:ascii="Arial" w:hAnsi="Arial" w:cs="Arial"/>
          <w:bCs/>
          <w:iCs/>
          <w:sz w:val="24"/>
          <w:szCs w:val="24"/>
        </w:rPr>
        <w:t>) trocar ativos financeiros ou passivos financeiros com outra entidade sob condições potencialmente favoráveis para a entidade; ou</w:t>
      </w:r>
    </w:p>
    <w:p w14:paraId="5C88E6B2" w14:textId="5A85ED52" w:rsidR="00152020" w:rsidRPr="00DB28D9" w:rsidRDefault="00152020" w:rsidP="000B6A7C">
      <w:pPr>
        <w:widowControl w:val="0"/>
        <w:spacing w:after="0"/>
        <w:ind w:left="1276" w:hanging="425"/>
        <w:jc w:val="both"/>
        <w:rPr>
          <w:rFonts w:ascii="Arial" w:hAnsi="Arial" w:cs="Arial"/>
          <w:iCs/>
          <w:sz w:val="24"/>
          <w:szCs w:val="24"/>
        </w:rPr>
      </w:pPr>
      <w:r w:rsidRPr="00DB28D9">
        <w:rPr>
          <w:rFonts w:ascii="Arial" w:hAnsi="Arial" w:cs="Arial"/>
          <w:iCs/>
          <w:sz w:val="24"/>
          <w:szCs w:val="24"/>
        </w:rPr>
        <w:t xml:space="preserve">(d) </w:t>
      </w:r>
      <w:r w:rsidR="000B6A7C" w:rsidRPr="00DB28D9">
        <w:rPr>
          <w:rFonts w:ascii="Arial" w:hAnsi="Arial" w:cs="Arial"/>
          <w:iCs/>
          <w:sz w:val="24"/>
          <w:szCs w:val="24"/>
        </w:rPr>
        <w:tab/>
      </w:r>
      <w:r w:rsidRPr="00DB28D9">
        <w:rPr>
          <w:rFonts w:ascii="Arial" w:hAnsi="Arial" w:cs="Arial"/>
          <w:iCs/>
          <w:sz w:val="24"/>
          <w:szCs w:val="24"/>
        </w:rPr>
        <w:t xml:space="preserve">um contrato que será ou poderá ser liquidado por instrumentos patrimoniais da própria entidade, e que seja: </w:t>
      </w:r>
    </w:p>
    <w:p w14:paraId="0B0714A8" w14:textId="54294E18" w:rsidR="00152020" w:rsidRPr="00DB28D9" w:rsidRDefault="00152020" w:rsidP="009A5282">
      <w:pPr>
        <w:widowControl w:val="0"/>
        <w:spacing w:after="0"/>
        <w:ind w:left="1418"/>
        <w:jc w:val="both"/>
        <w:rPr>
          <w:rFonts w:ascii="Arial" w:hAnsi="Arial" w:cs="Arial"/>
          <w:iCs/>
          <w:sz w:val="24"/>
          <w:szCs w:val="24"/>
        </w:rPr>
      </w:pPr>
      <w:r w:rsidRPr="00DB28D9">
        <w:rPr>
          <w:rFonts w:ascii="Arial" w:hAnsi="Arial" w:cs="Arial"/>
          <w:iCs/>
          <w:sz w:val="24"/>
          <w:szCs w:val="24"/>
        </w:rPr>
        <w:t>(i) um não derivativo no qual a entidade é ou pode ser obrigada a receber um número variável de instrumentos patrimoniais da própria entidade; ou</w:t>
      </w:r>
    </w:p>
    <w:p w14:paraId="29B02A47" w14:textId="368E2331" w:rsidR="00152020" w:rsidRPr="00DB28D9" w:rsidRDefault="00152020" w:rsidP="009A5282">
      <w:pPr>
        <w:widowControl w:val="0"/>
        <w:spacing w:after="0"/>
        <w:ind w:left="1418"/>
        <w:jc w:val="both"/>
        <w:rPr>
          <w:rFonts w:ascii="Arial" w:hAnsi="Arial" w:cs="Arial"/>
          <w:iCs/>
          <w:sz w:val="24"/>
          <w:szCs w:val="24"/>
        </w:rPr>
      </w:pPr>
      <w:r w:rsidRPr="00DB28D9">
        <w:rPr>
          <w:rFonts w:ascii="Arial" w:hAnsi="Arial" w:cs="Arial"/>
          <w:iCs/>
          <w:sz w:val="24"/>
          <w:szCs w:val="24"/>
        </w:rPr>
        <w:t>(</w:t>
      </w:r>
      <w:proofErr w:type="spellStart"/>
      <w:r w:rsidRPr="00DB28D9">
        <w:rPr>
          <w:rFonts w:ascii="Arial" w:hAnsi="Arial" w:cs="Arial"/>
          <w:iCs/>
          <w:sz w:val="24"/>
          <w:szCs w:val="24"/>
        </w:rPr>
        <w:t>ii</w:t>
      </w:r>
      <w:proofErr w:type="spellEnd"/>
      <w:r w:rsidRPr="00DB28D9">
        <w:rPr>
          <w:rFonts w:ascii="Arial" w:hAnsi="Arial" w:cs="Arial"/>
          <w:iCs/>
          <w:sz w:val="24"/>
          <w:szCs w:val="24"/>
        </w:rPr>
        <w:t xml:space="preserve">) um derivativo que será ou poderá ser liquidado de outra forma que não pela troca de um montante fixo de caixa ou outro ativo financeiro, por um número fixo de instrumentos patrimoniais da própria entidade. Para esta finalidade, os instrumentos patrimoniais da própria entidade não incluem os instrumentos financeiros com opção de venda classificados como instrumentos patrimoniais de acordo com os itens 15 e 16, os instrumentos que imponham à entidade a obrigação de entregar à outra parte uma participação </w:t>
      </w:r>
      <w:r w:rsidRPr="00DB28D9">
        <w:rPr>
          <w:rFonts w:ascii="Arial" w:hAnsi="Arial" w:cs="Arial"/>
          <w:i/>
          <w:iCs/>
          <w:sz w:val="24"/>
          <w:szCs w:val="24"/>
        </w:rPr>
        <w:t>pro rata</w:t>
      </w:r>
      <w:r w:rsidR="00421FEA" w:rsidRPr="00DB28D9">
        <w:rPr>
          <w:rFonts w:ascii="Arial" w:hAnsi="Arial" w:cs="Arial"/>
          <w:iCs/>
          <w:sz w:val="24"/>
          <w:szCs w:val="24"/>
        </w:rPr>
        <w:t xml:space="preserve"> dos</w:t>
      </w:r>
      <w:r w:rsidRPr="00DB28D9">
        <w:rPr>
          <w:rFonts w:ascii="Arial" w:hAnsi="Arial" w:cs="Arial"/>
          <w:iCs/>
          <w:sz w:val="24"/>
          <w:szCs w:val="24"/>
        </w:rPr>
        <w:t xml:space="preserve"> ativos líquidos da entidade apenas na sua liquidação e são classificados como instrumentos patrimoniais de acordo com os itens 17 e 18, ou os instrumentos que são contratos para futuro recebimento ou </w:t>
      </w:r>
      <w:r w:rsidRPr="00DB28D9">
        <w:rPr>
          <w:rFonts w:ascii="Arial" w:hAnsi="Arial" w:cs="Arial"/>
          <w:iCs/>
          <w:sz w:val="24"/>
          <w:szCs w:val="24"/>
        </w:rPr>
        <w:lastRenderedPageBreak/>
        <w:t>entrega de instrumentos patrimoniais da entidade.</w:t>
      </w:r>
    </w:p>
    <w:p w14:paraId="05E8D862" w14:textId="77777777" w:rsidR="009A5282" w:rsidRPr="00DB28D9" w:rsidRDefault="009A5282" w:rsidP="009A5282">
      <w:pPr>
        <w:widowControl w:val="0"/>
        <w:spacing w:after="0"/>
        <w:ind w:left="1418"/>
        <w:jc w:val="both"/>
        <w:rPr>
          <w:rFonts w:ascii="Arial" w:hAnsi="Arial" w:cs="Arial"/>
          <w:iCs/>
          <w:sz w:val="24"/>
          <w:szCs w:val="24"/>
        </w:rPr>
      </w:pPr>
    </w:p>
    <w:p w14:paraId="6652B6F0" w14:textId="433CEA3C" w:rsidR="00152020" w:rsidRPr="00DB28D9" w:rsidRDefault="00152020" w:rsidP="009A5282">
      <w:pPr>
        <w:pStyle w:val="Textoembloco"/>
        <w:tabs>
          <w:tab w:val="clear" w:pos="6804"/>
        </w:tabs>
        <w:spacing w:before="0" w:after="0" w:line="240" w:lineRule="auto"/>
        <w:ind w:left="567" w:firstLine="0"/>
        <w:jc w:val="both"/>
        <w:rPr>
          <w:bCs/>
          <w:color w:val="000000"/>
          <w:sz w:val="24"/>
          <w:lang w:val="pt-BR"/>
        </w:rPr>
      </w:pPr>
      <w:r w:rsidRPr="00DB28D9">
        <w:rPr>
          <w:bCs/>
          <w:color w:val="000000"/>
          <w:sz w:val="24"/>
          <w:u w:val="single"/>
          <w:lang w:val="pt-BR"/>
        </w:rPr>
        <w:t>Passivo financeiro</w:t>
      </w:r>
      <w:r w:rsidRPr="00DB28D9">
        <w:rPr>
          <w:bCs/>
          <w:color w:val="000000"/>
          <w:sz w:val="24"/>
          <w:lang w:val="pt-BR"/>
        </w:rPr>
        <w:t xml:space="preserve"> é qualquer passivo que seja: </w:t>
      </w:r>
    </w:p>
    <w:p w14:paraId="12F2CB8D" w14:textId="77777777" w:rsidR="000B6A7C" w:rsidRPr="00DB28D9" w:rsidRDefault="000B6A7C" w:rsidP="009A5282">
      <w:pPr>
        <w:pStyle w:val="Textoembloco"/>
        <w:tabs>
          <w:tab w:val="clear" w:pos="6804"/>
        </w:tabs>
        <w:spacing w:before="0" w:after="0" w:line="240" w:lineRule="auto"/>
        <w:ind w:left="567" w:firstLine="0"/>
        <w:jc w:val="both"/>
        <w:rPr>
          <w:bCs/>
          <w:color w:val="000000"/>
          <w:sz w:val="24"/>
          <w:lang w:val="pt-BR"/>
        </w:rPr>
      </w:pPr>
    </w:p>
    <w:p w14:paraId="0E410A87" w14:textId="77777777" w:rsidR="00152020" w:rsidRPr="00DB28D9" w:rsidRDefault="00152020" w:rsidP="000B6A7C">
      <w:pPr>
        <w:widowControl w:val="0"/>
        <w:spacing w:after="0"/>
        <w:ind w:left="709"/>
        <w:jc w:val="both"/>
        <w:rPr>
          <w:rFonts w:ascii="Arial" w:hAnsi="Arial" w:cs="Arial"/>
          <w:bCs/>
          <w:iCs/>
          <w:color w:val="000000"/>
          <w:sz w:val="24"/>
          <w:szCs w:val="24"/>
        </w:rPr>
      </w:pPr>
      <w:r w:rsidRPr="00DB28D9">
        <w:rPr>
          <w:rFonts w:ascii="Arial" w:hAnsi="Arial" w:cs="Arial"/>
          <w:bCs/>
          <w:iCs/>
          <w:color w:val="000000"/>
          <w:sz w:val="24"/>
          <w:szCs w:val="24"/>
        </w:rPr>
        <w:t xml:space="preserve">(a) uma obrigação contratual de: </w:t>
      </w:r>
    </w:p>
    <w:p w14:paraId="703DA1C0" w14:textId="77777777" w:rsidR="00152020" w:rsidRPr="00DB28D9" w:rsidRDefault="00152020" w:rsidP="009A5282">
      <w:pPr>
        <w:widowControl w:val="0"/>
        <w:spacing w:after="0"/>
        <w:ind w:left="1418"/>
        <w:jc w:val="both"/>
        <w:rPr>
          <w:rFonts w:ascii="Arial" w:hAnsi="Arial" w:cs="Arial"/>
          <w:bCs/>
          <w:iCs/>
          <w:color w:val="000000"/>
          <w:sz w:val="24"/>
          <w:szCs w:val="24"/>
        </w:rPr>
      </w:pPr>
      <w:r w:rsidRPr="00DB28D9">
        <w:rPr>
          <w:rFonts w:ascii="Arial" w:hAnsi="Arial" w:cs="Arial"/>
          <w:bCs/>
          <w:iCs/>
          <w:color w:val="000000"/>
          <w:sz w:val="24"/>
          <w:szCs w:val="24"/>
        </w:rPr>
        <w:t>(i) entregar caixa ou outro ativo financeiro a outra entidade; ou</w:t>
      </w:r>
    </w:p>
    <w:p w14:paraId="0773323F" w14:textId="77777777" w:rsidR="00152020" w:rsidRPr="00DB28D9" w:rsidRDefault="00152020" w:rsidP="009A5282">
      <w:pPr>
        <w:widowControl w:val="0"/>
        <w:spacing w:after="0"/>
        <w:ind w:left="1418"/>
        <w:jc w:val="both"/>
        <w:rPr>
          <w:rFonts w:ascii="Arial" w:hAnsi="Arial" w:cs="Arial"/>
          <w:bCs/>
          <w:iCs/>
          <w:color w:val="000000"/>
          <w:sz w:val="24"/>
          <w:szCs w:val="24"/>
        </w:rPr>
      </w:pPr>
      <w:r w:rsidRPr="00DB28D9">
        <w:rPr>
          <w:rFonts w:ascii="Arial" w:hAnsi="Arial" w:cs="Arial"/>
          <w:bCs/>
          <w:iCs/>
          <w:color w:val="000000"/>
          <w:sz w:val="24"/>
          <w:szCs w:val="24"/>
        </w:rPr>
        <w:t>(</w:t>
      </w:r>
      <w:proofErr w:type="spellStart"/>
      <w:r w:rsidRPr="00DB28D9">
        <w:rPr>
          <w:rFonts w:ascii="Arial" w:hAnsi="Arial" w:cs="Arial"/>
          <w:bCs/>
          <w:iCs/>
          <w:color w:val="000000"/>
          <w:sz w:val="24"/>
          <w:szCs w:val="24"/>
        </w:rPr>
        <w:t>ii</w:t>
      </w:r>
      <w:proofErr w:type="spellEnd"/>
      <w:r w:rsidRPr="00DB28D9">
        <w:rPr>
          <w:rFonts w:ascii="Arial" w:hAnsi="Arial" w:cs="Arial"/>
          <w:bCs/>
          <w:iCs/>
          <w:color w:val="000000"/>
          <w:sz w:val="24"/>
          <w:szCs w:val="24"/>
        </w:rPr>
        <w:t>) trocar ativos financeiros ou passivos financeiros com outra entidade sob condições que são potencialmente desfavoráveis para a entidade; ou</w:t>
      </w:r>
    </w:p>
    <w:p w14:paraId="695B5926" w14:textId="0777AC34" w:rsidR="00152020" w:rsidRPr="00DB28D9" w:rsidRDefault="00152020" w:rsidP="00771A2B">
      <w:pPr>
        <w:widowControl w:val="0"/>
        <w:spacing w:after="0"/>
        <w:ind w:left="1134" w:hanging="425"/>
        <w:jc w:val="both"/>
        <w:rPr>
          <w:rFonts w:ascii="Arial" w:hAnsi="Arial" w:cs="Arial"/>
          <w:bCs/>
          <w:iCs/>
          <w:color w:val="000000"/>
          <w:sz w:val="24"/>
          <w:szCs w:val="24"/>
        </w:rPr>
      </w:pPr>
      <w:r w:rsidRPr="00DB28D9">
        <w:rPr>
          <w:rFonts w:ascii="Arial" w:hAnsi="Arial" w:cs="Arial"/>
          <w:bCs/>
          <w:iCs/>
          <w:color w:val="000000"/>
          <w:sz w:val="24"/>
          <w:szCs w:val="24"/>
        </w:rPr>
        <w:t xml:space="preserve">(b) </w:t>
      </w:r>
      <w:r w:rsidR="000B6A7C" w:rsidRPr="00DB28D9">
        <w:rPr>
          <w:rFonts w:ascii="Arial" w:hAnsi="Arial" w:cs="Arial"/>
          <w:bCs/>
          <w:iCs/>
          <w:color w:val="000000"/>
          <w:sz w:val="24"/>
          <w:szCs w:val="24"/>
        </w:rPr>
        <w:t xml:space="preserve"> </w:t>
      </w:r>
      <w:r w:rsidRPr="00DB28D9">
        <w:rPr>
          <w:rFonts w:ascii="Arial" w:hAnsi="Arial" w:cs="Arial"/>
          <w:bCs/>
          <w:iCs/>
          <w:color w:val="000000"/>
          <w:sz w:val="24"/>
          <w:szCs w:val="24"/>
        </w:rPr>
        <w:t>um contrato que será ou poderá ser liquidado por instrumentos patrimoniais da própria entidade, e seja:</w:t>
      </w:r>
    </w:p>
    <w:p w14:paraId="707804D5" w14:textId="77777777" w:rsidR="00152020" w:rsidRPr="00DB28D9" w:rsidRDefault="00152020" w:rsidP="00771A2B">
      <w:pPr>
        <w:widowControl w:val="0"/>
        <w:tabs>
          <w:tab w:val="left" w:pos="2127"/>
        </w:tabs>
        <w:spacing w:after="0"/>
        <w:ind w:left="1418"/>
        <w:jc w:val="both"/>
        <w:rPr>
          <w:rFonts w:ascii="Arial" w:hAnsi="Arial" w:cs="Arial"/>
          <w:bCs/>
          <w:iCs/>
          <w:sz w:val="24"/>
          <w:szCs w:val="24"/>
        </w:rPr>
      </w:pPr>
      <w:r w:rsidRPr="00DB28D9">
        <w:rPr>
          <w:rFonts w:ascii="Arial" w:hAnsi="Arial" w:cs="Arial"/>
          <w:bCs/>
          <w:iCs/>
          <w:sz w:val="24"/>
          <w:szCs w:val="24"/>
        </w:rPr>
        <w:t>(i) um não derivativo no qual a entidade é ou pode ser obrigada a entregar um número variável de instrumentos patrimoniais da entidade; ou</w:t>
      </w:r>
    </w:p>
    <w:p w14:paraId="07C288B2" w14:textId="704E78C2" w:rsidR="00152020" w:rsidRPr="00DB28D9" w:rsidRDefault="00152020" w:rsidP="00771A2B">
      <w:pPr>
        <w:widowControl w:val="0"/>
        <w:tabs>
          <w:tab w:val="left" w:pos="2127"/>
        </w:tabs>
        <w:spacing w:after="0"/>
        <w:ind w:left="1418"/>
        <w:jc w:val="both"/>
        <w:rPr>
          <w:rFonts w:ascii="Arial" w:hAnsi="Arial" w:cs="Arial"/>
          <w:bCs/>
          <w:iCs/>
          <w:sz w:val="24"/>
          <w:szCs w:val="24"/>
        </w:rPr>
      </w:pPr>
      <w:r w:rsidRPr="00DB28D9">
        <w:rPr>
          <w:rFonts w:ascii="Arial" w:hAnsi="Arial" w:cs="Arial"/>
          <w:bCs/>
          <w:iCs/>
          <w:sz w:val="24"/>
          <w:szCs w:val="24"/>
        </w:rPr>
        <w:t>(</w:t>
      </w:r>
      <w:proofErr w:type="spellStart"/>
      <w:r w:rsidRPr="00DB28D9">
        <w:rPr>
          <w:rFonts w:ascii="Arial" w:hAnsi="Arial" w:cs="Arial"/>
          <w:bCs/>
          <w:iCs/>
          <w:sz w:val="24"/>
          <w:szCs w:val="24"/>
        </w:rPr>
        <w:t>ii</w:t>
      </w:r>
      <w:proofErr w:type="spellEnd"/>
      <w:r w:rsidRPr="00DB28D9">
        <w:rPr>
          <w:rFonts w:ascii="Arial" w:hAnsi="Arial" w:cs="Arial"/>
          <w:bCs/>
          <w:iCs/>
          <w:sz w:val="24"/>
          <w:szCs w:val="24"/>
        </w:rPr>
        <w:t>) um derivativo que será ou poderá ser liquidado de outra forma que não pela troca de um montante fixo em caixa, ou outro ativo financeiro, por um número fixo de instrumentos patrimoniais da própria entidade. Para esta finalidade, direitos, opções ou garantias (</w:t>
      </w:r>
      <w:r w:rsidRPr="00DB28D9">
        <w:rPr>
          <w:rFonts w:ascii="Arial" w:hAnsi="Arial" w:cs="Arial"/>
          <w:bCs/>
          <w:i/>
          <w:iCs/>
          <w:sz w:val="24"/>
          <w:szCs w:val="24"/>
        </w:rPr>
        <w:t>warrants</w:t>
      </w:r>
      <w:r w:rsidRPr="00DB28D9">
        <w:rPr>
          <w:rFonts w:ascii="Arial" w:hAnsi="Arial" w:cs="Arial"/>
          <w:bCs/>
          <w:iCs/>
          <w:sz w:val="24"/>
          <w:szCs w:val="24"/>
        </w:rPr>
        <w:t xml:space="preserve">) para adquirir um número fixo de instrumentos patrimoniais da própria entidade por um montante fixo de qualquer moeda são instrumentos patrimoniais se a entidade ofertar, </w:t>
      </w:r>
      <w:r w:rsidRPr="00DB28D9">
        <w:rPr>
          <w:rFonts w:ascii="Arial" w:hAnsi="Arial" w:cs="Arial"/>
          <w:bCs/>
          <w:i/>
          <w:iCs/>
          <w:sz w:val="24"/>
          <w:szCs w:val="24"/>
        </w:rPr>
        <w:t>pro rata</w:t>
      </w:r>
      <w:r w:rsidRPr="00DB28D9">
        <w:rPr>
          <w:rFonts w:ascii="Arial" w:hAnsi="Arial" w:cs="Arial"/>
          <w:bCs/>
          <w:iCs/>
          <w:sz w:val="24"/>
          <w:szCs w:val="24"/>
        </w:rPr>
        <w:t>, direitos, opções ou garantias (</w:t>
      </w:r>
      <w:r w:rsidRPr="00DB28D9">
        <w:rPr>
          <w:rFonts w:ascii="Arial" w:hAnsi="Arial" w:cs="Arial"/>
          <w:bCs/>
          <w:i/>
          <w:iCs/>
          <w:sz w:val="24"/>
          <w:szCs w:val="24"/>
        </w:rPr>
        <w:t>warrants</w:t>
      </w:r>
      <w:r w:rsidRPr="00DB28D9">
        <w:rPr>
          <w:rFonts w:ascii="Arial" w:hAnsi="Arial" w:cs="Arial"/>
          <w:bCs/>
          <w:iCs/>
          <w:sz w:val="24"/>
          <w:szCs w:val="24"/>
        </w:rPr>
        <w:t>) a todos os detentores já existentes da mesma classe de seus instrumentos patrimoniais não derivativos. Além disso, p</w:t>
      </w:r>
      <w:r w:rsidR="00421FEA" w:rsidRPr="00DB28D9">
        <w:rPr>
          <w:rFonts w:ascii="Arial" w:hAnsi="Arial" w:cs="Arial"/>
          <w:bCs/>
          <w:iCs/>
          <w:sz w:val="24"/>
          <w:szCs w:val="24"/>
        </w:rPr>
        <w:t>ara</w:t>
      </w:r>
      <w:r w:rsidRPr="00DB28D9">
        <w:rPr>
          <w:rFonts w:ascii="Arial" w:hAnsi="Arial" w:cs="Arial"/>
          <w:bCs/>
          <w:iCs/>
          <w:sz w:val="24"/>
          <w:szCs w:val="24"/>
        </w:rPr>
        <w:t xml:space="preserve"> estas finalidades, os instrumentos patrimoniais da entidade não incluem instrumentos financeiros com opção de venda que são classificados como instrumentos patrimoniais de acordo com os itens 15 e 16, instrumentos que imponham à entidade a obrigação de entregar à outra parte uma participação </w:t>
      </w:r>
      <w:r w:rsidRPr="00DB28D9">
        <w:rPr>
          <w:rFonts w:ascii="Arial" w:hAnsi="Arial" w:cs="Arial"/>
          <w:bCs/>
          <w:i/>
          <w:iCs/>
          <w:sz w:val="24"/>
          <w:szCs w:val="24"/>
        </w:rPr>
        <w:t>pro rata</w:t>
      </w:r>
      <w:r w:rsidRPr="00DB28D9">
        <w:rPr>
          <w:rFonts w:ascii="Arial" w:hAnsi="Arial" w:cs="Arial"/>
          <w:bCs/>
          <w:iCs/>
          <w:sz w:val="24"/>
          <w:szCs w:val="24"/>
        </w:rPr>
        <w:t xml:space="preserve"> dos ativos líquidos da entidade apenas na sua liquidação e são classificados como instrumentos patrimoniais de acordo com os itens 17 e 18, ou instrumentos que são contratos para futuro recebimento ou entrega de instrumentos patrimoniais da própria entidade.</w:t>
      </w:r>
    </w:p>
    <w:p w14:paraId="0D7B9840" w14:textId="77777777" w:rsidR="000B6A7C" w:rsidRPr="00DB28D9" w:rsidRDefault="000B6A7C" w:rsidP="00771A2B">
      <w:pPr>
        <w:widowControl w:val="0"/>
        <w:tabs>
          <w:tab w:val="left" w:pos="2127"/>
        </w:tabs>
        <w:spacing w:after="0"/>
        <w:ind w:left="1418"/>
        <w:jc w:val="both"/>
        <w:rPr>
          <w:rFonts w:ascii="Arial" w:hAnsi="Arial" w:cs="Arial"/>
          <w:bCs/>
          <w:iCs/>
          <w:sz w:val="24"/>
          <w:szCs w:val="24"/>
        </w:rPr>
      </w:pPr>
    </w:p>
    <w:p w14:paraId="1F40D3F0" w14:textId="32849D6A" w:rsidR="00152020" w:rsidRPr="00DB28D9" w:rsidRDefault="00152020" w:rsidP="000B6A7C">
      <w:pPr>
        <w:pStyle w:val="Textoembloco"/>
        <w:tabs>
          <w:tab w:val="left" w:pos="567"/>
        </w:tabs>
        <w:spacing w:after="0" w:line="240" w:lineRule="auto"/>
        <w:ind w:left="567" w:firstLine="0"/>
        <w:jc w:val="both"/>
        <w:rPr>
          <w:bCs/>
          <w:sz w:val="24"/>
          <w:lang w:val="pt-BR"/>
        </w:rPr>
      </w:pPr>
      <w:r w:rsidRPr="00DB28D9">
        <w:rPr>
          <w:bCs/>
          <w:color w:val="000000"/>
          <w:sz w:val="24"/>
          <w:lang w:val="pt-BR"/>
        </w:rPr>
        <w:t>Como exceção, um instrumento que satisfaça a definição de passivo financeiro é classificado como um instrumento patrimonial se tiver todas as características e reunir as condiçõe</w:t>
      </w:r>
      <w:r w:rsidRPr="00DB28D9">
        <w:rPr>
          <w:bCs/>
          <w:sz w:val="24"/>
          <w:lang w:val="pt-BR"/>
        </w:rPr>
        <w:t>s dos itens 15 e 16 ou dos itens 17 e 18.</w:t>
      </w:r>
    </w:p>
    <w:p w14:paraId="00226E75" w14:textId="77777777" w:rsidR="00152020" w:rsidRPr="00DB28D9" w:rsidRDefault="00152020" w:rsidP="000B6A7C">
      <w:pPr>
        <w:pStyle w:val="Textoembloco"/>
        <w:tabs>
          <w:tab w:val="left" w:pos="567"/>
        </w:tabs>
        <w:spacing w:after="0" w:line="240" w:lineRule="auto"/>
        <w:ind w:left="567" w:firstLine="0"/>
        <w:jc w:val="both"/>
        <w:rPr>
          <w:bCs/>
          <w:color w:val="000000"/>
          <w:sz w:val="24"/>
          <w:lang w:val="pt-BR"/>
        </w:rPr>
      </w:pPr>
    </w:p>
    <w:p w14:paraId="10B12F7A" w14:textId="4D00F645" w:rsidR="00152020" w:rsidRPr="00DB28D9" w:rsidRDefault="00152020" w:rsidP="000B6A7C">
      <w:pPr>
        <w:pStyle w:val="Textoembloco"/>
        <w:tabs>
          <w:tab w:val="clear" w:pos="6804"/>
        </w:tabs>
        <w:spacing w:after="0" w:line="240" w:lineRule="auto"/>
        <w:ind w:left="567" w:firstLine="0"/>
        <w:jc w:val="both"/>
        <w:rPr>
          <w:bCs/>
          <w:sz w:val="24"/>
          <w:lang w:val="pt-BR"/>
        </w:rPr>
      </w:pPr>
      <w:r w:rsidRPr="00DB28D9">
        <w:rPr>
          <w:bCs/>
          <w:sz w:val="24"/>
          <w:u w:val="single"/>
          <w:lang w:val="pt-BR"/>
        </w:rPr>
        <w:t>Instrumento com opção de venda</w:t>
      </w:r>
      <w:r w:rsidRPr="00DB28D9">
        <w:rPr>
          <w:bCs/>
          <w:sz w:val="24"/>
          <w:lang w:val="pt-BR"/>
        </w:rPr>
        <w:t xml:space="preserve"> é um instrumento financeiro que dá ao seu detentor o direito de retornar o instrumento ao emitente por caixa, ou outro ativo financeiro, ou de retornar automaticamente ao emitente no caso de evento futuro incerto, morte ou aposentadoria do detentor do instrumento.</w:t>
      </w:r>
    </w:p>
    <w:p w14:paraId="5B83BDDC" w14:textId="77777777" w:rsidR="00152020" w:rsidRPr="00DB28D9" w:rsidRDefault="00152020" w:rsidP="000B6A7C">
      <w:pPr>
        <w:pStyle w:val="Textoembloco"/>
        <w:tabs>
          <w:tab w:val="clear" w:pos="6804"/>
        </w:tabs>
        <w:spacing w:after="0" w:line="240" w:lineRule="auto"/>
        <w:ind w:left="567" w:firstLine="0"/>
        <w:jc w:val="both"/>
        <w:rPr>
          <w:bCs/>
          <w:color w:val="000000"/>
          <w:sz w:val="24"/>
          <w:lang w:val="pt-BR"/>
        </w:rPr>
      </w:pPr>
    </w:p>
    <w:p w14:paraId="4A5FE5AF" w14:textId="1B181EE1" w:rsidR="00152020" w:rsidRPr="00DB28D9" w:rsidRDefault="00152020" w:rsidP="000B6A7C">
      <w:pPr>
        <w:pStyle w:val="Textoembloco"/>
        <w:tabs>
          <w:tab w:val="left" w:pos="567"/>
        </w:tabs>
        <w:spacing w:after="0" w:line="240" w:lineRule="auto"/>
        <w:ind w:left="567" w:firstLine="0"/>
        <w:jc w:val="both"/>
        <w:rPr>
          <w:sz w:val="24"/>
          <w:lang w:val="pt-BR"/>
        </w:rPr>
      </w:pPr>
      <w:r w:rsidRPr="00DB28D9">
        <w:rPr>
          <w:sz w:val="24"/>
          <w:lang w:val="pt-BR"/>
        </w:rPr>
        <w:t xml:space="preserve">Os termos definidos em outras NBCs TSP são utilizados nesta </w:t>
      </w:r>
      <w:r w:rsidR="00F54D6D" w:rsidRPr="00DB28D9">
        <w:rPr>
          <w:sz w:val="24"/>
          <w:lang w:val="pt-BR"/>
        </w:rPr>
        <w:t>N</w:t>
      </w:r>
      <w:r w:rsidRPr="00DB28D9">
        <w:rPr>
          <w:sz w:val="24"/>
          <w:lang w:val="pt-BR"/>
        </w:rPr>
        <w:t>orma com o mesmo significado, conforme consta nessas outras normas.</w:t>
      </w:r>
    </w:p>
    <w:p w14:paraId="7197C293" w14:textId="77777777" w:rsidR="00E027B0" w:rsidRPr="00DB28D9" w:rsidRDefault="00E027B0" w:rsidP="00E027B0">
      <w:pPr>
        <w:pStyle w:val="Textoembloco"/>
        <w:tabs>
          <w:tab w:val="left" w:pos="567"/>
        </w:tabs>
        <w:spacing w:after="0" w:line="240" w:lineRule="auto"/>
        <w:ind w:left="33" w:firstLine="0"/>
        <w:jc w:val="both"/>
        <w:rPr>
          <w:b/>
          <w:sz w:val="24"/>
          <w:lang w:val="pt-BR"/>
        </w:rPr>
      </w:pPr>
    </w:p>
    <w:p w14:paraId="528A9C06" w14:textId="7F1B2441" w:rsidR="00152020" w:rsidRPr="00DB28D9" w:rsidRDefault="00152020" w:rsidP="000B6A7C">
      <w:pPr>
        <w:pStyle w:val="Textodecomentrio"/>
        <w:ind w:left="567" w:hanging="567"/>
        <w:jc w:val="both"/>
        <w:rPr>
          <w:rFonts w:ascii="Arial" w:hAnsi="Arial" w:cs="Arial"/>
          <w:sz w:val="24"/>
          <w:szCs w:val="24"/>
        </w:rPr>
      </w:pPr>
      <w:r w:rsidRPr="00DB28D9">
        <w:rPr>
          <w:rFonts w:ascii="Arial" w:hAnsi="Arial" w:cs="Arial"/>
          <w:sz w:val="24"/>
          <w:szCs w:val="24"/>
        </w:rPr>
        <w:t>9A</w:t>
      </w:r>
      <w:r w:rsidR="009C6B34" w:rsidRPr="00DB28D9">
        <w:rPr>
          <w:rFonts w:ascii="Arial" w:hAnsi="Arial" w:cs="Arial"/>
          <w:sz w:val="24"/>
          <w:szCs w:val="24"/>
        </w:rPr>
        <w:t>.</w:t>
      </w:r>
      <w:r w:rsidRPr="00DB28D9">
        <w:rPr>
          <w:rFonts w:ascii="Arial" w:hAnsi="Arial" w:cs="Arial"/>
          <w:sz w:val="24"/>
          <w:szCs w:val="24"/>
        </w:rPr>
        <w:t xml:space="preserve"> </w:t>
      </w:r>
      <w:r w:rsidR="000B6A7C" w:rsidRPr="00DB28D9">
        <w:rPr>
          <w:rFonts w:ascii="Arial" w:hAnsi="Arial" w:cs="Arial"/>
          <w:sz w:val="24"/>
          <w:szCs w:val="24"/>
        </w:rPr>
        <w:t xml:space="preserve"> </w:t>
      </w:r>
      <w:r w:rsidRPr="00DB28D9">
        <w:rPr>
          <w:rFonts w:ascii="Arial" w:hAnsi="Arial" w:cs="Arial"/>
          <w:sz w:val="24"/>
          <w:szCs w:val="24"/>
        </w:rPr>
        <w:t>Para os fins desta Norma, os termos “Ativo Financeiro”, “Passivo Financeiro” e “Liquidar” ou “Liquidado(a)” ou “Liquidação” não se confundem com os termos correspondentes utilizados na execução orçamentária, conforme legislação brasileira sobre orçamento público.</w:t>
      </w:r>
    </w:p>
    <w:p w14:paraId="2A9067D3" w14:textId="727D6501" w:rsidR="00152020" w:rsidRPr="00DB28D9" w:rsidRDefault="00152020" w:rsidP="000B6A7C">
      <w:pPr>
        <w:pStyle w:val="Textoembloco"/>
        <w:shd w:val="clear" w:color="auto" w:fill="FFFFFF"/>
        <w:spacing w:after="0" w:line="240" w:lineRule="auto"/>
        <w:ind w:left="567" w:hanging="534"/>
        <w:jc w:val="both"/>
        <w:rPr>
          <w:color w:val="000000"/>
          <w:sz w:val="24"/>
          <w:lang w:val="pt-BR"/>
        </w:rPr>
      </w:pPr>
      <w:r w:rsidRPr="00DB28D9">
        <w:rPr>
          <w:sz w:val="24"/>
          <w:lang w:val="pt-BR"/>
        </w:rPr>
        <w:lastRenderedPageBreak/>
        <w:t xml:space="preserve">10. </w:t>
      </w:r>
      <w:r w:rsidR="000B6A7C" w:rsidRPr="00DB28D9">
        <w:rPr>
          <w:sz w:val="24"/>
          <w:lang w:val="pt-BR"/>
        </w:rPr>
        <w:tab/>
      </w:r>
      <w:r w:rsidRPr="00DB28D9">
        <w:rPr>
          <w:color w:val="000000"/>
          <w:sz w:val="24"/>
          <w:lang w:val="pt-BR"/>
        </w:rPr>
        <w:t xml:space="preserve">Os seguintes termos são definidos no item 9 da NBC TSP 31 </w:t>
      </w:r>
      <w:r w:rsidR="002C6E07" w:rsidRPr="00DB28D9">
        <w:rPr>
          <w:color w:val="000000"/>
          <w:sz w:val="24"/>
          <w:lang w:val="pt-BR"/>
        </w:rPr>
        <w:t>ou</w:t>
      </w:r>
      <w:r w:rsidR="009C6B34" w:rsidRPr="00DB28D9">
        <w:rPr>
          <w:color w:val="000000"/>
          <w:sz w:val="24"/>
          <w:lang w:val="pt-BR"/>
        </w:rPr>
        <w:t xml:space="preserve"> no item 10 da NBC TSP 32</w:t>
      </w:r>
      <w:r w:rsidR="002C6E07" w:rsidRPr="00DB28D9">
        <w:rPr>
          <w:color w:val="000000"/>
          <w:sz w:val="24"/>
          <w:lang w:val="pt-BR"/>
        </w:rPr>
        <w:t xml:space="preserve"> </w:t>
      </w:r>
      <w:r w:rsidR="00F54D6D" w:rsidRPr="00DB28D9">
        <w:rPr>
          <w:color w:val="000000"/>
          <w:sz w:val="24"/>
          <w:lang w:val="pt-BR"/>
        </w:rPr>
        <w:t>–</w:t>
      </w:r>
      <w:r w:rsidR="002C6E07" w:rsidRPr="00DB28D9">
        <w:rPr>
          <w:sz w:val="24"/>
          <w:lang w:val="pt-BR"/>
        </w:rPr>
        <w:t xml:space="preserve"> Instrumentos Financeiros: Reconhecimento e Mensuração </w:t>
      </w:r>
      <w:r w:rsidR="00BC13DA" w:rsidRPr="00DB28D9">
        <w:rPr>
          <w:sz w:val="24"/>
          <w:lang w:val="pt-BR"/>
        </w:rPr>
        <w:t xml:space="preserve">(Contabilidade de </w:t>
      </w:r>
      <w:r w:rsidR="00BC13DA" w:rsidRPr="00DB28D9">
        <w:rPr>
          <w:i/>
          <w:sz w:val="24"/>
          <w:lang w:val="pt-BR"/>
        </w:rPr>
        <w:t>Hedge</w:t>
      </w:r>
      <w:r w:rsidR="00BC13DA" w:rsidRPr="00DB28D9">
        <w:rPr>
          <w:sz w:val="24"/>
          <w:lang w:val="pt-BR"/>
        </w:rPr>
        <w:t xml:space="preserve">) </w:t>
      </w:r>
      <w:r w:rsidR="00F54D6D" w:rsidRPr="00DB28D9">
        <w:rPr>
          <w:color w:val="000000"/>
          <w:sz w:val="24"/>
          <w:lang w:val="pt-BR"/>
        </w:rPr>
        <w:t>–</w:t>
      </w:r>
      <w:r w:rsidR="00BC13DA" w:rsidRPr="00DB28D9">
        <w:rPr>
          <w:sz w:val="24"/>
          <w:lang w:val="pt-BR"/>
        </w:rPr>
        <w:t xml:space="preserve"> </w:t>
      </w:r>
      <w:r w:rsidR="002C6E07" w:rsidRPr="00DB28D9">
        <w:rPr>
          <w:sz w:val="24"/>
          <w:lang w:val="pt-BR"/>
        </w:rPr>
        <w:t>Aplicação Residual</w:t>
      </w:r>
      <w:r w:rsidR="009C6B34" w:rsidRPr="00DB28D9">
        <w:rPr>
          <w:color w:val="000000"/>
          <w:sz w:val="24"/>
          <w:lang w:val="pt-BR"/>
        </w:rPr>
        <w:t xml:space="preserve"> </w:t>
      </w:r>
      <w:r w:rsidRPr="00DB28D9">
        <w:rPr>
          <w:color w:val="000000"/>
          <w:sz w:val="24"/>
          <w:lang w:val="pt-BR"/>
        </w:rPr>
        <w:t xml:space="preserve">e são utilizados nesta Norma com o significado especificado naquela </w:t>
      </w:r>
      <w:r w:rsidR="00F54D6D" w:rsidRPr="00DB28D9">
        <w:rPr>
          <w:color w:val="000000"/>
          <w:sz w:val="24"/>
          <w:lang w:val="pt-BR"/>
        </w:rPr>
        <w:t>norma</w:t>
      </w:r>
      <w:r w:rsidRPr="00DB28D9">
        <w:rPr>
          <w:color w:val="000000"/>
          <w:sz w:val="24"/>
          <w:lang w:val="pt-BR"/>
        </w:rPr>
        <w:t>:</w:t>
      </w:r>
    </w:p>
    <w:p w14:paraId="5F2F35B7" w14:textId="4372984F" w:rsidR="00152020" w:rsidRPr="00DB28D9" w:rsidRDefault="00152020" w:rsidP="000B6A7C">
      <w:pPr>
        <w:pStyle w:val="PargrafodaLista"/>
        <w:widowControl w:val="0"/>
        <w:numPr>
          <w:ilvl w:val="0"/>
          <w:numId w:val="69"/>
        </w:numPr>
        <w:spacing w:before="120"/>
        <w:ind w:left="1418" w:hanging="142"/>
        <w:jc w:val="both"/>
        <w:rPr>
          <w:rFonts w:ascii="Arial" w:hAnsi="Arial" w:cs="Arial"/>
          <w:bCs/>
          <w:iCs/>
          <w:color w:val="000000"/>
          <w:sz w:val="24"/>
          <w:szCs w:val="24"/>
        </w:rPr>
      </w:pPr>
      <w:r w:rsidRPr="00DB28D9">
        <w:rPr>
          <w:rFonts w:ascii="Arial" w:hAnsi="Arial" w:cs="Arial"/>
          <w:bCs/>
          <w:iCs/>
          <w:color w:val="000000"/>
          <w:sz w:val="24"/>
          <w:szCs w:val="24"/>
        </w:rPr>
        <w:t>custo amortizado de ativo financeiro ou passivo financeiro;</w:t>
      </w:r>
    </w:p>
    <w:p w14:paraId="15A07755" w14:textId="5054E67F" w:rsidR="00152020" w:rsidRPr="00DB28D9" w:rsidRDefault="00152020" w:rsidP="000B6A7C">
      <w:pPr>
        <w:pStyle w:val="PargrafodaLista"/>
        <w:widowControl w:val="0"/>
        <w:numPr>
          <w:ilvl w:val="0"/>
          <w:numId w:val="69"/>
        </w:numPr>
        <w:spacing w:before="120"/>
        <w:ind w:left="1418" w:hanging="142"/>
        <w:jc w:val="both"/>
        <w:rPr>
          <w:rFonts w:ascii="Arial" w:hAnsi="Arial" w:cs="Arial"/>
          <w:bCs/>
          <w:iCs/>
          <w:color w:val="000000"/>
          <w:sz w:val="24"/>
          <w:szCs w:val="24"/>
        </w:rPr>
      </w:pPr>
      <w:r w:rsidRPr="00DB28D9">
        <w:rPr>
          <w:rFonts w:ascii="Arial" w:hAnsi="Arial" w:cs="Arial"/>
          <w:bCs/>
          <w:iCs/>
          <w:color w:val="000000"/>
          <w:sz w:val="24"/>
          <w:szCs w:val="24"/>
        </w:rPr>
        <w:t xml:space="preserve">desreconhecimento; </w:t>
      </w:r>
    </w:p>
    <w:p w14:paraId="480EBB77" w14:textId="70C19DE0" w:rsidR="00152020" w:rsidRPr="00DB28D9" w:rsidRDefault="00152020" w:rsidP="000B6A7C">
      <w:pPr>
        <w:pStyle w:val="PargrafodaLista"/>
        <w:widowControl w:val="0"/>
        <w:numPr>
          <w:ilvl w:val="0"/>
          <w:numId w:val="69"/>
        </w:numPr>
        <w:spacing w:before="120"/>
        <w:ind w:left="1418" w:hanging="142"/>
        <w:jc w:val="both"/>
        <w:rPr>
          <w:rFonts w:ascii="Arial" w:hAnsi="Arial" w:cs="Arial"/>
          <w:bCs/>
          <w:iCs/>
          <w:color w:val="000000"/>
          <w:sz w:val="24"/>
          <w:szCs w:val="24"/>
        </w:rPr>
      </w:pPr>
      <w:r w:rsidRPr="00DB28D9">
        <w:rPr>
          <w:rFonts w:ascii="Arial" w:hAnsi="Arial" w:cs="Arial"/>
          <w:bCs/>
          <w:iCs/>
          <w:color w:val="000000"/>
          <w:sz w:val="24"/>
          <w:szCs w:val="24"/>
        </w:rPr>
        <w:t>derivativo;</w:t>
      </w:r>
    </w:p>
    <w:p w14:paraId="783A97EC" w14:textId="77777777" w:rsidR="00152020" w:rsidRPr="00DB28D9" w:rsidRDefault="00152020" w:rsidP="000B6A7C">
      <w:pPr>
        <w:pStyle w:val="PargrafodaLista"/>
        <w:widowControl w:val="0"/>
        <w:numPr>
          <w:ilvl w:val="0"/>
          <w:numId w:val="69"/>
        </w:numPr>
        <w:spacing w:before="120"/>
        <w:ind w:left="1418" w:hanging="142"/>
        <w:jc w:val="both"/>
        <w:rPr>
          <w:rFonts w:ascii="Arial" w:hAnsi="Arial" w:cs="Arial"/>
          <w:bCs/>
          <w:iCs/>
          <w:color w:val="000000"/>
          <w:sz w:val="24"/>
          <w:szCs w:val="24"/>
        </w:rPr>
      </w:pPr>
      <w:r w:rsidRPr="00DB28D9">
        <w:rPr>
          <w:rFonts w:ascii="Arial" w:hAnsi="Arial" w:cs="Arial"/>
          <w:bCs/>
          <w:iCs/>
          <w:color w:val="000000"/>
          <w:sz w:val="24"/>
          <w:szCs w:val="24"/>
        </w:rPr>
        <w:t xml:space="preserve">método de juros efetivos; </w:t>
      </w:r>
    </w:p>
    <w:p w14:paraId="7AE334D0" w14:textId="77777777" w:rsidR="00152020" w:rsidRPr="00DB28D9" w:rsidRDefault="00152020" w:rsidP="000B6A7C">
      <w:pPr>
        <w:pStyle w:val="PargrafodaLista"/>
        <w:widowControl w:val="0"/>
        <w:numPr>
          <w:ilvl w:val="0"/>
          <w:numId w:val="69"/>
        </w:numPr>
        <w:spacing w:before="120"/>
        <w:ind w:left="1418" w:hanging="142"/>
        <w:jc w:val="both"/>
        <w:rPr>
          <w:rFonts w:ascii="Arial" w:hAnsi="Arial" w:cs="Arial"/>
          <w:bCs/>
          <w:iCs/>
          <w:color w:val="000000"/>
          <w:sz w:val="24"/>
          <w:szCs w:val="24"/>
        </w:rPr>
      </w:pPr>
      <w:r w:rsidRPr="00DB28D9">
        <w:rPr>
          <w:rFonts w:ascii="Arial" w:hAnsi="Arial" w:cs="Arial"/>
          <w:bCs/>
          <w:iCs/>
          <w:color w:val="000000"/>
          <w:sz w:val="24"/>
          <w:szCs w:val="24"/>
        </w:rPr>
        <w:t>passivo financeiro mensurado pelo valor justo por meio do resultado;</w:t>
      </w:r>
    </w:p>
    <w:p w14:paraId="796E07F8" w14:textId="77777777" w:rsidR="00152020" w:rsidRPr="00DB28D9" w:rsidRDefault="00152020" w:rsidP="000B6A7C">
      <w:pPr>
        <w:pStyle w:val="PargrafodaLista"/>
        <w:widowControl w:val="0"/>
        <w:numPr>
          <w:ilvl w:val="0"/>
          <w:numId w:val="69"/>
        </w:numPr>
        <w:spacing w:before="120"/>
        <w:ind w:left="1418" w:hanging="142"/>
        <w:jc w:val="both"/>
        <w:rPr>
          <w:rFonts w:ascii="Arial" w:hAnsi="Arial" w:cs="Arial"/>
          <w:bCs/>
          <w:iCs/>
          <w:color w:val="000000"/>
          <w:sz w:val="24"/>
          <w:szCs w:val="24"/>
        </w:rPr>
      </w:pPr>
      <w:r w:rsidRPr="00DB28D9">
        <w:rPr>
          <w:rFonts w:ascii="Arial" w:hAnsi="Arial" w:cs="Arial"/>
          <w:bCs/>
          <w:iCs/>
          <w:color w:val="000000"/>
          <w:sz w:val="24"/>
          <w:szCs w:val="24"/>
        </w:rPr>
        <w:t>contrato de garantia financeira;</w:t>
      </w:r>
    </w:p>
    <w:p w14:paraId="0D34B167" w14:textId="77777777" w:rsidR="00152020" w:rsidRPr="00DB28D9" w:rsidRDefault="00152020" w:rsidP="000B6A7C">
      <w:pPr>
        <w:pStyle w:val="PargrafodaLista"/>
        <w:widowControl w:val="0"/>
        <w:numPr>
          <w:ilvl w:val="0"/>
          <w:numId w:val="69"/>
        </w:numPr>
        <w:spacing w:before="120"/>
        <w:ind w:left="1418" w:hanging="142"/>
        <w:jc w:val="both"/>
        <w:rPr>
          <w:rFonts w:ascii="Arial" w:hAnsi="Arial" w:cs="Arial"/>
          <w:bCs/>
          <w:iCs/>
          <w:color w:val="000000"/>
          <w:sz w:val="24"/>
          <w:szCs w:val="24"/>
        </w:rPr>
      </w:pPr>
      <w:r w:rsidRPr="00DB28D9">
        <w:rPr>
          <w:rFonts w:ascii="Arial" w:hAnsi="Arial" w:cs="Arial"/>
          <w:bCs/>
          <w:iCs/>
          <w:color w:val="000000"/>
          <w:sz w:val="24"/>
          <w:szCs w:val="24"/>
        </w:rPr>
        <w:t>compromisso firme;</w:t>
      </w:r>
    </w:p>
    <w:p w14:paraId="39867D15" w14:textId="77777777" w:rsidR="00152020" w:rsidRPr="00DB28D9" w:rsidRDefault="00152020" w:rsidP="000B6A7C">
      <w:pPr>
        <w:pStyle w:val="PargrafodaLista"/>
        <w:widowControl w:val="0"/>
        <w:numPr>
          <w:ilvl w:val="0"/>
          <w:numId w:val="69"/>
        </w:numPr>
        <w:spacing w:before="120"/>
        <w:ind w:left="1418" w:hanging="142"/>
        <w:jc w:val="both"/>
        <w:rPr>
          <w:rFonts w:ascii="Arial" w:hAnsi="Arial" w:cs="Arial"/>
          <w:bCs/>
          <w:iCs/>
          <w:color w:val="000000"/>
          <w:sz w:val="24"/>
          <w:szCs w:val="24"/>
        </w:rPr>
      </w:pPr>
      <w:r w:rsidRPr="00DB28D9">
        <w:rPr>
          <w:rFonts w:ascii="Arial" w:hAnsi="Arial" w:cs="Arial"/>
          <w:bCs/>
          <w:iCs/>
          <w:color w:val="000000"/>
          <w:sz w:val="24"/>
          <w:szCs w:val="24"/>
        </w:rPr>
        <w:t>transação prevista;</w:t>
      </w:r>
    </w:p>
    <w:p w14:paraId="77795F19" w14:textId="37F1919D" w:rsidR="00152020" w:rsidRPr="00DB28D9" w:rsidRDefault="008022D7" w:rsidP="000B6A7C">
      <w:pPr>
        <w:pStyle w:val="PargrafodaLista"/>
        <w:widowControl w:val="0"/>
        <w:numPr>
          <w:ilvl w:val="0"/>
          <w:numId w:val="69"/>
        </w:numPr>
        <w:spacing w:before="120"/>
        <w:ind w:left="1418" w:hanging="142"/>
        <w:jc w:val="both"/>
        <w:rPr>
          <w:rFonts w:ascii="Arial" w:hAnsi="Arial" w:cs="Arial"/>
          <w:bCs/>
          <w:iCs/>
          <w:color w:val="000000"/>
          <w:sz w:val="24"/>
          <w:szCs w:val="24"/>
        </w:rPr>
      </w:pPr>
      <w:r w:rsidRPr="00DB28D9">
        <w:rPr>
          <w:rFonts w:ascii="Arial" w:hAnsi="Arial" w:cs="Arial"/>
          <w:bCs/>
          <w:iCs/>
          <w:color w:val="000000"/>
          <w:sz w:val="24"/>
          <w:szCs w:val="24"/>
        </w:rPr>
        <w:t>eficácia do</w:t>
      </w:r>
      <w:r w:rsidR="00152020" w:rsidRPr="00DB28D9">
        <w:rPr>
          <w:rFonts w:ascii="Arial" w:hAnsi="Arial" w:cs="Arial"/>
          <w:bCs/>
          <w:iCs/>
          <w:color w:val="000000"/>
          <w:sz w:val="24"/>
          <w:szCs w:val="24"/>
        </w:rPr>
        <w:t xml:space="preserve"> </w:t>
      </w:r>
      <w:r w:rsidR="00152020" w:rsidRPr="00DB28D9">
        <w:rPr>
          <w:rFonts w:ascii="Arial" w:hAnsi="Arial" w:cs="Arial"/>
          <w:bCs/>
          <w:i/>
          <w:iCs/>
          <w:color w:val="000000"/>
          <w:sz w:val="24"/>
          <w:szCs w:val="24"/>
        </w:rPr>
        <w:t>hedge;</w:t>
      </w:r>
      <w:r w:rsidR="00152020" w:rsidRPr="00DB28D9">
        <w:rPr>
          <w:rFonts w:ascii="Arial" w:hAnsi="Arial" w:cs="Arial"/>
          <w:bCs/>
          <w:iCs/>
          <w:color w:val="000000"/>
          <w:sz w:val="24"/>
          <w:szCs w:val="24"/>
        </w:rPr>
        <w:t xml:space="preserve"> </w:t>
      </w:r>
    </w:p>
    <w:p w14:paraId="0642456F" w14:textId="162A3BD4" w:rsidR="00152020" w:rsidRPr="00DB28D9" w:rsidRDefault="00152020" w:rsidP="000B6A7C">
      <w:pPr>
        <w:pStyle w:val="PargrafodaLista"/>
        <w:widowControl w:val="0"/>
        <w:numPr>
          <w:ilvl w:val="0"/>
          <w:numId w:val="69"/>
        </w:numPr>
        <w:spacing w:before="120"/>
        <w:ind w:left="1418" w:hanging="142"/>
        <w:jc w:val="both"/>
        <w:rPr>
          <w:rFonts w:ascii="Arial" w:hAnsi="Arial" w:cs="Arial"/>
          <w:bCs/>
          <w:iCs/>
          <w:color w:val="000000"/>
          <w:sz w:val="24"/>
          <w:szCs w:val="24"/>
        </w:rPr>
      </w:pPr>
      <w:r w:rsidRPr="00DB28D9">
        <w:rPr>
          <w:rFonts w:ascii="Arial" w:hAnsi="Arial" w:cs="Arial"/>
          <w:bCs/>
          <w:iCs/>
          <w:color w:val="000000"/>
          <w:sz w:val="24"/>
          <w:szCs w:val="24"/>
        </w:rPr>
        <w:t xml:space="preserve">item </w:t>
      </w:r>
      <w:r w:rsidR="008022D7" w:rsidRPr="00DB28D9">
        <w:rPr>
          <w:rFonts w:ascii="Arial" w:hAnsi="Arial" w:cs="Arial"/>
          <w:bCs/>
          <w:iCs/>
          <w:color w:val="000000"/>
          <w:sz w:val="24"/>
          <w:szCs w:val="24"/>
        </w:rPr>
        <w:t>coberto</w:t>
      </w:r>
      <w:r w:rsidRPr="00DB28D9">
        <w:rPr>
          <w:rFonts w:ascii="Arial" w:hAnsi="Arial" w:cs="Arial"/>
          <w:bCs/>
          <w:iCs/>
          <w:color w:val="000000"/>
          <w:sz w:val="24"/>
          <w:szCs w:val="24"/>
        </w:rPr>
        <w:t>;</w:t>
      </w:r>
    </w:p>
    <w:p w14:paraId="376E76D6" w14:textId="77777777" w:rsidR="00152020" w:rsidRPr="00DB28D9" w:rsidRDefault="00152020" w:rsidP="000B6A7C">
      <w:pPr>
        <w:pStyle w:val="PargrafodaLista"/>
        <w:widowControl w:val="0"/>
        <w:numPr>
          <w:ilvl w:val="0"/>
          <w:numId w:val="69"/>
        </w:numPr>
        <w:spacing w:before="120"/>
        <w:ind w:left="1418" w:hanging="142"/>
        <w:jc w:val="both"/>
        <w:rPr>
          <w:rFonts w:ascii="Arial" w:hAnsi="Arial" w:cs="Arial"/>
          <w:bCs/>
          <w:iCs/>
          <w:color w:val="000000"/>
          <w:sz w:val="24"/>
          <w:szCs w:val="24"/>
        </w:rPr>
      </w:pPr>
      <w:r w:rsidRPr="00DB28D9">
        <w:rPr>
          <w:rFonts w:ascii="Arial" w:hAnsi="Arial" w:cs="Arial"/>
          <w:bCs/>
          <w:iCs/>
          <w:color w:val="000000"/>
          <w:sz w:val="24"/>
          <w:szCs w:val="24"/>
        </w:rPr>
        <w:t xml:space="preserve">instrumento de </w:t>
      </w:r>
      <w:r w:rsidRPr="00DB28D9">
        <w:rPr>
          <w:rFonts w:ascii="Arial" w:hAnsi="Arial" w:cs="Arial"/>
          <w:bCs/>
          <w:i/>
          <w:iCs/>
          <w:color w:val="000000"/>
          <w:sz w:val="24"/>
          <w:szCs w:val="24"/>
        </w:rPr>
        <w:t>hedge;</w:t>
      </w:r>
      <w:r w:rsidRPr="00DB28D9">
        <w:rPr>
          <w:rFonts w:ascii="Arial" w:hAnsi="Arial" w:cs="Arial"/>
          <w:bCs/>
          <w:iCs/>
          <w:color w:val="000000"/>
          <w:sz w:val="24"/>
          <w:szCs w:val="24"/>
        </w:rPr>
        <w:t xml:space="preserve"> </w:t>
      </w:r>
    </w:p>
    <w:p w14:paraId="446770FF" w14:textId="77777777" w:rsidR="00152020" w:rsidRPr="00DB28D9" w:rsidRDefault="00152020" w:rsidP="000B6A7C">
      <w:pPr>
        <w:pStyle w:val="PargrafodaLista"/>
        <w:widowControl w:val="0"/>
        <w:numPr>
          <w:ilvl w:val="0"/>
          <w:numId w:val="69"/>
        </w:numPr>
        <w:ind w:left="1418" w:hanging="142"/>
        <w:jc w:val="both"/>
        <w:rPr>
          <w:rFonts w:ascii="Arial" w:hAnsi="Arial" w:cs="Arial"/>
          <w:bCs/>
          <w:sz w:val="24"/>
          <w:szCs w:val="24"/>
        </w:rPr>
      </w:pPr>
      <w:r w:rsidRPr="00DB28D9">
        <w:rPr>
          <w:rFonts w:ascii="Arial" w:hAnsi="Arial" w:cs="Arial"/>
          <w:bCs/>
          <w:iCs/>
          <w:color w:val="000000"/>
          <w:sz w:val="24"/>
          <w:szCs w:val="24"/>
        </w:rPr>
        <w:t>mantido</w:t>
      </w:r>
      <w:r w:rsidRPr="00DB28D9">
        <w:rPr>
          <w:rFonts w:ascii="Arial" w:hAnsi="Arial" w:cs="Arial"/>
          <w:bCs/>
          <w:sz w:val="24"/>
          <w:szCs w:val="24"/>
        </w:rPr>
        <w:t xml:space="preserve"> para negociação</w:t>
      </w:r>
    </w:p>
    <w:p w14:paraId="33E19AC5" w14:textId="4A00EED1" w:rsidR="00152020" w:rsidRPr="00DB28D9" w:rsidRDefault="00152020" w:rsidP="000B6A7C">
      <w:pPr>
        <w:pStyle w:val="PargrafodaLista"/>
        <w:widowControl w:val="0"/>
        <w:numPr>
          <w:ilvl w:val="0"/>
          <w:numId w:val="69"/>
        </w:numPr>
        <w:spacing w:before="120"/>
        <w:ind w:left="1418" w:hanging="142"/>
        <w:jc w:val="both"/>
        <w:rPr>
          <w:rFonts w:ascii="Arial" w:hAnsi="Arial" w:cs="Arial"/>
          <w:bCs/>
          <w:iCs/>
          <w:color w:val="000000"/>
          <w:sz w:val="24"/>
          <w:szCs w:val="24"/>
        </w:rPr>
      </w:pPr>
      <w:r w:rsidRPr="00DB28D9">
        <w:rPr>
          <w:rFonts w:ascii="Arial" w:hAnsi="Arial" w:cs="Arial"/>
          <w:bCs/>
          <w:iCs/>
          <w:color w:val="000000"/>
          <w:sz w:val="24"/>
          <w:szCs w:val="24"/>
        </w:rPr>
        <w:t>compra ou venda regular; e</w:t>
      </w:r>
    </w:p>
    <w:p w14:paraId="70FB4351" w14:textId="0F42953C" w:rsidR="00152020" w:rsidRPr="00DB28D9" w:rsidRDefault="00152020" w:rsidP="000B6A7C">
      <w:pPr>
        <w:pStyle w:val="PargrafodaLista"/>
        <w:widowControl w:val="0"/>
        <w:numPr>
          <w:ilvl w:val="0"/>
          <w:numId w:val="69"/>
        </w:numPr>
        <w:spacing w:before="120"/>
        <w:ind w:left="1418" w:hanging="142"/>
        <w:jc w:val="both"/>
        <w:rPr>
          <w:rFonts w:ascii="Arial" w:hAnsi="Arial" w:cs="Arial"/>
          <w:bCs/>
          <w:iCs/>
          <w:color w:val="000000"/>
          <w:sz w:val="24"/>
          <w:szCs w:val="24"/>
        </w:rPr>
      </w:pPr>
      <w:r w:rsidRPr="00DB28D9">
        <w:rPr>
          <w:rFonts w:ascii="Arial" w:hAnsi="Arial" w:cs="Arial"/>
          <w:bCs/>
          <w:iCs/>
          <w:color w:val="000000"/>
          <w:sz w:val="24"/>
          <w:szCs w:val="24"/>
        </w:rPr>
        <w:t>custos de transação.</w:t>
      </w:r>
    </w:p>
    <w:p w14:paraId="72526CC3" w14:textId="1BAFEA62" w:rsidR="00152020" w:rsidRPr="00DB28D9" w:rsidRDefault="00152020" w:rsidP="000B6A7C">
      <w:pPr>
        <w:pStyle w:val="Textoembloco"/>
        <w:shd w:val="clear" w:color="auto" w:fill="FFFFFF"/>
        <w:spacing w:after="0" w:line="240" w:lineRule="auto"/>
        <w:ind w:left="567" w:hanging="534"/>
        <w:jc w:val="both"/>
        <w:rPr>
          <w:color w:val="000000"/>
          <w:sz w:val="24"/>
          <w:lang w:val="pt-BR"/>
        </w:rPr>
      </w:pPr>
      <w:r w:rsidRPr="00DB28D9">
        <w:rPr>
          <w:sz w:val="24"/>
          <w:lang w:val="pt-BR"/>
        </w:rPr>
        <w:t xml:space="preserve">11. </w:t>
      </w:r>
      <w:r w:rsidR="000B6A7C" w:rsidRPr="00DB28D9">
        <w:rPr>
          <w:sz w:val="24"/>
          <w:lang w:val="pt-BR"/>
        </w:rPr>
        <w:t xml:space="preserve"> </w:t>
      </w:r>
      <w:r w:rsidRPr="00DB28D9">
        <w:rPr>
          <w:color w:val="000000"/>
          <w:sz w:val="24"/>
          <w:lang w:val="pt-BR"/>
        </w:rPr>
        <w:t xml:space="preserve">Nesta Norma, “contrato” e “contratual” referem-se a um acordo entre duas ou mais partes que possui consequências econômicas claras que as partes têm pouca, ou nenhuma, discrição para evitar, porque, normalmente, o acordo é obrigatório nos termos da lei. Contratos e, portanto, instrumentos financeiros podem assumir uma variedade de formas e não precisam ser formalizados. </w:t>
      </w:r>
    </w:p>
    <w:p w14:paraId="5F237C3C" w14:textId="7EBF0B5E" w:rsidR="00152020" w:rsidRPr="00DB28D9" w:rsidRDefault="00152020" w:rsidP="00A44BCA">
      <w:pPr>
        <w:pStyle w:val="Textoembloco"/>
        <w:shd w:val="clear" w:color="auto" w:fill="FFFFFF"/>
        <w:spacing w:after="0" w:line="240" w:lineRule="auto"/>
        <w:ind w:left="0" w:firstLine="0"/>
        <w:jc w:val="both"/>
        <w:rPr>
          <w:b/>
          <w:bCs/>
          <w:sz w:val="24"/>
          <w:lang w:val="pt-BR"/>
        </w:rPr>
      </w:pPr>
    </w:p>
    <w:p w14:paraId="6F61EC53" w14:textId="02240805" w:rsidR="00152020" w:rsidRPr="00DB28D9" w:rsidRDefault="00152020" w:rsidP="000B6A7C">
      <w:pPr>
        <w:pStyle w:val="Textoembloco"/>
        <w:shd w:val="clear" w:color="auto" w:fill="FFFFFF"/>
        <w:tabs>
          <w:tab w:val="clear" w:pos="6804"/>
        </w:tabs>
        <w:spacing w:after="0" w:line="240" w:lineRule="auto"/>
        <w:ind w:left="567" w:hanging="534"/>
        <w:jc w:val="both"/>
        <w:rPr>
          <w:color w:val="000000"/>
          <w:sz w:val="24"/>
          <w:lang w:val="pt-BR"/>
        </w:rPr>
      </w:pPr>
      <w:r w:rsidRPr="00DB28D9">
        <w:rPr>
          <w:color w:val="000000"/>
          <w:sz w:val="24"/>
          <w:lang w:val="pt-BR"/>
        </w:rPr>
        <w:t>12.</w:t>
      </w:r>
      <w:r w:rsidRPr="00DB28D9">
        <w:rPr>
          <w:color w:val="000000"/>
          <w:sz w:val="24"/>
          <w:lang w:val="pt-BR"/>
        </w:rPr>
        <w:tab/>
      </w:r>
      <w:r w:rsidRPr="00DB28D9">
        <w:rPr>
          <w:sz w:val="24"/>
          <w:lang w:val="pt-BR"/>
        </w:rPr>
        <w:t>Nesta Norma, “entidade” inclui entidades do setor público, indivíduos, parcerias, órgãos incorporados e fideicomissos.</w:t>
      </w:r>
    </w:p>
    <w:p w14:paraId="5BDCF035" w14:textId="77777777" w:rsidR="00152020" w:rsidRPr="00DB28D9" w:rsidRDefault="00152020" w:rsidP="003B4208">
      <w:pPr>
        <w:pStyle w:val="Textoembloco"/>
        <w:spacing w:after="0" w:line="240" w:lineRule="auto"/>
        <w:ind w:left="33" w:firstLine="0"/>
        <w:jc w:val="both"/>
        <w:rPr>
          <w:b/>
          <w:sz w:val="24"/>
          <w:lang w:val="pt-BR" w:eastAsia="en-US"/>
        </w:rPr>
      </w:pPr>
    </w:p>
    <w:p w14:paraId="1AB426E3" w14:textId="77777777" w:rsidR="00152020" w:rsidRPr="00DB28D9" w:rsidRDefault="00152020" w:rsidP="003B4208">
      <w:pPr>
        <w:pStyle w:val="Textoembloco"/>
        <w:spacing w:after="0" w:line="240" w:lineRule="auto"/>
        <w:ind w:left="33" w:firstLine="0"/>
        <w:jc w:val="both"/>
        <w:rPr>
          <w:b/>
          <w:sz w:val="24"/>
          <w:lang w:val="pt-BR" w:eastAsia="en-US"/>
        </w:rPr>
      </w:pPr>
      <w:r w:rsidRPr="00DB28D9">
        <w:rPr>
          <w:b/>
          <w:sz w:val="24"/>
          <w:lang w:val="pt-BR" w:eastAsia="en-US"/>
        </w:rPr>
        <w:t>Apresentação</w:t>
      </w:r>
    </w:p>
    <w:p w14:paraId="45F802E3" w14:textId="77777777" w:rsidR="00152020" w:rsidRPr="00DB28D9" w:rsidRDefault="00152020" w:rsidP="003B4208">
      <w:pPr>
        <w:pStyle w:val="Textoembloco"/>
        <w:spacing w:after="0" w:line="240" w:lineRule="auto"/>
        <w:ind w:left="33" w:firstLine="0"/>
        <w:jc w:val="both"/>
        <w:rPr>
          <w:b/>
          <w:sz w:val="24"/>
          <w:lang w:val="pt-BR" w:eastAsia="en-US"/>
        </w:rPr>
      </w:pPr>
    </w:p>
    <w:p w14:paraId="21EA0D66" w14:textId="4F98C342" w:rsidR="00E027B0" w:rsidRPr="00DB28D9" w:rsidRDefault="00152020" w:rsidP="00E027B0">
      <w:pPr>
        <w:pStyle w:val="Textoembloco"/>
        <w:spacing w:after="0" w:line="240" w:lineRule="auto"/>
        <w:ind w:left="33" w:firstLine="0"/>
        <w:jc w:val="both"/>
        <w:rPr>
          <w:bCs/>
          <w:sz w:val="24"/>
          <w:lang w:val="pt-BR" w:eastAsia="en-US"/>
        </w:rPr>
      </w:pPr>
      <w:r w:rsidRPr="00DB28D9">
        <w:rPr>
          <w:bCs/>
          <w:sz w:val="24"/>
          <w:lang w:val="pt-BR" w:eastAsia="en-US"/>
        </w:rPr>
        <w:t xml:space="preserve">Passivo e </w:t>
      </w:r>
      <w:r w:rsidR="00577A1F" w:rsidRPr="00DB28D9">
        <w:rPr>
          <w:bCs/>
          <w:sz w:val="24"/>
          <w:lang w:val="pt-BR" w:eastAsia="en-US"/>
        </w:rPr>
        <w:t>p</w:t>
      </w:r>
      <w:r w:rsidRPr="00DB28D9">
        <w:rPr>
          <w:bCs/>
          <w:sz w:val="24"/>
          <w:lang w:val="pt-BR" w:eastAsia="en-US"/>
        </w:rPr>
        <w:t>atrimônio líquido</w:t>
      </w:r>
    </w:p>
    <w:p w14:paraId="403858B8" w14:textId="77777777" w:rsidR="00E027B0" w:rsidRPr="00DB28D9" w:rsidRDefault="00E027B0" w:rsidP="00E027B0">
      <w:pPr>
        <w:pStyle w:val="Textoembloco"/>
        <w:spacing w:after="0" w:line="240" w:lineRule="auto"/>
        <w:ind w:left="33" w:firstLine="0"/>
        <w:jc w:val="both"/>
        <w:rPr>
          <w:b/>
          <w:sz w:val="24"/>
        </w:rPr>
      </w:pPr>
    </w:p>
    <w:p w14:paraId="3EE11D0C" w14:textId="795C7105" w:rsidR="00152020" w:rsidRPr="00DB28D9" w:rsidRDefault="00152020" w:rsidP="000B6A7C">
      <w:pPr>
        <w:autoSpaceDE w:val="0"/>
        <w:autoSpaceDN w:val="0"/>
        <w:adjustRightInd w:val="0"/>
        <w:spacing w:after="0"/>
        <w:ind w:left="567" w:hanging="567"/>
        <w:jc w:val="both"/>
        <w:rPr>
          <w:rFonts w:ascii="Arial" w:hAnsi="Arial" w:cs="Arial"/>
          <w:bCs/>
          <w:color w:val="000000"/>
          <w:sz w:val="24"/>
          <w:szCs w:val="24"/>
        </w:rPr>
      </w:pPr>
      <w:r w:rsidRPr="00DB28D9">
        <w:rPr>
          <w:rFonts w:ascii="Arial" w:hAnsi="Arial" w:cs="Arial"/>
          <w:bCs/>
          <w:sz w:val="24"/>
          <w:szCs w:val="24"/>
        </w:rPr>
        <w:t>13</w:t>
      </w:r>
      <w:r w:rsidR="009C6B34" w:rsidRPr="00DB28D9">
        <w:rPr>
          <w:rFonts w:ascii="Arial" w:hAnsi="Arial" w:cs="Arial"/>
          <w:bCs/>
          <w:sz w:val="24"/>
          <w:szCs w:val="24"/>
        </w:rPr>
        <w:t>.</w:t>
      </w:r>
      <w:r w:rsidRPr="00DB28D9">
        <w:rPr>
          <w:rFonts w:ascii="Arial" w:hAnsi="Arial" w:cs="Arial"/>
          <w:bCs/>
          <w:sz w:val="24"/>
          <w:szCs w:val="24"/>
        </w:rPr>
        <w:t xml:space="preserve"> </w:t>
      </w:r>
      <w:r w:rsidR="000B6A7C" w:rsidRPr="00DB28D9">
        <w:rPr>
          <w:rFonts w:ascii="Arial" w:hAnsi="Arial" w:cs="Arial"/>
          <w:bCs/>
          <w:sz w:val="24"/>
          <w:szCs w:val="24"/>
        </w:rPr>
        <w:t xml:space="preserve"> </w:t>
      </w:r>
      <w:r w:rsidRPr="00DB28D9">
        <w:rPr>
          <w:rFonts w:ascii="Arial" w:hAnsi="Arial" w:cs="Arial"/>
          <w:bCs/>
          <w:color w:val="000000"/>
          <w:sz w:val="24"/>
          <w:szCs w:val="24"/>
        </w:rPr>
        <w:t>O emitente de instrumento financeiro deve classificar o instrumento, ou suas partes componentes, no reconhecimento inicial como passivo financeiro, ativo financeiro ou instrumento patrimonial de acordo com a essência do acordo contratual e as definições de passivo financeiro, ativo financeiro e instrumento patrimonial</w:t>
      </w:r>
      <w:r w:rsidR="000B6A7C" w:rsidRPr="00DB28D9">
        <w:rPr>
          <w:rFonts w:ascii="Arial" w:hAnsi="Arial" w:cs="Arial"/>
          <w:bCs/>
          <w:color w:val="000000"/>
          <w:sz w:val="24"/>
          <w:szCs w:val="24"/>
        </w:rPr>
        <w:t>.</w:t>
      </w:r>
    </w:p>
    <w:p w14:paraId="6A68BB1C" w14:textId="77777777" w:rsidR="000B6A7C" w:rsidRPr="00DB28D9" w:rsidRDefault="000B6A7C" w:rsidP="000B6A7C">
      <w:pPr>
        <w:autoSpaceDE w:val="0"/>
        <w:autoSpaceDN w:val="0"/>
        <w:adjustRightInd w:val="0"/>
        <w:spacing w:after="0"/>
        <w:ind w:left="567" w:hanging="567"/>
        <w:jc w:val="both"/>
        <w:rPr>
          <w:rFonts w:ascii="Arial" w:hAnsi="Arial" w:cs="Arial"/>
          <w:bCs/>
          <w:sz w:val="24"/>
          <w:szCs w:val="24"/>
        </w:rPr>
      </w:pPr>
    </w:p>
    <w:p w14:paraId="5D24265B" w14:textId="4EDF0966" w:rsidR="00152020" w:rsidRPr="00DB28D9" w:rsidRDefault="00152020" w:rsidP="000B6A7C">
      <w:pPr>
        <w:autoSpaceDE w:val="0"/>
        <w:autoSpaceDN w:val="0"/>
        <w:adjustRightInd w:val="0"/>
        <w:spacing w:after="0"/>
        <w:ind w:left="567" w:hanging="567"/>
        <w:jc w:val="both"/>
        <w:rPr>
          <w:rFonts w:ascii="Arial" w:hAnsi="Arial" w:cs="Arial"/>
          <w:color w:val="000000"/>
          <w:sz w:val="24"/>
          <w:szCs w:val="24"/>
        </w:rPr>
      </w:pPr>
      <w:r w:rsidRPr="00DB28D9">
        <w:rPr>
          <w:rFonts w:ascii="Arial" w:hAnsi="Arial" w:cs="Arial"/>
          <w:bCs/>
          <w:sz w:val="24"/>
          <w:szCs w:val="24"/>
        </w:rPr>
        <w:t>14</w:t>
      </w:r>
      <w:r w:rsidR="009C6B34" w:rsidRPr="00DB28D9">
        <w:rPr>
          <w:rFonts w:ascii="Arial" w:hAnsi="Arial" w:cs="Arial"/>
          <w:bCs/>
          <w:sz w:val="24"/>
          <w:szCs w:val="24"/>
        </w:rPr>
        <w:t>.</w:t>
      </w:r>
      <w:r w:rsidRPr="00DB28D9">
        <w:rPr>
          <w:rFonts w:ascii="Arial" w:hAnsi="Arial" w:cs="Arial"/>
          <w:bCs/>
          <w:color w:val="000000"/>
          <w:sz w:val="24"/>
          <w:szCs w:val="24"/>
        </w:rPr>
        <w:tab/>
        <w:t>Quando um emitente aplicar as definições do item 9 para determinar se um instrumento financeiro</w:t>
      </w:r>
      <w:r w:rsidRPr="00DB28D9">
        <w:rPr>
          <w:rFonts w:ascii="Arial" w:hAnsi="Arial" w:cs="Arial"/>
          <w:color w:val="000000"/>
          <w:sz w:val="24"/>
          <w:szCs w:val="24"/>
        </w:rPr>
        <w:t xml:space="preserve"> é instrumento patrimonial em vez de passivo financeiro, o instrumento será instrumento patrimonial se, e somente se, estiver de acordo com ambas as condições (a) e (b) a seguir:</w:t>
      </w:r>
    </w:p>
    <w:p w14:paraId="0FAE73D2" w14:textId="77777777" w:rsidR="00152020" w:rsidRPr="00DB28D9" w:rsidRDefault="00152020" w:rsidP="000B6A7C">
      <w:pPr>
        <w:widowControl w:val="0"/>
        <w:spacing w:after="0"/>
        <w:ind w:left="1134" w:hanging="567"/>
        <w:jc w:val="both"/>
        <w:rPr>
          <w:rFonts w:ascii="Arial" w:hAnsi="Arial" w:cs="Arial"/>
          <w:bCs/>
          <w:iCs/>
          <w:color w:val="000000"/>
          <w:sz w:val="24"/>
          <w:szCs w:val="24"/>
        </w:rPr>
      </w:pPr>
      <w:r w:rsidRPr="00DB28D9">
        <w:rPr>
          <w:rFonts w:ascii="Arial" w:hAnsi="Arial" w:cs="Arial"/>
          <w:bCs/>
          <w:iCs/>
          <w:color w:val="000000"/>
          <w:sz w:val="24"/>
          <w:szCs w:val="24"/>
        </w:rPr>
        <w:t>(a) o instrumento não possuir obrigação contratual de:</w:t>
      </w:r>
    </w:p>
    <w:p w14:paraId="329E07AC" w14:textId="77777777" w:rsidR="00152020" w:rsidRPr="00DB28D9" w:rsidRDefault="00152020" w:rsidP="000B6A7C">
      <w:pPr>
        <w:widowControl w:val="0"/>
        <w:spacing w:after="0"/>
        <w:ind w:left="1418"/>
        <w:jc w:val="both"/>
        <w:rPr>
          <w:rFonts w:ascii="Arial" w:hAnsi="Arial" w:cs="Arial"/>
          <w:bCs/>
          <w:iCs/>
          <w:color w:val="000000"/>
          <w:sz w:val="24"/>
          <w:szCs w:val="24"/>
        </w:rPr>
      </w:pPr>
      <w:r w:rsidRPr="00DB28D9">
        <w:rPr>
          <w:rFonts w:ascii="Arial" w:hAnsi="Arial" w:cs="Arial"/>
          <w:bCs/>
          <w:iCs/>
          <w:color w:val="000000"/>
          <w:sz w:val="24"/>
          <w:szCs w:val="24"/>
        </w:rPr>
        <w:t>(I) entregar caixa ou outro ativo financeiro à outra entidade; ou</w:t>
      </w:r>
    </w:p>
    <w:p w14:paraId="739916CA" w14:textId="62335A4A" w:rsidR="00152020" w:rsidRPr="00DB28D9" w:rsidRDefault="00152020" w:rsidP="000B6A7C">
      <w:pPr>
        <w:widowControl w:val="0"/>
        <w:spacing w:after="0"/>
        <w:ind w:left="1418"/>
        <w:jc w:val="both"/>
        <w:rPr>
          <w:rFonts w:ascii="Arial" w:hAnsi="Arial" w:cs="Arial"/>
          <w:bCs/>
          <w:iCs/>
          <w:color w:val="000000"/>
          <w:sz w:val="24"/>
          <w:szCs w:val="24"/>
        </w:rPr>
      </w:pPr>
      <w:r w:rsidRPr="00DB28D9">
        <w:rPr>
          <w:rFonts w:ascii="Arial" w:hAnsi="Arial" w:cs="Arial"/>
          <w:bCs/>
          <w:iCs/>
          <w:color w:val="000000"/>
          <w:sz w:val="24"/>
          <w:szCs w:val="24"/>
        </w:rPr>
        <w:t xml:space="preserve">(II) trocar ativos financeiros ou passivos financeiros com outra entidade sob condições potencialmente desfavoráveis ao </w:t>
      </w:r>
      <w:r w:rsidRPr="00DB28D9">
        <w:rPr>
          <w:rFonts w:ascii="Arial" w:hAnsi="Arial" w:cs="Arial"/>
          <w:bCs/>
          <w:color w:val="000000"/>
          <w:sz w:val="24"/>
          <w:szCs w:val="24"/>
        </w:rPr>
        <w:t>emitente</w:t>
      </w:r>
      <w:r w:rsidRPr="00DB28D9">
        <w:rPr>
          <w:rFonts w:ascii="Arial" w:hAnsi="Arial" w:cs="Arial"/>
          <w:bCs/>
          <w:iCs/>
          <w:color w:val="000000"/>
          <w:sz w:val="24"/>
          <w:szCs w:val="24"/>
        </w:rPr>
        <w:t>.</w:t>
      </w:r>
    </w:p>
    <w:p w14:paraId="530C4442" w14:textId="2A5843B7" w:rsidR="00152020" w:rsidRPr="00DB28D9" w:rsidRDefault="00152020" w:rsidP="000B6A7C">
      <w:pPr>
        <w:widowControl w:val="0"/>
        <w:tabs>
          <w:tab w:val="num" w:pos="1134"/>
        </w:tabs>
        <w:spacing w:after="0"/>
        <w:ind w:left="993" w:hanging="426"/>
        <w:jc w:val="both"/>
        <w:rPr>
          <w:rFonts w:ascii="Arial" w:hAnsi="Arial" w:cs="Arial"/>
          <w:bCs/>
          <w:iCs/>
          <w:color w:val="000000"/>
          <w:sz w:val="24"/>
          <w:szCs w:val="24"/>
        </w:rPr>
      </w:pPr>
      <w:r w:rsidRPr="00DB28D9">
        <w:rPr>
          <w:rFonts w:ascii="Arial" w:hAnsi="Arial" w:cs="Arial"/>
          <w:bCs/>
          <w:iCs/>
          <w:color w:val="000000"/>
          <w:sz w:val="24"/>
          <w:szCs w:val="24"/>
        </w:rPr>
        <w:t xml:space="preserve">(b) se o instrumento for ou puder ser liquidado por instrumentos patrimoniais do próprio </w:t>
      </w:r>
      <w:r w:rsidRPr="00DB28D9">
        <w:rPr>
          <w:rFonts w:ascii="Arial" w:hAnsi="Arial" w:cs="Arial"/>
          <w:bCs/>
          <w:iCs/>
          <w:color w:val="000000"/>
          <w:sz w:val="24"/>
          <w:szCs w:val="24"/>
        </w:rPr>
        <w:lastRenderedPageBreak/>
        <w:t xml:space="preserve">emitente, é: </w:t>
      </w:r>
    </w:p>
    <w:p w14:paraId="18A38201" w14:textId="77777777" w:rsidR="00152020" w:rsidRPr="00DB28D9" w:rsidRDefault="00152020" w:rsidP="000B6A7C">
      <w:pPr>
        <w:widowControl w:val="0"/>
        <w:tabs>
          <w:tab w:val="left" w:pos="2127"/>
        </w:tabs>
        <w:spacing w:after="0"/>
        <w:ind w:left="1418"/>
        <w:jc w:val="both"/>
        <w:rPr>
          <w:rFonts w:ascii="Arial" w:hAnsi="Arial" w:cs="Arial"/>
          <w:bCs/>
          <w:iCs/>
          <w:color w:val="000000"/>
          <w:sz w:val="24"/>
          <w:szCs w:val="24"/>
        </w:rPr>
      </w:pPr>
      <w:r w:rsidRPr="00DB28D9">
        <w:rPr>
          <w:rFonts w:ascii="Arial" w:hAnsi="Arial" w:cs="Arial"/>
          <w:bCs/>
          <w:iCs/>
          <w:color w:val="000000"/>
          <w:sz w:val="24"/>
          <w:szCs w:val="24"/>
        </w:rPr>
        <w:t xml:space="preserve">(i) um não derivativo que não inclui obrigação contratual para o emitente de entregar um número variável de seus próprios instrumentos patrimoniais; ou </w:t>
      </w:r>
    </w:p>
    <w:p w14:paraId="65F0687A" w14:textId="6D45443C" w:rsidR="00152020" w:rsidRPr="00DB28D9" w:rsidRDefault="00152020" w:rsidP="000B6A7C">
      <w:pPr>
        <w:widowControl w:val="0"/>
        <w:tabs>
          <w:tab w:val="left" w:pos="2127"/>
        </w:tabs>
        <w:spacing w:after="0"/>
        <w:ind w:left="1418"/>
        <w:jc w:val="both"/>
        <w:rPr>
          <w:rFonts w:ascii="Arial" w:hAnsi="Arial" w:cs="Arial"/>
          <w:bCs/>
          <w:iCs/>
          <w:color w:val="000000"/>
          <w:sz w:val="24"/>
          <w:szCs w:val="24"/>
        </w:rPr>
      </w:pPr>
      <w:r w:rsidRPr="00DB28D9">
        <w:rPr>
          <w:rFonts w:ascii="Arial" w:hAnsi="Arial" w:cs="Arial"/>
          <w:bCs/>
          <w:iCs/>
          <w:sz w:val="24"/>
          <w:szCs w:val="24"/>
        </w:rPr>
        <w:t xml:space="preserve"> (</w:t>
      </w:r>
      <w:proofErr w:type="spellStart"/>
      <w:r w:rsidRPr="00DB28D9">
        <w:rPr>
          <w:rFonts w:ascii="Arial" w:hAnsi="Arial" w:cs="Arial"/>
          <w:bCs/>
          <w:iCs/>
          <w:sz w:val="24"/>
          <w:szCs w:val="24"/>
        </w:rPr>
        <w:t>ii</w:t>
      </w:r>
      <w:proofErr w:type="spellEnd"/>
      <w:r w:rsidRPr="00DB28D9">
        <w:rPr>
          <w:rFonts w:ascii="Arial" w:hAnsi="Arial" w:cs="Arial"/>
          <w:bCs/>
          <w:iCs/>
          <w:sz w:val="24"/>
          <w:szCs w:val="24"/>
        </w:rPr>
        <w:t>) um derivativo que será liquidado somente pelo emitente por meio da troca de um montante fixo de caixa ou outro ativo financeiro por número fixo de seus instrumentos patrimoniais. Para esta finalidade, direitos, opções ou garantias (</w:t>
      </w:r>
      <w:r w:rsidRPr="00DB28D9">
        <w:rPr>
          <w:rFonts w:ascii="Arial" w:hAnsi="Arial" w:cs="Arial"/>
          <w:bCs/>
          <w:i/>
          <w:iCs/>
          <w:sz w:val="24"/>
          <w:szCs w:val="24"/>
        </w:rPr>
        <w:t>warrants</w:t>
      </w:r>
      <w:r w:rsidRPr="00DB28D9">
        <w:rPr>
          <w:rFonts w:ascii="Arial" w:hAnsi="Arial" w:cs="Arial"/>
          <w:bCs/>
          <w:iCs/>
          <w:sz w:val="24"/>
          <w:szCs w:val="24"/>
        </w:rPr>
        <w:t xml:space="preserve">) para adquirir um número fixo de instrumentos patrimoniais da própria entidade por um montante fixo de qualquer moeda são instrumentos patrimoniais se a entidade ofertar, </w:t>
      </w:r>
      <w:r w:rsidRPr="00DB28D9">
        <w:rPr>
          <w:rFonts w:ascii="Arial" w:hAnsi="Arial" w:cs="Arial"/>
          <w:bCs/>
          <w:i/>
          <w:iCs/>
          <w:sz w:val="24"/>
          <w:szCs w:val="24"/>
        </w:rPr>
        <w:t>pro rata</w:t>
      </w:r>
      <w:r w:rsidRPr="00DB28D9">
        <w:rPr>
          <w:rFonts w:ascii="Arial" w:hAnsi="Arial" w:cs="Arial"/>
          <w:bCs/>
          <w:iCs/>
          <w:sz w:val="24"/>
          <w:szCs w:val="24"/>
        </w:rPr>
        <w:t>, direitos, opções ou garantias (</w:t>
      </w:r>
      <w:r w:rsidRPr="00DB28D9">
        <w:rPr>
          <w:rFonts w:ascii="Arial" w:hAnsi="Arial" w:cs="Arial"/>
          <w:bCs/>
          <w:i/>
          <w:iCs/>
          <w:sz w:val="24"/>
          <w:szCs w:val="24"/>
        </w:rPr>
        <w:t>warrants</w:t>
      </w:r>
      <w:r w:rsidRPr="00DB28D9">
        <w:rPr>
          <w:rFonts w:ascii="Arial" w:hAnsi="Arial" w:cs="Arial"/>
          <w:bCs/>
          <w:iCs/>
          <w:sz w:val="24"/>
          <w:szCs w:val="24"/>
        </w:rPr>
        <w:t>)</w:t>
      </w:r>
      <w:r w:rsidRPr="00DB28D9">
        <w:rPr>
          <w:rFonts w:ascii="Arial" w:hAnsi="Arial" w:cs="Arial"/>
          <w:bCs/>
          <w:i/>
          <w:iCs/>
          <w:sz w:val="24"/>
          <w:szCs w:val="24"/>
        </w:rPr>
        <w:t xml:space="preserve"> </w:t>
      </w:r>
      <w:r w:rsidRPr="00DB28D9">
        <w:rPr>
          <w:rFonts w:ascii="Arial" w:hAnsi="Arial" w:cs="Arial"/>
          <w:bCs/>
          <w:iCs/>
          <w:sz w:val="24"/>
          <w:szCs w:val="24"/>
        </w:rPr>
        <w:t>a todos os detentores já existentes da mesma classe de seus instrumentos patrimoniais não derivativos. Além disso, para estas finalidades, os instrumentos patrimoniais do emitente não incluem</w:t>
      </w:r>
      <w:r w:rsidRPr="00DB28D9">
        <w:rPr>
          <w:rFonts w:ascii="Arial" w:hAnsi="Arial" w:cs="Arial"/>
          <w:bCs/>
          <w:iCs/>
          <w:color w:val="000000"/>
          <w:sz w:val="24"/>
          <w:szCs w:val="24"/>
        </w:rPr>
        <w:t xml:space="preserve"> instrumentos que têm todas as características e satisfazem as condições descritas nos itens 15 e 16 ou itens 17 e 18, ou instrumentos que são contratos para futuro recebimento ou entrega de instrumentos patrimoniais do emitente.</w:t>
      </w:r>
    </w:p>
    <w:p w14:paraId="1557A198" w14:textId="77777777" w:rsidR="000B6A7C" w:rsidRPr="00DB28D9" w:rsidRDefault="000B6A7C" w:rsidP="000B6A7C">
      <w:pPr>
        <w:widowControl w:val="0"/>
        <w:tabs>
          <w:tab w:val="left" w:pos="2127"/>
        </w:tabs>
        <w:spacing w:after="0"/>
        <w:ind w:left="1418"/>
        <w:jc w:val="both"/>
        <w:rPr>
          <w:rFonts w:ascii="Arial" w:hAnsi="Arial" w:cs="Arial"/>
          <w:bCs/>
          <w:iCs/>
          <w:color w:val="FF0000"/>
          <w:sz w:val="24"/>
          <w:szCs w:val="24"/>
        </w:rPr>
      </w:pPr>
    </w:p>
    <w:p w14:paraId="4C601B58" w14:textId="05ABFEEF" w:rsidR="00152020" w:rsidRPr="00DB28D9" w:rsidRDefault="00152020" w:rsidP="003B4208">
      <w:pPr>
        <w:jc w:val="both"/>
        <w:rPr>
          <w:rFonts w:ascii="Arial" w:hAnsi="Arial" w:cs="Arial"/>
          <w:color w:val="000000"/>
          <w:sz w:val="24"/>
          <w:szCs w:val="24"/>
        </w:rPr>
      </w:pPr>
      <w:r w:rsidRPr="00DB28D9">
        <w:rPr>
          <w:rFonts w:ascii="Arial" w:eastAsia="Times New Roman" w:hAnsi="Arial" w:cs="Arial"/>
          <w:color w:val="000000"/>
          <w:sz w:val="24"/>
          <w:szCs w:val="24"/>
        </w:rPr>
        <w:t xml:space="preserve">A </w:t>
      </w:r>
      <w:r w:rsidR="00EF4542" w:rsidRPr="00DB28D9">
        <w:rPr>
          <w:rFonts w:ascii="Arial" w:eastAsia="Times New Roman" w:hAnsi="Arial" w:cs="Arial"/>
          <w:color w:val="000000"/>
          <w:sz w:val="24"/>
          <w:szCs w:val="24"/>
        </w:rPr>
        <w:t>obrigação contratual, incluindo</w:t>
      </w:r>
      <w:r w:rsidRPr="00DB28D9">
        <w:rPr>
          <w:rFonts w:ascii="Arial" w:eastAsia="Times New Roman" w:hAnsi="Arial" w:cs="Arial"/>
          <w:color w:val="000000"/>
          <w:sz w:val="24"/>
          <w:szCs w:val="24"/>
        </w:rPr>
        <w:t xml:space="preserve"> aquela advinda de instrumento fin</w:t>
      </w:r>
      <w:r w:rsidR="00EF4542" w:rsidRPr="00DB28D9">
        <w:rPr>
          <w:rFonts w:ascii="Arial" w:eastAsia="Times New Roman" w:hAnsi="Arial" w:cs="Arial"/>
          <w:color w:val="000000"/>
          <w:sz w:val="24"/>
          <w:szCs w:val="24"/>
        </w:rPr>
        <w:t xml:space="preserve">anceiro derivativo, que irá ou </w:t>
      </w:r>
      <w:r w:rsidRPr="00DB28D9">
        <w:rPr>
          <w:rFonts w:ascii="Arial" w:eastAsia="Times New Roman" w:hAnsi="Arial" w:cs="Arial"/>
          <w:color w:val="000000"/>
          <w:sz w:val="24"/>
          <w:szCs w:val="24"/>
        </w:rPr>
        <w:t>poderá resultar em entrega ou recebimento futuro dos instrumentos patrimoniais do próprio emitente, mas não satisfazem às condições (a) e (b) acima, não é um instrumento patrimonial. Como exceção, um instru</w:t>
      </w:r>
      <w:r w:rsidR="00EF4542" w:rsidRPr="00DB28D9">
        <w:rPr>
          <w:rFonts w:ascii="Arial" w:eastAsia="Times New Roman" w:hAnsi="Arial" w:cs="Arial"/>
          <w:color w:val="000000"/>
          <w:sz w:val="24"/>
          <w:szCs w:val="24"/>
        </w:rPr>
        <w:t>mento que satisfaça a definição</w:t>
      </w:r>
      <w:r w:rsidRPr="00DB28D9">
        <w:rPr>
          <w:rFonts w:ascii="Arial" w:eastAsia="Times New Roman" w:hAnsi="Arial" w:cs="Arial"/>
          <w:color w:val="000000"/>
          <w:sz w:val="24"/>
          <w:szCs w:val="24"/>
        </w:rPr>
        <w:t xml:space="preserve"> de passivo financeiro é classificado como instrumento patrimonial se tiver todas as características e reunir as condições dos </w:t>
      </w:r>
      <w:r w:rsidRPr="00DB28D9">
        <w:rPr>
          <w:rFonts w:ascii="Arial" w:eastAsia="Times New Roman" w:hAnsi="Arial" w:cs="Arial"/>
          <w:bCs/>
          <w:iCs/>
          <w:color w:val="000000"/>
          <w:sz w:val="24"/>
          <w:szCs w:val="24"/>
        </w:rPr>
        <w:t>itens</w:t>
      </w:r>
      <w:r w:rsidRPr="00DB28D9">
        <w:rPr>
          <w:rFonts w:ascii="Arial" w:eastAsia="Times New Roman" w:hAnsi="Arial" w:cs="Arial"/>
          <w:color w:val="000000"/>
          <w:sz w:val="24"/>
          <w:szCs w:val="24"/>
        </w:rPr>
        <w:t xml:space="preserve"> 15 e 16 ou</w:t>
      </w:r>
      <w:r w:rsidRPr="00DB28D9">
        <w:rPr>
          <w:rFonts w:ascii="Arial" w:hAnsi="Arial" w:cs="Arial"/>
          <w:bCs/>
          <w:iCs/>
          <w:color w:val="000000"/>
          <w:sz w:val="24"/>
          <w:szCs w:val="24"/>
        </w:rPr>
        <w:t xml:space="preserve"> itens</w:t>
      </w:r>
      <w:r w:rsidRPr="00DB28D9">
        <w:rPr>
          <w:rFonts w:ascii="Arial" w:hAnsi="Arial" w:cs="Arial"/>
          <w:color w:val="000000"/>
          <w:sz w:val="24"/>
          <w:szCs w:val="24"/>
        </w:rPr>
        <w:t xml:space="preserve"> 17 e 18. </w:t>
      </w:r>
    </w:p>
    <w:p w14:paraId="5BF87828" w14:textId="77777777" w:rsidR="00152020" w:rsidRPr="00DB28D9" w:rsidRDefault="00152020" w:rsidP="003B4208">
      <w:pPr>
        <w:pStyle w:val="Textoembloco"/>
        <w:spacing w:after="0" w:line="240" w:lineRule="auto"/>
        <w:jc w:val="both"/>
        <w:rPr>
          <w:i/>
          <w:sz w:val="24"/>
          <w:lang w:val="pt-BR"/>
        </w:rPr>
      </w:pPr>
      <w:r w:rsidRPr="00DB28D9">
        <w:rPr>
          <w:i/>
          <w:sz w:val="24"/>
          <w:lang w:val="pt-BR"/>
        </w:rPr>
        <w:t>Instrumentos com opção de venda</w:t>
      </w:r>
    </w:p>
    <w:p w14:paraId="1E05EF4A" w14:textId="296D3D7E" w:rsidR="00152020" w:rsidRPr="00DB28D9" w:rsidRDefault="00152020" w:rsidP="003B4208">
      <w:pPr>
        <w:pStyle w:val="Textoembloco"/>
        <w:spacing w:after="0" w:line="240" w:lineRule="auto"/>
        <w:jc w:val="both"/>
        <w:rPr>
          <w:i/>
          <w:sz w:val="24"/>
          <w:lang w:val="pt-BR"/>
        </w:rPr>
      </w:pPr>
    </w:p>
    <w:p w14:paraId="64B9A812" w14:textId="1A07A85D" w:rsidR="00152020" w:rsidRPr="00DB28D9" w:rsidRDefault="00152020" w:rsidP="000B6A7C">
      <w:pPr>
        <w:pStyle w:val="Textoembloco"/>
        <w:shd w:val="clear" w:color="auto" w:fill="FFFFFF"/>
        <w:tabs>
          <w:tab w:val="clear" w:pos="6804"/>
        </w:tabs>
        <w:spacing w:after="0" w:line="240" w:lineRule="auto"/>
        <w:ind w:left="567" w:hanging="534"/>
        <w:jc w:val="both"/>
        <w:rPr>
          <w:color w:val="000000"/>
          <w:sz w:val="24"/>
          <w:lang w:val="pt-BR"/>
        </w:rPr>
      </w:pPr>
      <w:r w:rsidRPr="00DB28D9">
        <w:rPr>
          <w:color w:val="000000"/>
          <w:sz w:val="24"/>
          <w:lang w:val="pt-BR"/>
        </w:rPr>
        <w:t>15.</w:t>
      </w:r>
      <w:r w:rsidRPr="00DB28D9">
        <w:rPr>
          <w:color w:val="000000"/>
          <w:sz w:val="24"/>
          <w:lang w:val="pt-BR"/>
        </w:rPr>
        <w:tab/>
        <w:t xml:space="preserve">Um instrumento financeiro com opção de venda inclui uma obrigação contratual para o emitente de recomprar ou resgatar aquele instrumento por caixa ou outro ativo financeiro no exercício da opção de venda. Como uma exceção à definição de passivo financeiro, um instrumento que inclua tal obrigação é classificado como instrumento patrimonial se tiver todas as seguintes características: </w:t>
      </w:r>
    </w:p>
    <w:p w14:paraId="4171B19A" w14:textId="4DFE0A20" w:rsidR="00152020" w:rsidRPr="00DB28D9" w:rsidRDefault="00E027B0" w:rsidP="000B6A7C">
      <w:pPr>
        <w:widowControl w:val="0"/>
        <w:spacing w:after="0"/>
        <w:ind w:left="993" w:hanging="426"/>
        <w:jc w:val="both"/>
        <w:rPr>
          <w:rFonts w:ascii="Arial" w:hAnsi="Arial" w:cs="Arial"/>
          <w:bCs/>
          <w:iCs/>
          <w:color w:val="000000"/>
          <w:sz w:val="24"/>
          <w:szCs w:val="24"/>
        </w:rPr>
      </w:pPr>
      <w:r w:rsidRPr="00DB28D9">
        <w:rPr>
          <w:rFonts w:ascii="Arial" w:hAnsi="Arial" w:cs="Arial"/>
          <w:bCs/>
          <w:iCs/>
          <w:color w:val="000000"/>
          <w:sz w:val="24"/>
          <w:szCs w:val="24"/>
        </w:rPr>
        <w:t xml:space="preserve">(a) </w:t>
      </w:r>
      <w:r w:rsidR="00152020" w:rsidRPr="00DB28D9">
        <w:rPr>
          <w:rFonts w:ascii="Arial" w:hAnsi="Arial" w:cs="Arial"/>
          <w:bCs/>
          <w:iCs/>
          <w:color w:val="000000"/>
          <w:sz w:val="24"/>
          <w:szCs w:val="24"/>
        </w:rPr>
        <w:t xml:space="preserve">dá ao detentor a participação </w:t>
      </w:r>
      <w:r w:rsidR="00152020" w:rsidRPr="00DB28D9">
        <w:rPr>
          <w:rFonts w:ascii="Arial" w:hAnsi="Arial" w:cs="Arial"/>
          <w:bCs/>
          <w:i/>
          <w:iCs/>
          <w:color w:val="000000"/>
          <w:sz w:val="24"/>
          <w:szCs w:val="24"/>
        </w:rPr>
        <w:t>pro rata</w:t>
      </w:r>
      <w:r w:rsidR="00152020" w:rsidRPr="00DB28D9">
        <w:rPr>
          <w:rFonts w:ascii="Arial" w:hAnsi="Arial" w:cs="Arial"/>
          <w:bCs/>
          <w:iCs/>
          <w:color w:val="000000"/>
          <w:sz w:val="24"/>
          <w:szCs w:val="24"/>
        </w:rPr>
        <w:t xml:space="preserve"> dos ativos líquidos da entidade em caso de liquidação da entidade. Os ativos líquidos da entidade são aqueles ativos que r</w:t>
      </w:r>
      <w:r w:rsidR="00EF4542" w:rsidRPr="00DB28D9">
        <w:rPr>
          <w:rFonts w:ascii="Arial" w:hAnsi="Arial" w:cs="Arial"/>
          <w:bCs/>
          <w:iCs/>
          <w:color w:val="000000"/>
          <w:sz w:val="24"/>
          <w:szCs w:val="24"/>
        </w:rPr>
        <w:t>emanescem após a dedução de todos os outro</w:t>
      </w:r>
      <w:r w:rsidR="00152020" w:rsidRPr="00DB28D9">
        <w:rPr>
          <w:rFonts w:ascii="Arial" w:hAnsi="Arial" w:cs="Arial"/>
          <w:bCs/>
          <w:iCs/>
          <w:color w:val="000000"/>
          <w:sz w:val="24"/>
          <w:szCs w:val="24"/>
        </w:rPr>
        <w:t xml:space="preserve">s créditos vinculados aos seus ativos. A divisão </w:t>
      </w:r>
      <w:r w:rsidR="00152020" w:rsidRPr="00DB28D9">
        <w:rPr>
          <w:rFonts w:ascii="Arial" w:hAnsi="Arial" w:cs="Arial"/>
          <w:bCs/>
          <w:i/>
          <w:iCs/>
          <w:color w:val="000000"/>
          <w:sz w:val="24"/>
          <w:szCs w:val="24"/>
        </w:rPr>
        <w:t>pro rata</w:t>
      </w:r>
      <w:r w:rsidR="00152020" w:rsidRPr="00DB28D9">
        <w:rPr>
          <w:rFonts w:ascii="Arial" w:hAnsi="Arial" w:cs="Arial"/>
          <w:bCs/>
          <w:iCs/>
          <w:color w:val="000000"/>
          <w:sz w:val="24"/>
          <w:szCs w:val="24"/>
        </w:rPr>
        <w:t xml:space="preserve"> é determinada por: </w:t>
      </w:r>
    </w:p>
    <w:p w14:paraId="41B72C79" w14:textId="24985290" w:rsidR="00152020" w:rsidRPr="00DB28D9" w:rsidRDefault="00152020" w:rsidP="00374E1E">
      <w:pPr>
        <w:pStyle w:val="PargrafodaLista"/>
        <w:widowControl w:val="0"/>
        <w:numPr>
          <w:ilvl w:val="0"/>
          <w:numId w:val="72"/>
        </w:numPr>
        <w:spacing w:after="0"/>
        <w:ind w:left="1418" w:firstLine="0"/>
        <w:jc w:val="both"/>
        <w:rPr>
          <w:rFonts w:ascii="Arial" w:hAnsi="Arial" w:cs="Arial"/>
          <w:bCs/>
          <w:iCs/>
          <w:color w:val="000000"/>
          <w:sz w:val="24"/>
          <w:szCs w:val="24"/>
        </w:rPr>
      </w:pPr>
      <w:r w:rsidRPr="00DB28D9">
        <w:rPr>
          <w:rFonts w:ascii="Arial" w:hAnsi="Arial" w:cs="Arial"/>
          <w:bCs/>
          <w:iCs/>
          <w:color w:val="000000"/>
          <w:sz w:val="24"/>
          <w:szCs w:val="24"/>
        </w:rPr>
        <w:t>divisão dos ativos líquidos da entidade em liquidação em unidades de igual valor; e</w:t>
      </w:r>
    </w:p>
    <w:p w14:paraId="2B31FB65" w14:textId="5E619022" w:rsidR="00152020" w:rsidRPr="00DB28D9" w:rsidRDefault="00152020" w:rsidP="000B6A7C">
      <w:pPr>
        <w:widowControl w:val="0"/>
        <w:spacing w:after="0"/>
        <w:ind w:left="1418"/>
        <w:jc w:val="both"/>
        <w:rPr>
          <w:rFonts w:ascii="Arial" w:hAnsi="Arial" w:cs="Arial"/>
          <w:bCs/>
          <w:iCs/>
          <w:color w:val="000000"/>
          <w:sz w:val="24"/>
          <w:szCs w:val="24"/>
        </w:rPr>
      </w:pPr>
      <w:r w:rsidRPr="00DB28D9">
        <w:rPr>
          <w:rFonts w:ascii="Arial" w:hAnsi="Arial" w:cs="Arial"/>
          <w:bCs/>
          <w:iCs/>
          <w:color w:val="000000"/>
          <w:sz w:val="24"/>
          <w:szCs w:val="24"/>
        </w:rPr>
        <w:t>(</w:t>
      </w:r>
      <w:proofErr w:type="spellStart"/>
      <w:r w:rsidRPr="00DB28D9">
        <w:rPr>
          <w:rFonts w:ascii="Arial" w:hAnsi="Arial" w:cs="Arial"/>
          <w:bCs/>
          <w:iCs/>
          <w:color w:val="000000"/>
          <w:sz w:val="24"/>
          <w:szCs w:val="24"/>
        </w:rPr>
        <w:t>ii</w:t>
      </w:r>
      <w:proofErr w:type="spellEnd"/>
      <w:r w:rsidRPr="00DB28D9">
        <w:rPr>
          <w:rFonts w:ascii="Arial" w:hAnsi="Arial" w:cs="Arial"/>
          <w:bCs/>
          <w:iCs/>
          <w:color w:val="000000"/>
          <w:sz w:val="24"/>
          <w:szCs w:val="24"/>
        </w:rPr>
        <w:t>) multiplicação daquele montante pelo número de unidades mantidas pelo detentor dos instrumentos financeiros;</w:t>
      </w:r>
    </w:p>
    <w:p w14:paraId="37861893" w14:textId="5FE345A3" w:rsidR="00152020" w:rsidRPr="00DB28D9" w:rsidRDefault="00152020" w:rsidP="00374E1E">
      <w:pPr>
        <w:widowControl w:val="0"/>
        <w:spacing w:after="0"/>
        <w:ind w:left="993" w:hanging="426"/>
        <w:jc w:val="both"/>
        <w:rPr>
          <w:rFonts w:ascii="Arial" w:hAnsi="Arial" w:cs="Arial"/>
          <w:bCs/>
          <w:iCs/>
          <w:color w:val="000000"/>
          <w:sz w:val="24"/>
          <w:szCs w:val="24"/>
        </w:rPr>
      </w:pPr>
      <w:r w:rsidRPr="00DB28D9">
        <w:rPr>
          <w:rFonts w:ascii="Arial" w:hAnsi="Arial" w:cs="Arial"/>
          <w:bCs/>
          <w:iCs/>
          <w:color w:val="000000"/>
          <w:sz w:val="24"/>
          <w:szCs w:val="24"/>
        </w:rPr>
        <w:t>(b) o instrumento está na classe de instrumentos que é subordinada a todas as outras classes de instrumentos. Para estar em tal classe o instrumento:</w:t>
      </w:r>
    </w:p>
    <w:p w14:paraId="2E6992CD" w14:textId="0F57B952" w:rsidR="00152020" w:rsidRPr="00DB28D9" w:rsidRDefault="00152020" w:rsidP="00374E1E">
      <w:pPr>
        <w:pStyle w:val="PargrafodaLista"/>
        <w:widowControl w:val="0"/>
        <w:numPr>
          <w:ilvl w:val="0"/>
          <w:numId w:val="63"/>
        </w:numPr>
        <w:spacing w:after="0"/>
        <w:ind w:left="1418" w:firstLine="0"/>
        <w:jc w:val="both"/>
        <w:rPr>
          <w:rFonts w:ascii="Arial" w:eastAsia="Times New Roman" w:hAnsi="Arial" w:cs="Arial"/>
          <w:sz w:val="24"/>
          <w:szCs w:val="24"/>
          <w:lang w:bidi="en-US"/>
        </w:rPr>
      </w:pPr>
      <w:r w:rsidRPr="00DB28D9">
        <w:rPr>
          <w:rFonts w:ascii="Arial" w:eastAsia="Times New Roman" w:hAnsi="Arial" w:cs="Arial"/>
          <w:sz w:val="24"/>
          <w:szCs w:val="24"/>
          <w:lang w:bidi="en-US"/>
        </w:rPr>
        <w:t>não tem prioridade sobre os demais créditos relacionados aos ativos da entidade em liquidação; e</w:t>
      </w:r>
    </w:p>
    <w:p w14:paraId="23317C52" w14:textId="0005C2AE" w:rsidR="00152020" w:rsidRPr="00DB28D9" w:rsidRDefault="00152020" w:rsidP="00374E1E">
      <w:pPr>
        <w:widowControl w:val="0"/>
        <w:spacing w:after="0"/>
        <w:ind w:left="1418"/>
        <w:jc w:val="both"/>
        <w:rPr>
          <w:rFonts w:ascii="Arial" w:hAnsi="Arial" w:cs="Arial"/>
          <w:bCs/>
          <w:iCs/>
          <w:color w:val="000000"/>
          <w:sz w:val="24"/>
          <w:szCs w:val="24"/>
        </w:rPr>
      </w:pPr>
      <w:r w:rsidRPr="00DB28D9">
        <w:rPr>
          <w:rFonts w:ascii="Arial" w:hAnsi="Arial" w:cs="Arial"/>
          <w:bCs/>
          <w:iCs/>
          <w:color w:val="000000"/>
          <w:sz w:val="24"/>
          <w:szCs w:val="24"/>
        </w:rPr>
        <w:t>(</w:t>
      </w:r>
      <w:proofErr w:type="spellStart"/>
      <w:r w:rsidRPr="00DB28D9">
        <w:rPr>
          <w:rFonts w:ascii="Arial" w:hAnsi="Arial" w:cs="Arial"/>
          <w:bCs/>
          <w:iCs/>
          <w:color w:val="000000"/>
          <w:sz w:val="24"/>
          <w:szCs w:val="24"/>
        </w:rPr>
        <w:t>ii</w:t>
      </w:r>
      <w:proofErr w:type="spellEnd"/>
      <w:r w:rsidRPr="00DB28D9">
        <w:rPr>
          <w:rFonts w:ascii="Arial" w:hAnsi="Arial" w:cs="Arial"/>
          <w:bCs/>
          <w:iCs/>
          <w:color w:val="000000"/>
          <w:sz w:val="24"/>
          <w:szCs w:val="24"/>
        </w:rPr>
        <w:t>) não precisa ser convertido em outro instrumento antes de estar na classe de instrumentos que é subordinada a todas as outras classes de instrumentos;</w:t>
      </w:r>
    </w:p>
    <w:p w14:paraId="3C7B11F5" w14:textId="3BFBD623" w:rsidR="00152020" w:rsidRPr="00DB28D9" w:rsidRDefault="00152020" w:rsidP="00374E1E">
      <w:pPr>
        <w:widowControl w:val="0"/>
        <w:spacing w:after="0"/>
        <w:ind w:left="993" w:hanging="426"/>
        <w:jc w:val="both"/>
        <w:rPr>
          <w:rFonts w:ascii="Arial" w:hAnsi="Arial" w:cs="Arial"/>
          <w:bCs/>
          <w:iCs/>
          <w:color w:val="000000"/>
          <w:sz w:val="24"/>
          <w:szCs w:val="24"/>
        </w:rPr>
      </w:pPr>
      <w:r w:rsidRPr="00DB28D9">
        <w:rPr>
          <w:rFonts w:ascii="Arial" w:hAnsi="Arial" w:cs="Arial"/>
          <w:bCs/>
          <w:iCs/>
          <w:color w:val="000000"/>
          <w:sz w:val="24"/>
          <w:szCs w:val="24"/>
        </w:rPr>
        <w:t xml:space="preserve">(c) todos os instrumentos financeiros na classe de instrumentos que é subordinada a </w:t>
      </w:r>
      <w:r w:rsidRPr="00DB28D9">
        <w:rPr>
          <w:rFonts w:ascii="Arial" w:hAnsi="Arial" w:cs="Arial"/>
          <w:bCs/>
          <w:iCs/>
          <w:color w:val="000000"/>
          <w:sz w:val="24"/>
          <w:szCs w:val="24"/>
        </w:rPr>
        <w:lastRenderedPageBreak/>
        <w:t xml:space="preserve">todas as outras classes de instrumentos possuem características idênticas. Por exemplo, todos eles devem ter opção de venda, e a fórmula ou outro método utilizado para calcular os preços de recompra ou resgate são os mesmos para todos os instrumentos dessa classe; </w:t>
      </w:r>
    </w:p>
    <w:p w14:paraId="586CB85F" w14:textId="30E82A53" w:rsidR="00152020" w:rsidRPr="00DB28D9" w:rsidRDefault="00152020" w:rsidP="00374E1E">
      <w:pPr>
        <w:widowControl w:val="0"/>
        <w:spacing w:after="0"/>
        <w:ind w:left="993" w:hanging="426"/>
        <w:jc w:val="both"/>
        <w:rPr>
          <w:rFonts w:ascii="Arial" w:hAnsi="Arial" w:cs="Arial"/>
          <w:bCs/>
          <w:iCs/>
          <w:color w:val="000000"/>
          <w:sz w:val="24"/>
          <w:szCs w:val="24"/>
        </w:rPr>
      </w:pPr>
      <w:r w:rsidRPr="00DB28D9">
        <w:rPr>
          <w:rFonts w:ascii="Arial" w:hAnsi="Arial" w:cs="Arial"/>
          <w:bCs/>
          <w:iCs/>
          <w:color w:val="000000"/>
          <w:sz w:val="24"/>
          <w:szCs w:val="24"/>
        </w:rPr>
        <w:t xml:space="preserve">(d) além da obrigação contratual para o emitente de recomprar ou resgatar o instrumento por caixa ou outro ativo financeiro, o instrumento não inclui qualquer obrigação contratual de entregar caixa ou outro ativo financeiro à outra entidade, ou de trocar ativos financeiros ou passivos financeiros com outra entidade sob condições potencialmente desfavoráveis à entidade, e não é um contrato que será ou poderá ser liquidado por instrumentos patrimoniais da própria entidade, tal como estabelecido na alínea (b) da definição de passivo financeiro; </w:t>
      </w:r>
      <w:r w:rsidR="005040AB" w:rsidRPr="00DB28D9">
        <w:rPr>
          <w:rFonts w:ascii="Arial" w:hAnsi="Arial" w:cs="Arial"/>
          <w:bCs/>
          <w:iCs/>
          <w:color w:val="000000"/>
          <w:sz w:val="24"/>
          <w:szCs w:val="24"/>
        </w:rPr>
        <w:t>e</w:t>
      </w:r>
    </w:p>
    <w:p w14:paraId="5DEA0294" w14:textId="03E65782" w:rsidR="00152020" w:rsidRPr="00DB28D9" w:rsidRDefault="00152020" w:rsidP="00374E1E">
      <w:pPr>
        <w:widowControl w:val="0"/>
        <w:spacing w:after="0"/>
        <w:ind w:left="993" w:hanging="426"/>
        <w:jc w:val="both"/>
        <w:rPr>
          <w:rFonts w:ascii="Arial" w:hAnsi="Arial" w:cs="Arial"/>
          <w:bCs/>
          <w:iCs/>
          <w:color w:val="000000"/>
          <w:sz w:val="24"/>
          <w:szCs w:val="24"/>
        </w:rPr>
      </w:pPr>
      <w:r w:rsidRPr="00DB28D9">
        <w:rPr>
          <w:rFonts w:ascii="Arial" w:hAnsi="Arial" w:cs="Arial"/>
          <w:bCs/>
          <w:iCs/>
          <w:color w:val="000000"/>
          <w:sz w:val="24"/>
          <w:szCs w:val="24"/>
        </w:rPr>
        <w:t>(e) o fluxo de caixa total esperado atribuído ao instrumento ao longo do seu prazo de existência é baseado substancialmente no resultado, na mudança dos ativos líquidos reconhecidos da entidade ou na mudança do valor justo dos ativos líquidos reconhecidos e não reconhecidos da entidade durante o prazo de existência do instrumento (excluindo quaisquer efeitos do instrumento).</w:t>
      </w:r>
    </w:p>
    <w:p w14:paraId="36B7BCBE" w14:textId="77777777" w:rsidR="00374E1E" w:rsidRPr="00DB28D9" w:rsidRDefault="00374E1E" w:rsidP="00374E1E">
      <w:pPr>
        <w:widowControl w:val="0"/>
        <w:spacing w:after="0"/>
        <w:ind w:left="993" w:hanging="426"/>
        <w:jc w:val="both"/>
        <w:rPr>
          <w:rFonts w:ascii="Arial" w:hAnsi="Arial" w:cs="Arial"/>
          <w:bCs/>
          <w:iCs/>
          <w:color w:val="000000"/>
          <w:sz w:val="24"/>
          <w:szCs w:val="24"/>
        </w:rPr>
      </w:pPr>
    </w:p>
    <w:p w14:paraId="494568F1" w14:textId="5F8EC9F3" w:rsidR="00152020" w:rsidRPr="00DB28D9" w:rsidRDefault="00152020" w:rsidP="00374E1E">
      <w:pPr>
        <w:pStyle w:val="Textoembloco"/>
        <w:shd w:val="clear" w:color="auto" w:fill="FFFFFF"/>
        <w:spacing w:before="0" w:after="0" w:line="240" w:lineRule="auto"/>
        <w:ind w:left="567" w:hanging="567"/>
        <w:jc w:val="both"/>
        <w:rPr>
          <w:sz w:val="24"/>
          <w:lang w:val="pt-BR"/>
        </w:rPr>
      </w:pPr>
      <w:r w:rsidRPr="00DB28D9">
        <w:rPr>
          <w:color w:val="000000"/>
          <w:sz w:val="24"/>
          <w:lang w:val="pt-BR"/>
        </w:rPr>
        <w:t xml:space="preserve">16. </w:t>
      </w:r>
      <w:r w:rsidR="00374E1E" w:rsidRPr="00DB28D9">
        <w:rPr>
          <w:color w:val="000000"/>
          <w:sz w:val="24"/>
          <w:lang w:val="pt-BR"/>
        </w:rPr>
        <w:tab/>
      </w:r>
      <w:r w:rsidRPr="00DB28D9">
        <w:rPr>
          <w:color w:val="000000"/>
          <w:sz w:val="24"/>
          <w:lang w:val="pt-BR"/>
        </w:rPr>
        <w:t>Para que um instrumento seja classificado c</w:t>
      </w:r>
      <w:r w:rsidR="00421FEA" w:rsidRPr="00DB28D9">
        <w:rPr>
          <w:color w:val="000000"/>
          <w:sz w:val="24"/>
          <w:lang w:val="pt-BR"/>
        </w:rPr>
        <w:t>omo um instrumento patrimonial,</w:t>
      </w:r>
      <w:r w:rsidRPr="00DB28D9">
        <w:rPr>
          <w:color w:val="000000"/>
          <w:sz w:val="24"/>
          <w:lang w:val="pt-BR"/>
        </w:rPr>
        <w:t xml:space="preserve"> além de ter todas as características acima, o emitente não deve ter outro instrumento financeiro ou contrato que tenha:</w:t>
      </w:r>
    </w:p>
    <w:p w14:paraId="1CF03B59" w14:textId="41EE6637" w:rsidR="00152020" w:rsidRPr="00DB28D9" w:rsidRDefault="00152020" w:rsidP="00374E1E">
      <w:pPr>
        <w:spacing w:after="0"/>
        <w:ind w:left="993" w:hanging="426"/>
        <w:jc w:val="both"/>
        <w:rPr>
          <w:rFonts w:ascii="Arial" w:hAnsi="Arial" w:cs="Arial"/>
          <w:sz w:val="24"/>
          <w:szCs w:val="24"/>
        </w:rPr>
      </w:pPr>
      <w:r w:rsidRPr="00DB28D9">
        <w:rPr>
          <w:rFonts w:ascii="Arial" w:hAnsi="Arial" w:cs="Arial"/>
          <w:bCs/>
          <w:iCs/>
          <w:color w:val="000000"/>
          <w:sz w:val="24"/>
          <w:szCs w:val="24"/>
        </w:rPr>
        <w:t>(a) fluxos de caixa totais baseados</w:t>
      </w:r>
      <w:r w:rsidR="00421FEA" w:rsidRPr="00DB28D9">
        <w:rPr>
          <w:rFonts w:ascii="Arial" w:hAnsi="Arial" w:cs="Arial"/>
          <w:sz w:val="24"/>
          <w:szCs w:val="24"/>
        </w:rPr>
        <w:t xml:space="preserve"> </w:t>
      </w:r>
      <w:r w:rsidRPr="00DB28D9">
        <w:rPr>
          <w:rFonts w:ascii="Arial" w:hAnsi="Arial" w:cs="Arial"/>
          <w:sz w:val="24"/>
          <w:szCs w:val="24"/>
        </w:rPr>
        <w:t>substancialmente no resultado, na mudança nos ativos líquidos reconhecidos ou na mudança no valor justo nos ativos líquidos reconhecidos ou não reconhecidos da entidade (excluindo quaisquer efeitos de cada instrumento ou contrato);</w:t>
      </w:r>
      <w:r w:rsidR="00421FEA" w:rsidRPr="00DB28D9">
        <w:rPr>
          <w:rFonts w:ascii="Arial" w:hAnsi="Arial" w:cs="Arial"/>
          <w:sz w:val="24"/>
          <w:szCs w:val="24"/>
        </w:rPr>
        <w:t xml:space="preserve"> </w:t>
      </w:r>
      <w:r w:rsidRPr="00DB28D9">
        <w:rPr>
          <w:rFonts w:ascii="Arial" w:hAnsi="Arial" w:cs="Arial"/>
          <w:sz w:val="24"/>
          <w:szCs w:val="24"/>
        </w:rPr>
        <w:t xml:space="preserve">e </w:t>
      </w:r>
    </w:p>
    <w:p w14:paraId="4AE0CC9A" w14:textId="41D08670" w:rsidR="00152020" w:rsidRPr="00DB28D9" w:rsidRDefault="00152020" w:rsidP="00374E1E">
      <w:pPr>
        <w:widowControl w:val="0"/>
        <w:spacing w:after="0"/>
        <w:ind w:left="993" w:hanging="426"/>
        <w:jc w:val="both"/>
        <w:rPr>
          <w:rFonts w:ascii="Arial" w:hAnsi="Arial" w:cs="Arial"/>
          <w:bCs/>
          <w:iCs/>
          <w:color w:val="000000"/>
          <w:sz w:val="24"/>
          <w:szCs w:val="24"/>
        </w:rPr>
      </w:pPr>
      <w:r w:rsidRPr="00DB28D9">
        <w:rPr>
          <w:rFonts w:ascii="Arial" w:hAnsi="Arial" w:cs="Arial"/>
          <w:bCs/>
          <w:iCs/>
          <w:color w:val="000000"/>
          <w:sz w:val="24"/>
          <w:szCs w:val="24"/>
        </w:rPr>
        <w:t>(b) o efeito de restringir substancialmente ou fixar o retorno residual aos detentores dos instrumentos com opção de venda.</w:t>
      </w:r>
    </w:p>
    <w:p w14:paraId="77C2401D" w14:textId="77777777" w:rsidR="00374E1E" w:rsidRPr="00DB28D9" w:rsidRDefault="00374E1E" w:rsidP="00374E1E">
      <w:pPr>
        <w:widowControl w:val="0"/>
        <w:spacing w:after="0"/>
        <w:ind w:left="993" w:hanging="426"/>
        <w:jc w:val="both"/>
        <w:rPr>
          <w:rFonts w:ascii="Arial" w:hAnsi="Arial" w:cs="Arial"/>
          <w:sz w:val="24"/>
          <w:szCs w:val="24"/>
        </w:rPr>
      </w:pPr>
    </w:p>
    <w:p w14:paraId="2D15FC99" w14:textId="5039E86A" w:rsidR="00152020" w:rsidRPr="00DB28D9" w:rsidRDefault="00152020" w:rsidP="00374E1E">
      <w:pPr>
        <w:autoSpaceDE w:val="0"/>
        <w:autoSpaceDN w:val="0"/>
        <w:adjustRightInd w:val="0"/>
        <w:spacing w:after="0"/>
        <w:ind w:left="567"/>
        <w:jc w:val="both"/>
        <w:rPr>
          <w:rFonts w:ascii="Arial" w:hAnsi="Arial" w:cs="Arial"/>
          <w:sz w:val="24"/>
          <w:szCs w:val="24"/>
        </w:rPr>
      </w:pPr>
      <w:r w:rsidRPr="00DB28D9">
        <w:rPr>
          <w:rFonts w:ascii="Arial" w:hAnsi="Arial" w:cs="Arial"/>
          <w:color w:val="000000"/>
          <w:sz w:val="24"/>
          <w:szCs w:val="24"/>
        </w:rPr>
        <w:t>Para fins da aplicação dessa condição, a entidade não deve considerar contratos não financeiros com um detentor de instrumento descrito no item 15 que tenha termos contratuais e condições que sejam similares aos termos contratuais e condições de um contrato equivalente que possam ocorrer entre um não detentor de instrumento e a entidade emitente. Se a entidade não pode determinar se essa condição está satisfeita, não deve classificar o instrumento como instrumento patrimonial.</w:t>
      </w:r>
    </w:p>
    <w:p w14:paraId="3F884C74" w14:textId="6CFA3C44" w:rsidR="00152020" w:rsidRPr="00DB28D9" w:rsidRDefault="00152020" w:rsidP="00374E1E">
      <w:pPr>
        <w:autoSpaceDE w:val="0"/>
        <w:autoSpaceDN w:val="0"/>
        <w:adjustRightInd w:val="0"/>
        <w:ind w:left="567"/>
        <w:jc w:val="both"/>
        <w:rPr>
          <w:rFonts w:ascii="Arial" w:hAnsi="Arial" w:cs="Arial"/>
          <w:sz w:val="24"/>
          <w:szCs w:val="24"/>
        </w:rPr>
      </w:pPr>
      <w:r w:rsidRPr="00DB28D9">
        <w:rPr>
          <w:rFonts w:ascii="Arial" w:hAnsi="Arial" w:cs="Arial"/>
          <w:i/>
          <w:sz w:val="24"/>
          <w:szCs w:val="24"/>
        </w:rPr>
        <w:t xml:space="preserve">Instrumentos, ou componentes de instrumentos, que impõem à entidade a obrigação de entregar a terceiros uma participação </w:t>
      </w:r>
      <w:r w:rsidRPr="002F0E84">
        <w:rPr>
          <w:rFonts w:ascii="Arial" w:hAnsi="Arial" w:cs="Arial"/>
          <w:iCs/>
          <w:sz w:val="24"/>
          <w:szCs w:val="24"/>
        </w:rPr>
        <w:t>pro rata</w:t>
      </w:r>
      <w:r w:rsidR="00421FEA" w:rsidRPr="00DB28D9">
        <w:rPr>
          <w:rFonts w:ascii="Arial" w:hAnsi="Arial" w:cs="Arial"/>
          <w:i/>
          <w:sz w:val="24"/>
          <w:szCs w:val="24"/>
        </w:rPr>
        <w:t xml:space="preserve"> </w:t>
      </w:r>
      <w:r w:rsidRPr="000B2FEC">
        <w:rPr>
          <w:rFonts w:ascii="Arial" w:hAnsi="Arial" w:cs="Arial"/>
          <w:i/>
          <w:sz w:val="24"/>
          <w:szCs w:val="24"/>
        </w:rPr>
        <w:t>dos ativos líquidos da entidade apenas n</w:t>
      </w:r>
      <w:r w:rsidRPr="00DA4C02">
        <w:rPr>
          <w:rFonts w:ascii="Arial" w:hAnsi="Arial" w:cs="Arial"/>
          <w:i/>
          <w:sz w:val="24"/>
          <w:szCs w:val="24"/>
        </w:rPr>
        <w:t xml:space="preserve">a sua </w:t>
      </w:r>
      <w:r w:rsidRPr="00DB28D9">
        <w:rPr>
          <w:rFonts w:ascii="Arial" w:hAnsi="Arial" w:cs="Arial"/>
          <w:i/>
          <w:sz w:val="24"/>
          <w:szCs w:val="24"/>
        </w:rPr>
        <w:t>liquidação</w:t>
      </w:r>
    </w:p>
    <w:p w14:paraId="51F64310" w14:textId="3455DBE4" w:rsidR="00152020" w:rsidRPr="00DB28D9" w:rsidRDefault="00152020" w:rsidP="00374E1E">
      <w:pPr>
        <w:pStyle w:val="Textoembloco"/>
        <w:shd w:val="clear" w:color="auto" w:fill="FFFFFF"/>
        <w:spacing w:before="0" w:after="0" w:line="240" w:lineRule="auto"/>
        <w:ind w:left="567" w:hanging="567"/>
        <w:jc w:val="both"/>
        <w:rPr>
          <w:sz w:val="24"/>
          <w:lang w:val="pt-BR"/>
        </w:rPr>
      </w:pPr>
      <w:r w:rsidRPr="00DB28D9">
        <w:rPr>
          <w:color w:val="000000"/>
          <w:sz w:val="24"/>
          <w:lang w:val="pt-BR"/>
        </w:rPr>
        <w:t>17.</w:t>
      </w:r>
      <w:r w:rsidR="00374E1E" w:rsidRPr="00DB28D9">
        <w:rPr>
          <w:color w:val="000000"/>
          <w:sz w:val="24"/>
          <w:lang w:val="pt-BR"/>
        </w:rPr>
        <w:tab/>
      </w:r>
      <w:r w:rsidRPr="00DB28D9">
        <w:rPr>
          <w:color w:val="000000"/>
          <w:sz w:val="24"/>
          <w:lang w:val="pt-BR"/>
        </w:rPr>
        <w:t xml:space="preserve">Alguns instrumentos financeiros incluem uma obrigação contratual para a entidade emitente de entregar à outra entidade uma participação </w:t>
      </w:r>
      <w:r w:rsidRPr="00DB28D9">
        <w:rPr>
          <w:i/>
          <w:color w:val="000000"/>
          <w:sz w:val="24"/>
          <w:lang w:val="pt-BR"/>
        </w:rPr>
        <w:t>pro rata</w:t>
      </w:r>
      <w:r w:rsidRPr="00DB28D9">
        <w:rPr>
          <w:color w:val="000000"/>
          <w:sz w:val="24"/>
          <w:lang w:val="pt-BR"/>
        </w:rPr>
        <w:t xml:space="preserve"> dos seus ativos líquidos somente na liquidação. A obrigação surge porque a liquidação é certa de ocorrer e está fora de controle da entidade (por exemplo, entidade com prazo de existência limitado) ou é incerta de ocorrer, mas</w:t>
      </w:r>
      <w:r w:rsidR="00421FEA" w:rsidRPr="00DB28D9">
        <w:rPr>
          <w:color w:val="000000"/>
          <w:sz w:val="24"/>
          <w:lang w:val="pt-BR"/>
        </w:rPr>
        <w:t xml:space="preserve"> consta da opção do detentor do</w:t>
      </w:r>
      <w:r w:rsidRPr="00DB28D9">
        <w:rPr>
          <w:color w:val="000000"/>
          <w:sz w:val="24"/>
          <w:lang w:val="pt-BR"/>
        </w:rPr>
        <w:t xml:space="preserve"> instrumento.</w:t>
      </w:r>
      <w:r w:rsidRPr="00DB28D9">
        <w:rPr>
          <w:sz w:val="24"/>
          <w:lang w:val="pt-BR"/>
        </w:rPr>
        <w:t xml:space="preserve"> Como uma exceção à definiç</w:t>
      </w:r>
      <w:r w:rsidR="00421FEA" w:rsidRPr="00DB28D9">
        <w:rPr>
          <w:sz w:val="24"/>
          <w:lang w:val="pt-BR"/>
        </w:rPr>
        <w:t xml:space="preserve">ão de um passivo financeiro, o </w:t>
      </w:r>
      <w:r w:rsidRPr="00DB28D9">
        <w:rPr>
          <w:sz w:val="24"/>
          <w:lang w:val="pt-BR"/>
        </w:rPr>
        <w:t>instrumento que inclui essa obrigação é classificado como instrumento patrimonial se tiver todas as seguintes características:</w:t>
      </w:r>
    </w:p>
    <w:p w14:paraId="6F779440" w14:textId="71D415DB" w:rsidR="00152020" w:rsidRPr="00DB28D9" w:rsidRDefault="00152020" w:rsidP="00374E1E">
      <w:pPr>
        <w:widowControl w:val="0"/>
        <w:spacing w:after="0"/>
        <w:ind w:left="993" w:hanging="426"/>
        <w:jc w:val="both"/>
        <w:rPr>
          <w:rFonts w:ascii="Arial" w:hAnsi="Arial" w:cs="Arial"/>
          <w:bCs/>
          <w:iCs/>
          <w:color w:val="000000"/>
          <w:sz w:val="24"/>
          <w:szCs w:val="24"/>
        </w:rPr>
      </w:pPr>
      <w:r w:rsidRPr="00DB28D9">
        <w:rPr>
          <w:rFonts w:ascii="Arial" w:hAnsi="Arial" w:cs="Arial"/>
          <w:bCs/>
          <w:iCs/>
          <w:color w:val="000000"/>
          <w:sz w:val="24"/>
          <w:szCs w:val="24"/>
        </w:rPr>
        <w:t xml:space="preserve">(a) dá ao detentor uma participação </w:t>
      </w:r>
      <w:r w:rsidRPr="00DB28D9">
        <w:rPr>
          <w:rFonts w:ascii="Arial" w:hAnsi="Arial" w:cs="Arial"/>
          <w:bCs/>
          <w:i/>
          <w:iCs/>
          <w:color w:val="000000"/>
          <w:sz w:val="24"/>
          <w:szCs w:val="24"/>
        </w:rPr>
        <w:t>pro rata</w:t>
      </w:r>
      <w:r w:rsidRPr="00DB28D9">
        <w:rPr>
          <w:rFonts w:ascii="Arial" w:hAnsi="Arial" w:cs="Arial"/>
          <w:bCs/>
          <w:iCs/>
          <w:color w:val="000000"/>
          <w:sz w:val="24"/>
          <w:szCs w:val="24"/>
        </w:rPr>
        <w:t xml:space="preserve"> dos ativos líquidos da entidade no evento </w:t>
      </w:r>
      <w:r w:rsidRPr="00DB28D9">
        <w:rPr>
          <w:rFonts w:ascii="Arial" w:hAnsi="Arial" w:cs="Arial"/>
          <w:bCs/>
          <w:iCs/>
          <w:color w:val="000000"/>
          <w:sz w:val="24"/>
          <w:szCs w:val="24"/>
        </w:rPr>
        <w:lastRenderedPageBreak/>
        <w:t xml:space="preserve">de sua liquidação. Os ativos líquidos da entidade são aqueles ativos que </w:t>
      </w:r>
      <w:r w:rsidRPr="00DB28D9">
        <w:rPr>
          <w:rFonts w:ascii="Arial" w:eastAsia="Times New Roman" w:hAnsi="Arial" w:cs="Arial"/>
          <w:sz w:val="24"/>
          <w:szCs w:val="24"/>
          <w:lang w:bidi="en-US"/>
        </w:rPr>
        <w:t xml:space="preserve">remanescem após a dedução de todos os outros créditos vinculados aos seus ativos. A divisão </w:t>
      </w:r>
      <w:r w:rsidRPr="00DB28D9">
        <w:rPr>
          <w:rFonts w:ascii="Arial" w:eastAsia="Times New Roman" w:hAnsi="Arial" w:cs="Arial"/>
          <w:i/>
          <w:sz w:val="24"/>
          <w:szCs w:val="24"/>
          <w:lang w:bidi="en-US"/>
        </w:rPr>
        <w:t>pro rata</w:t>
      </w:r>
      <w:r w:rsidRPr="00DB28D9">
        <w:rPr>
          <w:rFonts w:ascii="Arial" w:eastAsia="Times New Roman" w:hAnsi="Arial" w:cs="Arial"/>
          <w:sz w:val="24"/>
          <w:szCs w:val="24"/>
          <w:lang w:bidi="en-US"/>
        </w:rPr>
        <w:t xml:space="preserve"> é determinada por:</w:t>
      </w:r>
    </w:p>
    <w:p w14:paraId="597F5A7A" w14:textId="58B60C03" w:rsidR="00152020" w:rsidRPr="00DB28D9" w:rsidRDefault="00152020" w:rsidP="00374E1E">
      <w:pPr>
        <w:widowControl w:val="0"/>
        <w:spacing w:after="0"/>
        <w:ind w:left="1418"/>
        <w:jc w:val="both"/>
        <w:rPr>
          <w:rFonts w:ascii="Arial" w:eastAsia="Times New Roman" w:hAnsi="Arial" w:cs="Arial"/>
          <w:sz w:val="24"/>
          <w:szCs w:val="24"/>
          <w:lang w:bidi="en-US"/>
        </w:rPr>
      </w:pPr>
      <w:r w:rsidRPr="00DB28D9">
        <w:rPr>
          <w:rFonts w:ascii="Arial" w:eastAsia="Times New Roman" w:hAnsi="Arial" w:cs="Arial"/>
          <w:sz w:val="24"/>
          <w:szCs w:val="24"/>
          <w:lang w:bidi="en-US"/>
        </w:rPr>
        <w:t>(i) divisão do ativo líquido da entidade em liquidação em unidades de igual valor; e</w:t>
      </w:r>
    </w:p>
    <w:p w14:paraId="05BEE4A6" w14:textId="77777777" w:rsidR="00152020" w:rsidRPr="00DB28D9" w:rsidRDefault="00152020" w:rsidP="00374E1E">
      <w:pPr>
        <w:widowControl w:val="0"/>
        <w:spacing w:after="0"/>
        <w:ind w:left="1418"/>
        <w:jc w:val="both"/>
        <w:rPr>
          <w:rFonts w:ascii="Arial" w:eastAsia="Times New Roman" w:hAnsi="Arial" w:cs="Arial"/>
          <w:sz w:val="24"/>
          <w:szCs w:val="24"/>
          <w:lang w:bidi="en-US"/>
        </w:rPr>
      </w:pPr>
      <w:r w:rsidRPr="00DB28D9">
        <w:rPr>
          <w:rFonts w:ascii="Arial" w:eastAsia="Times New Roman" w:hAnsi="Arial" w:cs="Arial"/>
          <w:sz w:val="24"/>
          <w:szCs w:val="24"/>
          <w:lang w:bidi="en-US"/>
        </w:rPr>
        <w:t>(</w:t>
      </w:r>
      <w:proofErr w:type="spellStart"/>
      <w:r w:rsidRPr="00DB28D9">
        <w:rPr>
          <w:rFonts w:ascii="Arial" w:eastAsia="Times New Roman" w:hAnsi="Arial" w:cs="Arial"/>
          <w:sz w:val="24"/>
          <w:szCs w:val="24"/>
          <w:lang w:bidi="en-US"/>
        </w:rPr>
        <w:t>ii</w:t>
      </w:r>
      <w:proofErr w:type="spellEnd"/>
      <w:r w:rsidRPr="00DB28D9">
        <w:rPr>
          <w:rFonts w:ascii="Arial" w:eastAsia="Times New Roman" w:hAnsi="Arial" w:cs="Arial"/>
          <w:sz w:val="24"/>
          <w:szCs w:val="24"/>
          <w:lang w:bidi="en-US"/>
        </w:rPr>
        <w:t>) multiplicação daquele montante pelo número de unidades mantidas pelo detentor dos instrumentos financeiros;</w:t>
      </w:r>
    </w:p>
    <w:p w14:paraId="07565E1E" w14:textId="7AD890F2" w:rsidR="00152020" w:rsidRPr="00DB28D9" w:rsidRDefault="00152020" w:rsidP="00374E1E">
      <w:pPr>
        <w:widowControl w:val="0"/>
        <w:spacing w:after="0"/>
        <w:ind w:left="993" w:hanging="426"/>
        <w:jc w:val="both"/>
        <w:rPr>
          <w:rFonts w:ascii="Arial" w:hAnsi="Arial" w:cs="Arial"/>
          <w:bCs/>
          <w:iCs/>
          <w:sz w:val="24"/>
          <w:szCs w:val="24"/>
        </w:rPr>
      </w:pPr>
      <w:r w:rsidRPr="00DB28D9">
        <w:rPr>
          <w:rFonts w:ascii="Arial" w:hAnsi="Arial" w:cs="Arial"/>
          <w:bCs/>
          <w:iCs/>
          <w:sz w:val="24"/>
          <w:szCs w:val="24"/>
        </w:rPr>
        <w:t>(b) o instrumento está na classe de instrumentos que é subordinada a todas as outras classes de instrumentos. Para estar em tal classe</w:t>
      </w:r>
      <w:r w:rsidR="00A0134C" w:rsidRPr="00DB28D9">
        <w:rPr>
          <w:rFonts w:ascii="Arial" w:hAnsi="Arial" w:cs="Arial"/>
          <w:bCs/>
          <w:iCs/>
          <w:sz w:val="24"/>
          <w:szCs w:val="24"/>
        </w:rPr>
        <w:t>,</w:t>
      </w:r>
      <w:r w:rsidRPr="00DB28D9">
        <w:rPr>
          <w:rFonts w:ascii="Arial" w:hAnsi="Arial" w:cs="Arial"/>
          <w:bCs/>
          <w:iCs/>
          <w:sz w:val="24"/>
          <w:szCs w:val="24"/>
        </w:rPr>
        <w:t xml:space="preserve"> o instrumento:</w:t>
      </w:r>
    </w:p>
    <w:p w14:paraId="17656604" w14:textId="476BCBEB" w:rsidR="00152020" w:rsidRPr="00DB28D9" w:rsidRDefault="00152020" w:rsidP="00374E1E">
      <w:pPr>
        <w:pStyle w:val="PargrafodaLista"/>
        <w:widowControl w:val="0"/>
        <w:numPr>
          <w:ilvl w:val="0"/>
          <w:numId w:val="67"/>
        </w:numPr>
        <w:spacing w:after="0"/>
        <w:ind w:left="1418" w:hanging="33"/>
        <w:jc w:val="both"/>
        <w:rPr>
          <w:rFonts w:ascii="Arial" w:hAnsi="Arial" w:cs="Arial"/>
          <w:bCs/>
          <w:iCs/>
          <w:color w:val="000000"/>
          <w:sz w:val="24"/>
          <w:szCs w:val="24"/>
        </w:rPr>
      </w:pPr>
      <w:r w:rsidRPr="00DB28D9">
        <w:rPr>
          <w:rFonts w:ascii="Arial" w:hAnsi="Arial" w:cs="Arial"/>
          <w:bCs/>
          <w:iCs/>
          <w:color w:val="000000"/>
          <w:sz w:val="24"/>
          <w:szCs w:val="24"/>
        </w:rPr>
        <w:t>não tem prioridade sobre os demais créditos relacionados aos ativos da entidade em liquidação; e</w:t>
      </w:r>
    </w:p>
    <w:p w14:paraId="28075503" w14:textId="5D4E0DAD" w:rsidR="00152020" w:rsidRPr="00DB28D9" w:rsidRDefault="00152020" w:rsidP="00374E1E">
      <w:pPr>
        <w:widowControl w:val="0"/>
        <w:spacing w:after="0"/>
        <w:ind w:left="1418" w:hanging="33"/>
        <w:jc w:val="both"/>
        <w:rPr>
          <w:rFonts w:ascii="Arial" w:hAnsi="Arial" w:cs="Arial"/>
          <w:bCs/>
          <w:iCs/>
          <w:color w:val="000000"/>
          <w:sz w:val="24"/>
          <w:szCs w:val="24"/>
        </w:rPr>
      </w:pPr>
      <w:r w:rsidRPr="00DB28D9">
        <w:rPr>
          <w:rFonts w:ascii="Arial" w:hAnsi="Arial" w:cs="Arial"/>
          <w:bCs/>
          <w:iCs/>
          <w:color w:val="000000"/>
          <w:sz w:val="24"/>
          <w:szCs w:val="24"/>
        </w:rPr>
        <w:t>(</w:t>
      </w:r>
      <w:proofErr w:type="spellStart"/>
      <w:r w:rsidRPr="00DB28D9">
        <w:rPr>
          <w:rFonts w:ascii="Arial" w:hAnsi="Arial" w:cs="Arial"/>
          <w:bCs/>
          <w:iCs/>
          <w:color w:val="000000"/>
          <w:sz w:val="24"/>
          <w:szCs w:val="24"/>
        </w:rPr>
        <w:t>ii</w:t>
      </w:r>
      <w:proofErr w:type="spellEnd"/>
      <w:r w:rsidRPr="00DB28D9">
        <w:rPr>
          <w:rFonts w:ascii="Arial" w:hAnsi="Arial" w:cs="Arial"/>
          <w:bCs/>
          <w:iCs/>
          <w:color w:val="000000"/>
          <w:sz w:val="24"/>
          <w:szCs w:val="24"/>
        </w:rPr>
        <w:t>) não precisa ser convertido em outro instrumento antes de estar na classe de instrumentos que é subordinada a todas as outras classes de instrumentos;</w:t>
      </w:r>
      <w:r w:rsidR="00A0134C" w:rsidRPr="00DB28D9">
        <w:rPr>
          <w:rFonts w:ascii="Arial" w:hAnsi="Arial" w:cs="Arial"/>
          <w:bCs/>
          <w:iCs/>
          <w:color w:val="000000"/>
          <w:sz w:val="24"/>
          <w:szCs w:val="24"/>
        </w:rPr>
        <w:t xml:space="preserve"> e</w:t>
      </w:r>
    </w:p>
    <w:p w14:paraId="3C55185A" w14:textId="2AFFC666" w:rsidR="00152020" w:rsidRPr="00DB28D9" w:rsidRDefault="00152020" w:rsidP="00374E1E">
      <w:pPr>
        <w:pStyle w:val="PargrafodaLista"/>
        <w:widowControl w:val="0"/>
        <w:numPr>
          <w:ilvl w:val="0"/>
          <w:numId w:val="70"/>
        </w:numPr>
        <w:spacing w:after="0"/>
        <w:ind w:left="993" w:hanging="426"/>
        <w:jc w:val="both"/>
        <w:rPr>
          <w:rFonts w:ascii="Arial" w:hAnsi="Arial" w:cs="Arial"/>
          <w:bCs/>
          <w:iCs/>
          <w:sz w:val="24"/>
          <w:szCs w:val="24"/>
        </w:rPr>
      </w:pPr>
      <w:r w:rsidRPr="00DB28D9">
        <w:rPr>
          <w:rFonts w:ascii="Arial" w:hAnsi="Arial" w:cs="Arial"/>
          <w:bCs/>
          <w:iCs/>
          <w:color w:val="000000"/>
          <w:sz w:val="24"/>
          <w:szCs w:val="24"/>
        </w:rPr>
        <w:t xml:space="preserve">todos os instrumentos financeiros da classe de instrumentos que está subordinada a todas as outras classes de instrumentos devem possuir obrigações contratuais idênticas para a entidade emitente de entregar uma participação </w:t>
      </w:r>
      <w:r w:rsidRPr="00DB28D9">
        <w:rPr>
          <w:rFonts w:ascii="Arial" w:hAnsi="Arial" w:cs="Arial"/>
          <w:bCs/>
          <w:i/>
          <w:iCs/>
          <w:color w:val="000000"/>
          <w:sz w:val="24"/>
          <w:szCs w:val="24"/>
        </w:rPr>
        <w:t>pro rata</w:t>
      </w:r>
      <w:r w:rsidRPr="00DB28D9">
        <w:rPr>
          <w:rFonts w:ascii="Arial" w:hAnsi="Arial" w:cs="Arial"/>
          <w:bCs/>
          <w:iCs/>
          <w:color w:val="000000"/>
          <w:sz w:val="24"/>
          <w:szCs w:val="24"/>
        </w:rPr>
        <w:t xml:space="preserve"> de seus ativos líquidos </w:t>
      </w:r>
      <w:r w:rsidRPr="00DB28D9">
        <w:rPr>
          <w:rFonts w:ascii="Arial" w:hAnsi="Arial" w:cs="Arial"/>
          <w:bCs/>
          <w:iCs/>
          <w:sz w:val="24"/>
          <w:szCs w:val="24"/>
        </w:rPr>
        <w:t>em sua liquidação.</w:t>
      </w:r>
    </w:p>
    <w:p w14:paraId="0418158F" w14:textId="77777777" w:rsidR="00374E1E" w:rsidRPr="00DB28D9" w:rsidRDefault="00374E1E" w:rsidP="00374E1E">
      <w:pPr>
        <w:pStyle w:val="PargrafodaLista"/>
        <w:widowControl w:val="0"/>
        <w:spacing w:after="0"/>
        <w:ind w:left="1211"/>
        <w:jc w:val="both"/>
        <w:rPr>
          <w:rFonts w:ascii="Arial" w:hAnsi="Arial" w:cs="Arial"/>
          <w:bCs/>
          <w:iCs/>
          <w:color w:val="000000"/>
          <w:sz w:val="24"/>
          <w:szCs w:val="24"/>
        </w:rPr>
      </w:pPr>
    </w:p>
    <w:p w14:paraId="2793FA61" w14:textId="75BAD66A" w:rsidR="00152020" w:rsidRPr="00DB28D9" w:rsidRDefault="00152020" w:rsidP="00374E1E">
      <w:pPr>
        <w:widowControl w:val="0"/>
        <w:spacing w:after="0"/>
        <w:ind w:left="567" w:hanging="567"/>
        <w:jc w:val="both"/>
        <w:rPr>
          <w:rFonts w:ascii="Arial" w:hAnsi="Arial" w:cs="Arial"/>
          <w:bCs/>
          <w:iCs/>
          <w:color w:val="000000"/>
          <w:sz w:val="24"/>
          <w:szCs w:val="24"/>
        </w:rPr>
      </w:pPr>
      <w:r w:rsidRPr="00DB28D9">
        <w:rPr>
          <w:rFonts w:ascii="Arial" w:hAnsi="Arial" w:cs="Arial"/>
          <w:bCs/>
          <w:iCs/>
          <w:color w:val="000000"/>
          <w:sz w:val="24"/>
          <w:szCs w:val="24"/>
        </w:rPr>
        <w:t>18. Para que um instrumento seja c</w:t>
      </w:r>
      <w:r w:rsidR="00421FEA" w:rsidRPr="00DB28D9">
        <w:rPr>
          <w:rFonts w:ascii="Arial" w:hAnsi="Arial" w:cs="Arial"/>
          <w:bCs/>
          <w:iCs/>
          <w:color w:val="000000"/>
          <w:sz w:val="24"/>
          <w:szCs w:val="24"/>
        </w:rPr>
        <w:t>lassificado como um instrumento</w:t>
      </w:r>
      <w:r w:rsidRPr="00DB28D9">
        <w:rPr>
          <w:rFonts w:ascii="Arial" w:hAnsi="Arial" w:cs="Arial"/>
          <w:bCs/>
          <w:iCs/>
          <w:color w:val="000000"/>
          <w:sz w:val="24"/>
          <w:szCs w:val="24"/>
        </w:rPr>
        <w:t xml:space="preserve"> patrimonial, além do instrumento ter todas as características acima, o emitente não deve ter outro instrumento financeiro ou contrato que tenha: </w:t>
      </w:r>
    </w:p>
    <w:p w14:paraId="58E318B6" w14:textId="39809060" w:rsidR="00152020" w:rsidRPr="00DB28D9" w:rsidRDefault="00152020" w:rsidP="00374E1E">
      <w:pPr>
        <w:pStyle w:val="Textoembloco"/>
        <w:shd w:val="clear" w:color="auto" w:fill="FFFFFF"/>
        <w:spacing w:before="0" w:after="0" w:line="240" w:lineRule="auto"/>
        <w:ind w:left="993" w:hanging="426"/>
        <w:jc w:val="both"/>
        <w:rPr>
          <w:color w:val="000000"/>
          <w:sz w:val="24"/>
          <w:lang w:val="pt-BR"/>
        </w:rPr>
      </w:pPr>
      <w:r w:rsidRPr="00DB28D9">
        <w:rPr>
          <w:color w:val="000000"/>
          <w:sz w:val="24"/>
          <w:lang w:val="pt-BR"/>
        </w:rPr>
        <w:t xml:space="preserve">(a) </w:t>
      </w:r>
      <w:r w:rsidRPr="00DB28D9">
        <w:rPr>
          <w:bCs/>
          <w:iCs/>
          <w:color w:val="000000"/>
          <w:sz w:val="24"/>
          <w:lang w:val="pt-BR"/>
        </w:rPr>
        <w:t>fluxos de caixa totais que se baseiam substancialmente no resultado, na mudança nos ativos líquidos reconhecidos ou na mudança no valor justo dos ativos líquidos reconhecidos e não reconhecidos da entidade (excluindo os efeitos de tal instrumento ou contrato); e</w:t>
      </w:r>
    </w:p>
    <w:p w14:paraId="1B37E958" w14:textId="77777777" w:rsidR="00152020" w:rsidRPr="00DB28D9" w:rsidRDefault="00152020" w:rsidP="00374E1E">
      <w:pPr>
        <w:widowControl w:val="0"/>
        <w:spacing w:before="120"/>
        <w:ind w:left="993" w:hanging="426"/>
        <w:jc w:val="both"/>
        <w:rPr>
          <w:rFonts w:ascii="Arial" w:hAnsi="Arial" w:cs="Arial"/>
          <w:bCs/>
          <w:iCs/>
          <w:color w:val="000000"/>
          <w:sz w:val="24"/>
          <w:szCs w:val="24"/>
        </w:rPr>
      </w:pPr>
      <w:r w:rsidRPr="00DB28D9">
        <w:rPr>
          <w:rFonts w:ascii="Arial" w:hAnsi="Arial" w:cs="Arial"/>
          <w:bCs/>
          <w:iCs/>
          <w:color w:val="000000"/>
          <w:sz w:val="24"/>
          <w:szCs w:val="24"/>
        </w:rPr>
        <w:t>(b) o efeito de restringir substancialmente ou fixar o retorno residual para os detentores dos instrumentos.</w:t>
      </w:r>
    </w:p>
    <w:p w14:paraId="4AFF85AC" w14:textId="4808A06D" w:rsidR="00152020" w:rsidRPr="00DB28D9" w:rsidRDefault="00152020" w:rsidP="00374E1E">
      <w:pPr>
        <w:widowControl w:val="0"/>
        <w:spacing w:before="120"/>
        <w:ind w:left="567"/>
        <w:jc w:val="both"/>
        <w:rPr>
          <w:rFonts w:ascii="Arial" w:hAnsi="Arial" w:cs="Arial"/>
          <w:bCs/>
          <w:iCs/>
          <w:color w:val="000000"/>
          <w:sz w:val="24"/>
          <w:szCs w:val="24"/>
        </w:rPr>
      </w:pPr>
      <w:r w:rsidRPr="00DB28D9">
        <w:rPr>
          <w:rFonts w:ascii="Arial" w:hAnsi="Arial" w:cs="Arial"/>
          <w:color w:val="000000"/>
          <w:sz w:val="24"/>
          <w:szCs w:val="24"/>
        </w:rPr>
        <w:t xml:space="preserve">Para fins da aplicação dessa condição, a entidade não deve considerar contratos não financeiros com um detentor de instrumento descrito no </w:t>
      </w:r>
      <w:r w:rsidRPr="00DB28D9">
        <w:rPr>
          <w:rFonts w:ascii="Arial" w:hAnsi="Arial" w:cs="Arial"/>
          <w:sz w:val="24"/>
          <w:szCs w:val="24"/>
        </w:rPr>
        <w:t xml:space="preserve">item 17 </w:t>
      </w:r>
      <w:r w:rsidRPr="00DB28D9">
        <w:rPr>
          <w:rFonts w:ascii="Arial" w:hAnsi="Arial" w:cs="Arial"/>
          <w:color w:val="000000"/>
          <w:sz w:val="24"/>
          <w:szCs w:val="24"/>
        </w:rPr>
        <w:t>que tenha termos contratuais e condições que sejam similares aos termos contratuais e condições de contrato equivale</w:t>
      </w:r>
      <w:r w:rsidR="00421FEA" w:rsidRPr="00DB28D9">
        <w:rPr>
          <w:rFonts w:ascii="Arial" w:hAnsi="Arial" w:cs="Arial"/>
          <w:color w:val="000000"/>
          <w:sz w:val="24"/>
          <w:szCs w:val="24"/>
        </w:rPr>
        <w:t>nte que possam ocorrer entre um</w:t>
      </w:r>
      <w:r w:rsidRPr="00DB28D9">
        <w:rPr>
          <w:rFonts w:ascii="Arial" w:hAnsi="Arial" w:cs="Arial"/>
          <w:color w:val="000000"/>
          <w:sz w:val="24"/>
          <w:szCs w:val="24"/>
        </w:rPr>
        <w:t xml:space="preserve"> não detentor de instrumento e a entidade </w:t>
      </w:r>
      <w:r w:rsidRPr="00DB28D9">
        <w:rPr>
          <w:rFonts w:ascii="Arial" w:hAnsi="Arial" w:cs="Arial"/>
          <w:bCs/>
          <w:color w:val="000000"/>
          <w:sz w:val="24"/>
          <w:szCs w:val="24"/>
        </w:rPr>
        <w:t>emitente</w:t>
      </w:r>
      <w:r w:rsidRPr="00DB28D9">
        <w:rPr>
          <w:rFonts w:ascii="Arial" w:hAnsi="Arial" w:cs="Arial"/>
          <w:color w:val="000000"/>
          <w:sz w:val="24"/>
          <w:szCs w:val="24"/>
        </w:rPr>
        <w:t>. Se a entidade não pode determinar se essa condição está satisfeita, não deve classificar o instrumento como instrumento patrimonial.</w:t>
      </w:r>
    </w:p>
    <w:p w14:paraId="7D249F8D" w14:textId="16918D9F" w:rsidR="00152020" w:rsidRPr="00DB28D9" w:rsidRDefault="00152020" w:rsidP="00374E1E">
      <w:pPr>
        <w:pStyle w:val="Textoembloco"/>
        <w:spacing w:after="0" w:line="240" w:lineRule="auto"/>
        <w:ind w:left="567" w:firstLine="0"/>
        <w:jc w:val="both"/>
        <w:rPr>
          <w:i/>
          <w:color w:val="000000"/>
          <w:sz w:val="24"/>
          <w:lang w:val="pt-BR"/>
        </w:rPr>
      </w:pPr>
      <w:r w:rsidRPr="00DB28D9">
        <w:rPr>
          <w:i/>
          <w:color w:val="000000"/>
          <w:sz w:val="24"/>
          <w:lang w:val="pt-BR"/>
        </w:rPr>
        <w:t xml:space="preserve">Reclassificação de instrumentos com opção de venda e instrumentos que impõem à entidade a obrigação de entregar a terceiros uma participação </w:t>
      </w:r>
      <w:r w:rsidRPr="002F0E84">
        <w:rPr>
          <w:iCs/>
          <w:color w:val="000000"/>
          <w:sz w:val="24"/>
          <w:lang w:val="pt-BR"/>
        </w:rPr>
        <w:t>pro rata</w:t>
      </w:r>
      <w:r w:rsidRPr="00DB28D9">
        <w:rPr>
          <w:i/>
          <w:color w:val="000000"/>
          <w:sz w:val="24"/>
          <w:lang w:val="pt-BR"/>
        </w:rPr>
        <w:t xml:space="preserve"> referente aos a</w:t>
      </w:r>
      <w:r w:rsidRPr="00DA4C02">
        <w:rPr>
          <w:i/>
          <w:color w:val="000000"/>
          <w:sz w:val="24"/>
          <w:lang w:val="pt-BR"/>
        </w:rPr>
        <w:t xml:space="preserve">tivos líquidos da </w:t>
      </w:r>
      <w:r w:rsidR="00421FEA" w:rsidRPr="00DA4C02">
        <w:rPr>
          <w:i/>
          <w:color w:val="000000"/>
          <w:sz w:val="24"/>
          <w:lang w:val="pt-BR"/>
        </w:rPr>
        <w:t xml:space="preserve">entidade </w:t>
      </w:r>
      <w:r w:rsidRPr="00DB28D9">
        <w:rPr>
          <w:i/>
          <w:color w:val="000000"/>
          <w:sz w:val="24"/>
          <w:lang w:val="pt-BR"/>
        </w:rPr>
        <w:t>somente na sua liquidação.</w:t>
      </w:r>
    </w:p>
    <w:p w14:paraId="28302D29" w14:textId="77777777" w:rsidR="003B4208" w:rsidRPr="00DB28D9" w:rsidRDefault="003B4208" w:rsidP="003B4208">
      <w:pPr>
        <w:pStyle w:val="Textoembloco"/>
        <w:spacing w:after="0" w:line="240" w:lineRule="auto"/>
        <w:ind w:left="0" w:firstLine="0"/>
        <w:jc w:val="both"/>
        <w:rPr>
          <w:color w:val="000000"/>
          <w:sz w:val="24"/>
          <w:lang w:val="pt-BR"/>
        </w:rPr>
      </w:pPr>
    </w:p>
    <w:p w14:paraId="26C09319" w14:textId="5F0A973F" w:rsidR="00152020" w:rsidRPr="00DB28D9" w:rsidRDefault="00152020" w:rsidP="00374E1E">
      <w:pPr>
        <w:pStyle w:val="Textoembloco"/>
        <w:shd w:val="clear" w:color="auto" w:fill="FFFFFF"/>
        <w:spacing w:before="0" w:after="0" w:line="240" w:lineRule="auto"/>
        <w:ind w:left="567" w:hanging="567"/>
        <w:jc w:val="both"/>
        <w:rPr>
          <w:sz w:val="24"/>
          <w:lang w:val="pt-BR"/>
        </w:rPr>
      </w:pPr>
      <w:r w:rsidRPr="00DB28D9">
        <w:rPr>
          <w:sz w:val="24"/>
          <w:lang w:val="pt-BR"/>
        </w:rPr>
        <w:t>19</w:t>
      </w:r>
      <w:r w:rsidR="009C6B34" w:rsidRPr="00DB28D9">
        <w:rPr>
          <w:sz w:val="24"/>
          <w:lang w:val="pt-BR"/>
        </w:rPr>
        <w:t>.</w:t>
      </w:r>
      <w:r w:rsidRPr="00DB28D9">
        <w:rPr>
          <w:sz w:val="24"/>
          <w:lang w:val="pt-BR"/>
        </w:rPr>
        <w:t xml:space="preserve"> </w:t>
      </w:r>
      <w:r w:rsidR="00374E1E" w:rsidRPr="00DB28D9">
        <w:rPr>
          <w:sz w:val="24"/>
          <w:lang w:val="pt-BR"/>
        </w:rPr>
        <w:tab/>
      </w:r>
      <w:r w:rsidRPr="00DB28D9">
        <w:rPr>
          <w:sz w:val="24"/>
          <w:lang w:val="pt-BR"/>
        </w:rPr>
        <w:t xml:space="preserve">A entidade deve classificar um instrumento financeiro como instrumento patrimonial de acordo com os itens 15 e 16 ou itens 17 e 18 a partir da data em que o instrumento possuir todas as características e satisfizer as condições previstas nesses itens. A entidade deve reclassificar um instrumento financeiro a partir da data em que o instrumento deixa de ter todas as características ou de satisfazer as condições previstas nos referidos itens. Por exemplo, se a entidade resgatar todos os seus </w:t>
      </w:r>
      <w:r w:rsidRPr="00DB28D9">
        <w:rPr>
          <w:sz w:val="24"/>
          <w:lang w:val="pt-BR"/>
        </w:rPr>
        <w:lastRenderedPageBreak/>
        <w:t>instrumentos emitidos sem opção de venda e quaisquer instrumentos com opção de venda que permaneçam pendentes tenham todas as características e satisfaçam todas as condições dos itens 15 e 16, a entidade deve reclassificar os instrumentos com opção de venda como instrumentos patrimoniais a partir da data da repactuação dos instrumentos sem opção de venda.</w:t>
      </w:r>
    </w:p>
    <w:p w14:paraId="5B4137F6" w14:textId="77777777" w:rsidR="003B4208" w:rsidRPr="00DB28D9" w:rsidRDefault="003B4208" w:rsidP="00374E1E">
      <w:pPr>
        <w:pStyle w:val="Textoembloco"/>
        <w:spacing w:before="0" w:after="0" w:line="240" w:lineRule="auto"/>
        <w:ind w:left="567" w:hanging="567"/>
        <w:jc w:val="both"/>
        <w:rPr>
          <w:color w:val="000000"/>
          <w:sz w:val="24"/>
          <w:lang w:val="pt-BR"/>
        </w:rPr>
      </w:pPr>
    </w:p>
    <w:p w14:paraId="2A0EDBA2" w14:textId="34593CCE" w:rsidR="00152020" w:rsidRPr="00DB28D9" w:rsidRDefault="00152020" w:rsidP="00374E1E">
      <w:pPr>
        <w:pStyle w:val="Textoembloco"/>
        <w:spacing w:before="0" w:after="0" w:line="240" w:lineRule="auto"/>
        <w:ind w:left="567" w:hanging="567"/>
        <w:jc w:val="both"/>
        <w:rPr>
          <w:color w:val="000000"/>
          <w:sz w:val="24"/>
          <w:lang w:val="pt-BR"/>
        </w:rPr>
      </w:pPr>
      <w:r w:rsidRPr="00DB28D9">
        <w:rPr>
          <w:color w:val="000000"/>
          <w:sz w:val="24"/>
          <w:lang w:val="pt-BR"/>
        </w:rPr>
        <w:t>20</w:t>
      </w:r>
      <w:r w:rsidR="009C6B34" w:rsidRPr="00DB28D9">
        <w:rPr>
          <w:color w:val="000000"/>
          <w:sz w:val="24"/>
          <w:lang w:val="pt-BR"/>
        </w:rPr>
        <w:t>.</w:t>
      </w:r>
      <w:r w:rsidRPr="00DB28D9">
        <w:rPr>
          <w:color w:val="000000"/>
          <w:sz w:val="24"/>
          <w:lang w:val="pt-BR"/>
        </w:rPr>
        <w:t xml:space="preserve"> </w:t>
      </w:r>
      <w:r w:rsidR="00374E1E" w:rsidRPr="00DB28D9">
        <w:rPr>
          <w:color w:val="000000"/>
          <w:sz w:val="24"/>
          <w:lang w:val="pt-BR"/>
        </w:rPr>
        <w:tab/>
      </w:r>
      <w:r w:rsidRPr="00DB28D9">
        <w:rPr>
          <w:color w:val="000000"/>
          <w:sz w:val="24"/>
          <w:lang w:val="pt-BR"/>
        </w:rPr>
        <w:t xml:space="preserve">A entidade deve contabilizar a reclassificação de um instrumento de acordo com </w:t>
      </w:r>
      <w:r w:rsidRPr="00DB28D9">
        <w:rPr>
          <w:sz w:val="24"/>
          <w:lang w:val="pt-BR"/>
        </w:rPr>
        <w:t>o item 19 da seguinte forma:</w:t>
      </w:r>
    </w:p>
    <w:p w14:paraId="170C970B" w14:textId="1ED7AB80" w:rsidR="00152020" w:rsidRPr="00DB28D9" w:rsidRDefault="00152020" w:rsidP="00374E1E">
      <w:pPr>
        <w:widowControl w:val="0"/>
        <w:spacing w:after="0"/>
        <w:ind w:left="1134" w:hanging="567"/>
        <w:jc w:val="both"/>
        <w:rPr>
          <w:rFonts w:ascii="Arial" w:hAnsi="Arial" w:cs="Arial"/>
          <w:bCs/>
          <w:iCs/>
          <w:color w:val="000000"/>
          <w:sz w:val="24"/>
          <w:szCs w:val="24"/>
        </w:rPr>
      </w:pPr>
      <w:r w:rsidRPr="00DB28D9">
        <w:rPr>
          <w:rFonts w:ascii="Arial" w:hAnsi="Arial" w:cs="Arial"/>
          <w:bCs/>
          <w:iCs/>
          <w:color w:val="000000"/>
          <w:sz w:val="24"/>
          <w:szCs w:val="24"/>
        </w:rPr>
        <w:t xml:space="preserve">(a) </w:t>
      </w:r>
      <w:r w:rsidR="00374E1E" w:rsidRPr="00DB28D9">
        <w:rPr>
          <w:rFonts w:ascii="Arial" w:hAnsi="Arial" w:cs="Arial"/>
          <w:bCs/>
          <w:iCs/>
          <w:color w:val="000000"/>
          <w:sz w:val="24"/>
          <w:szCs w:val="24"/>
        </w:rPr>
        <w:tab/>
      </w:r>
      <w:r w:rsidRPr="00DB28D9">
        <w:rPr>
          <w:rFonts w:ascii="Arial" w:hAnsi="Arial" w:cs="Arial"/>
          <w:bCs/>
          <w:iCs/>
          <w:color w:val="000000"/>
          <w:sz w:val="24"/>
          <w:szCs w:val="24"/>
        </w:rPr>
        <w:t xml:space="preserve">deve reclassificar um instrumento patrimonial como passivo financeiro a partir da data em que o instrumento deixar de apresentar todas as características e condições </w:t>
      </w:r>
      <w:r w:rsidRPr="00DB28D9">
        <w:rPr>
          <w:rFonts w:ascii="Arial" w:hAnsi="Arial" w:cs="Arial"/>
          <w:bCs/>
          <w:iCs/>
          <w:sz w:val="24"/>
          <w:szCs w:val="24"/>
        </w:rPr>
        <w:t>dos itens 15 e 16 ou itens 17 e 18.</w:t>
      </w:r>
      <w:r w:rsidRPr="00DB28D9">
        <w:rPr>
          <w:rFonts w:ascii="Arial" w:hAnsi="Arial" w:cs="Arial"/>
          <w:bCs/>
          <w:iCs/>
          <w:color w:val="000000"/>
          <w:sz w:val="24"/>
          <w:szCs w:val="24"/>
        </w:rPr>
        <w:t xml:space="preserve"> O passivo financeiro deve ser mensurado pelo valor justo do instrumento na data de reclassificação. A entidade deve reconhecer no patrimônio líquido qualquer diferença entre o valor contábil do instrumento patrimonial e </w:t>
      </w:r>
      <w:r w:rsidRPr="00DB28D9">
        <w:rPr>
          <w:rFonts w:ascii="Arial" w:hAnsi="Arial" w:cs="Arial"/>
          <w:bCs/>
          <w:iCs/>
          <w:sz w:val="24"/>
          <w:szCs w:val="24"/>
        </w:rPr>
        <w:t xml:space="preserve">o valor justo </w:t>
      </w:r>
      <w:r w:rsidRPr="00DB28D9">
        <w:rPr>
          <w:rFonts w:ascii="Arial" w:hAnsi="Arial" w:cs="Arial"/>
          <w:bCs/>
          <w:iCs/>
          <w:color w:val="000000"/>
          <w:sz w:val="24"/>
          <w:szCs w:val="24"/>
        </w:rPr>
        <w:t>do passivo financeiro na data da reclassificação;</w:t>
      </w:r>
      <w:r w:rsidR="005139CA" w:rsidRPr="00DB28D9">
        <w:rPr>
          <w:rFonts w:ascii="Arial" w:hAnsi="Arial" w:cs="Arial"/>
          <w:bCs/>
          <w:iCs/>
          <w:color w:val="000000"/>
          <w:sz w:val="24"/>
          <w:szCs w:val="24"/>
        </w:rPr>
        <w:t xml:space="preserve"> e</w:t>
      </w:r>
    </w:p>
    <w:p w14:paraId="590B3585" w14:textId="4B8E2EEC" w:rsidR="00152020" w:rsidRPr="00DB28D9" w:rsidRDefault="00152020" w:rsidP="00374E1E">
      <w:pPr>
        <w:widowControl w:val="0"/>
        <w:spacing w:after="0"/>
        <w:ind w:left="1134" w:hanging="567"/>
        <w:jc w:val="both"/>
        <w:rPr>
          <w:rFonts w:ascii="Arial" w:hAnsi="Arial" w:cs="Arial"/>
          <w:bCs/>
          <w:iCs/>
          <w:sz w:val="24"/>
          <w:szCs w:val="24"/>
        </w:rPr>
      </w:pPr>
      <w:r w:rsidRPr="00DB28D9">
        <w:rPr>
          <w:rFonts w:ascii="Arial" w:hAnsi="Arial" w:cs="Arial"/>
          <w:bCs/>
          <w:iCs/>
          <w:sz w:val="24"/>
          <w:szCs w:val="24"/>
        </w:rPr>
        <w:t xml:space="preserve">(b) </w:t>
      </w:r>
      <w:r w:rsidR="00374E1E" w:rsidRPr="00DB28D9">
        <w:rPr>
          <w:rFonts w:ascii="Arial" w:hAnsi="Arial" w:cs="Arial"/>
          <w:bCs/>
          <w:iCs/>
          <w:sz w:val="24"/>
          <w:szCs w:val="24"/>
        </w:rPr>
        <w:tab/>
      </w:r>
      <w:r w:rsidRPr="00DB28D9">
        <w:rPr>
          <w:rFonts w:ascii="Arial" w:hAnsi="Arial" w:cs="Arial"/>
          <w:bCs/>
          <w:iCs/>
          <w:sz w:val="24"/>
          <w:szCs w:val="24"/>
        </w:rPr>
        <w:t>deve reclassificar um passivo financeiro como instrumento patrimonial a partir da data em que o instrumento apresentar todas as características e satisfizer as condições estabelecidas nos itens 15 e 16 ou itens 17 e 18. O instrumento patrimonial deve ser mensurado pelo valor contábil do passivo financeiro na data da reclassificação.</w:t>
      </w:r>
    </w:p>
    <w:p w14:paraId="28AAE722" w14:textId="77777777" w:rsidR="00C13324" w:rsidRPr="00DB28D9" w:rsidRDefault="00C13324" w:rsidP="00374E1E">
      <w:pPr>
        <w:widowControl w:val="0"/>
        <w:spacing w:after="0"/>
        <w:ind w:left="1134" w:hanging="567"/>
        <w:jc w:val="both"/>
        <w:rPr>
          <w:rFonts w:ascii="Arial" w:hAnsi="Arial" w:cs="Arial"/>
          <w:bCs/>
          <w:iCs/>
          <w:sz w:val="24"/>
          <w:szCs w:val="24"/>
        </w:rPr>
      </w:pPr>
    </w:p>
    <w:p w14:paraId="1E1115D2" w14:textId="3F71BD32" w:rsidR="00152020" w:rsidRPr="00DB28D9" w:rsidRDefault="00152020" w:rsidP="00C13324">
      <w:pPr>
        <w:autoSpaceDE w:val="0"/>
        <w:autoSpaceDN w:val="0"/>
        <w:adjustRightInd w:val="0"/>
        <w:spacing w:after="0"/>
        <w:jc w:val="both"/>
        <w:rPr>
          <w:rFonts w:ascii="Arial" w:hAnsi="Arial" w:cs="Arial"/>
          <w:sz w:val="24"/>
          <w:szCs w:val="24"/>
        </w:rPr>
      </w:pPr>
      <w:r w:rsidRPr="00DB28D9">
        <w:rPr>
          <w:rFonts w:ascii="Arial" w:hAnsi="Arial" w:cs="Arial"/>
          <w:i/>
          <w:sz w:val="24"/>
          <w:szCs w:val="24"/>
        </w:rPr>
        <w:t xml:space="preserve">Ausência de obrigação contratual de entregar caixa ou outro ativo financeiro </w:t>
      </w:r>
      <w:r w:rsidRPr="00DB28D9">
        <w:rPr>
          <w:rFonts w:ascii="Arial" w:hAnsi="Arial" w:cs="Arial"/>
          <w:sz w:val="24"/>
          <w:szCs w:val="24"/>
        </w:rPr>
        <w:t>(</w:t>
      </w:r>
      <w:r w:rsidRPr="00DB28D9">
        <w:rPr>
          <w:rFonts w:ascii="Arial" w:hAnsi="Arial" w:cs="Arial"/>
          <w:bCs/>
          <w:iCs/>
          <w:color w:val="000000"/>
          <w:sz w:val="24"/>
          <w:szCs w:val="24"/>
        </w:rPr>
        <w:t>item</w:t>
      </w:r>
      <w:r w:rsidRPr="00DB28D9">
        <w:rPr>
          <w:rFonts w:ascii="Arial" w:hAnsi="Arial" w:cs="Arial"/>
          <w:sz w:val="24"/>
          <w:szCs w:val="24"/>
        </w:rPr>
        <w:t xml:space="preserve"> 14(a))</w:t>
      </w:r>
    </w:p>
    <w:p w14:paraId="097409B3" w14:textId="77777777" w:rsidR="00C13324" w:rsidRPr="00DB28D9" w:rsidRDefault="00C13324" w:rsidP="00C13324">
      <w:pPr>
        <w:autoSpaceDE w:val="0"/>
        <w:autoSpaceDN w:val="0"/>
        <w:adjustRightInd w:val="0"/>
        <w:spacing w:after="0"/>
        <w:jc w:val="both"/>
        <w:rPr>
          <w:rFonts w:ascii="Arial" w:hAnsi="Arial" w:cs="Arial"/>
          <w:sz w:val="24"/>
          <w:szCs w:val="24"/>
        </w:rPr>
      </w:pPr>
    </w:p>
    <w:p w14:paraId="107EDF5A" w14:textId="23CEED09" w:rsidR="00152020" w:rsidRPr="00DB28D9" w:rsidRDefault="00152020" w:rsidP="00374E1E">
      <w:pPr>
        <w:pStyle w:val="Textoembloco"/>
        <w:shd w:val="clear" w:color="auto" w:fill="FFFFFF"/>
        <w:tabs>
          <w:tab w:val="clear" w:pos="6804"/>
        </w:tabs>
        <w:spacing w:after="0" w:line="240" w:lineRule="auto"/>
        <w:ind w:left="567" w:hanging="534"/>
        <w:jc w:val="both"/>
        <w:rPr>
          <w:color w:val="000000"/>
          <w:sz w:val="24"/>
          <w:lang w:val="pt-BR"/>
        </w:rPr>
      </w:pPr>
      <w:r w:rsidRPr="00DB28D9">
        <w:rPr>
          <w:color w:val="000000"/>
          <w:sz w:val="24"/>
          <w:lang w:val="pt-BR"/>
        </w:rPr>
        <w:t>21.</w:t>
      </w:r>
      <w:r w:rsidRPr="00DB28D9">
        <w:rPr>
          <w:color w:val="000000"/>
          <w:sz w:val="24"/>
          <w:lang w:val="pt-BR"/>
        </w:rPr>
        <w:tab/>
        <w:t xml:space="preserve">Com exceção das circunstâncias descritas nos </w:t>
      </w:r>
      <w:r w:rsidRPr="00DB28D9">
        <w:rPr>
          <w:bCs/>
          <w:iCs/>
          <w:color w:val="000000"/>
          <w:sz w:val="24"/>
          <w:lang w:val="pt-BR"/>
        </w:rPr>
        <w:t>itens</w:t>
      </w:r>
      <w:r w:rsidRPr="00DB28D9">
        <w:rPr>
          <w:color w:val="000000"/>
          <w:sz w:val="24"/>
          <w:lang w:val="pt-BR"/>
        </w:rPr>
        <w:t xml:space="preserve"> 15 e 16 ou </w:t>
      </w:r>
      <w:r w:rsidRPr="00DB28D9">
        <w:rPr>
          <w:bCs/>
          <w:iCs/>
          <w:color w:val="000000"/>
          <w:sz w:val="24"/>
          <w:lang w:val="pt-BR"/>
        </w:rPr>
        <w:t>itens</w:t>
      </w:r>
      <w:r w:rsidRPr="00DB28D9">
        <w:rPr>
          <w:color w:val="000000"/>
          <w:sz w:val="24"/>
          <w:lang w:val="pt-BR"/>
        </w:rPr>
        <w:t xml:space="preserve"> 17 e 18, uma característica crítica para diferenciar um passivo financeiro de um instrumento patrimonial é a existência de uma obrigação contratual de uma parte do instrumento financeiro (emitente) para entregar caixa ou outro ativo financeiro para outra parte (detentor) ou trocar ativos financeiros ou passivos financeiros com o detentor sob condições que são potencialmente desfavoráveis ao emitente. Apesar de o detentor de um instrumento patrimonial poder ter o direito de receber uma participação </w:t>
      </w:r>
      <w:r w:rsidRPr="00DB28D9">
        <w:rPr>
          <w:i/>
          <w:color w:val="000000"/>
          <w:sz w:val="24"/>
          <w:lang w:val="pt-BR"/>
        </w:rPr>
        <w:t>pro rata</w:t>
      </w:r>
      <w:r w:rsidRPr="00DB28D9">
        <w:rPr>
          <w:color w:val="000000"/>
          <w:sz w:val="24"/>
          <w:lang w:val="pt-BR"/>
        </w:rPr>
        <w:t xml:space="preserve"> de quaisquer dividendos ou outras distribuições similares declaradas, ou distribuições aos proprietários, o emitente não tem obrigação contratual de fazer tais distribuições, uma vez que não pode ser obrigado a entregar caixa ou outro ativo financeiro à outra parte.</w:t>
      </w:r>
    </w:p>
    <w:p w14:paraId="700CCFCD" w14:textId="77777777" w:rsidR="003B4208" w:rsidRPr="00DB28D9" w:rsidRDefault="003B4208" w:rsidP="003B4208">
      <w:pPr>
        <w:pStyle w:val="Textoembloco"/>
        <w:tabs>
          <w:tab w:val="clear" w:pos="6804"/>
        </w:tabs>
        <w:spacing w:after="0" w:line="240" w:lineRule="auto"/>
        <w:ind w:left="33" w:firstLine="0"/>
        <w:jc w:val="both"/>
        <w:rPr>
          <w:sz w:val="24"/>
          <w:lang w:val="pt-BR" w:bidi="en-US"/>
        </w:rPr>
      </w:pPr>
    </w:p>
    <w:p w14:paraId="55029BA6" w14:textId="546831BC" w:rsidR="00152020" w:rsidRPr="00DB28D9" w:rsidRDefault="00152020" w:rsidP="00374E1E">
      <w:pPr>
        <w:pStyle w:val="Textoembloco"/>
        <w:tabs>
          <w:tab w:val="clear" w:pos="6804"/>
        </w:tabs>
        <w:spacing w:after="0" w:line="240" w:lineRule="auto"/>
        <w:ind w:left="567" w:hanging="534"/>
        <w:jc w:val="both"/>
        <w:rPr>
          <w:sz w:val="24"/>
          <w:lang w:val="pt-BR" w:bidi="en-US"/>
        </w:rPr>
      </w:pPr>
      <w:r w:rsidRPr="00DB28D9">
        <w:rPr>
          <w:sz w:val="24"/>
          <w:lang w:val="pt-BR" w:bidi="en-US"/>
        </w:rPr>
        <w:t>22.</w:t>
      </w:r>
      <w:r w:rsidRPr="00DB28D9">
        <w:rPr>
          <w:sz w:val="24"/>
          <w:lang w:val="pt-BR" w:bidi="en-US"/>
        </w:rPr>
        <w:tab/>
        <w:t>A essência de um instrumento financeiro, em vez de sua forma jurídica, rege sua classificação no balanço patrimonial da entidade. Essência e forma legal são comumente consistentes, mas nem sempre. Alguns instrumentos financeiros assumem a forma legal de instrumentos patrimoniais, mas são passivos em sua essência e outros podem combinar características associadas a instrumentos patrimoniais e características associadas a passivos financeiros. Por exemplo:</w:t>
      </w:r>
    </w:p>
    <w:p w14:paraId="601A0DCA" w14:textId="79D250C5" w:rsidR="00152020" w:rsidRPr="00DB28D9" w:rsidRDefault="00152020" w:rsidP="00E56596">
      <w:pPr>
        <w:widowControl w:val="0"/>
        <w:spacing w:before="120"/>
        <w:ind w:left="1134" w:hanging="567"/>
        <w:jc w:val="both"/>
        <w:rPr>
          <w:rFonts w:ascii="Arial" w:hAnsi="Arial" w:cs="Arial"/>
          <w:bCs/>
          <w:iCs/>
          <w:color w:val="000000"/>
          <w:sz w:val="24"/>
          <w:szCs w:val="24"/>
        </w:rPr>
      </w:pPr>
      <w:r w:rsidRPr="00DB28D9">
        <w:rPr>
          <w:rFonts w:ascii="Arial" w:hAnsi="Arial" w:cs="Arial"/>
          <w:bCs/>
          <w:iCs/>
          <w:color w:val="000000"/>
          <w:sz w:val="24"/>
          <w:szCs w:val="24"/>
        </w:rPr>
        <w:t xml:space="preserve">(a) uma ação preferencial que prevê resgate obrigatório pelo emitente por uma quantia fixa ou determinável, em data futura fixa ou determinável, ou dê ao </w:t>
      </w:r>
      <w:r w:rsidRPr="00DB28D9">
        <w:rPr>
          <w:rFonts w:ascii="Arial" w:hAnsi="Arial" w:cs="Arial"/>
          <w:color w:val="000000"/>
          <w:sz w:val="24"/>
          <w:szCs w:val="24"/>
        </w:rPr>
        <w:t>detentor</w:t>
      </w:r>
      <w:r w:rsidRPr="00DB28D9">
        <w:rPr>
          <w:rFonts w:ascii="Arial" w:hAnsi="Arial" w:cs="Arial"/>
          <w:bCs/>
          <w:iCs/>
          <w:color w:val="000000"/>
          <w:sz w:val="24"/>
          <w:szCs w:val="24"/>
        </w:rPr>
        <w:t xml:space="preserve"> o direito de exigir que o emitente resgate o instrumento em uma ou após uma data específica por quantia fixa ou determinável, é um passivo financeiro;</w:t>
      </w:r>
    </w:p>
    <w:p w14:paraId="628FDA18" w14:textId="21CDB61E" w:rsidR="00152020" w:rsidRPr="00DB28D9" w:rsidRDefault="00152020" w:rsidP="00E56596">
      <w:pPr>
        <w:widowControl w:val="0"/>
        <w:spacing w:before="120"/>
        <w:ind w:left="1134" w:hanging="567"/>
        <w:jc w:val="both"/>
        <w:rPr>
          <w:rFonts w:ascii="Arial" w:hAnsi="Arial" w:cs="Arial"/>
          <w:bCs/>
          <w:iCs/>
          <w:color w:val="000000"/>
          <w:sz w:val="24"/>
          <w:szCs w:val="24"/>
        </w:rPr>
      </w:pPr>
      <w:r w:rsidRPr="00DB28D9">
        <w:rPr>
          <w:rFonts w:ascii="Arial" w:hAnsi="Arial" w:cs="Arial"/>
          <w:bCs/>
          <w:iCs/>
          <w:color w:val="000000"/>
          <w:sz w:val="24"/>
          <w:szCs w:val="24"/>
        </w:rPr>
        <w:t xml:space="preserve">(b) um instrumento financeiro que dá ao seu detentor o direito de devolvê-lo ao </w:t>
      </w:r>
      <w:r w:rsidRPr="00DB28D9">
        <w:rPr>
          <w:rFonts w:ascii="Arial" w:hAnsi="Arial" w:cs="Arial"/>
          <w:bCs/>
          <w:iCs/>
          <w:color w:val="000000"/>
          <w:sz w:val="24"/>
          <w:szCs w:val="24"/>
        </w:rPr>
        <w:lastRenderedPageBreak/>
        <w:t xml:space="preserve">emitente por caixa ou outro ativo financeiro (um “instrumento com opção de venda”) é um passivo financeiro, com exceção dos instrumentos classificados como instrumentos patrimoniais de acordo com os itens 15 e 16 ou itens 17 e 18. O instrumento financeiro é um passivo financeiro mesmo quando o montante de caixa ou outro ativo financeiro é determinado com base em índice ou outro item que tenha potencial de aumentar ou diminuir. A existência de uma opção para o </w:t>
      </w:r>
      <w:r w:rsidRPr="00DB28D9">
        <w:rPr>
          <w:rFonts w:ascii="Arial" w:hAnsi="Arial" w:cs="Arial"/>
          <w:color w:val="000000"/>
          <w:sz w:val="24"/>
          <w:szCs w:val="24"/>
        </w:rPr>
        <w:t>detentor</w:t>
      </w:r>
      <w:r w:rsidRPr="00DB28D9">
        <w:rPr>
          <w:rFonts w:ascii="Arial" w:hAnsi="Arial" w:cs="Arial"/>
          <w:bCs/>
          <w:iCs/>
          <w:color w:val="000000"/>
          <w:sz w:val="24"/>
          <w:szCs w:val="24"/>
        </w:rPr>
        <w:t xml:space="preserve"> do instrumento devolvê-lo para o emitente por caixa ou outro ativo financeiro significa que o instrumento com opção de venda satisfaz a definição de passivo financeiro, com exceção dos instrumentos classificados como instrumentos patrimoniais de acordo com os itens 15 e 16 ou itens 17 e 18. Por exemplo, os fundos mútuos abertos, fideicomissos, parcerias e algumas entidades cooperativas podem fornecer a seus membros o direito de resgate de suas participações a qualquer momento por caixa, o que resulta em que essas participações sejam classificadas como passivos financeiros, com exceção daqueles instrumentos classificados como instrumentos patrimoniais de acordo com os itens 15 e 16 ou itens 17 e 18. No entanto, classificações como passivo financeiro não impedem o uso de descrições como “valores de ativos líquidos atribuíveis aos detentores dos títulos” e “mudança no valor do ativo líquido atribuível aos detentores dos títulos” nas demonstrações contábeis da entidade que não tenha patrimônio líquido </w:t>
      </w:r>
      <w:r w:rsidRPr="00DB28D9">
        <w:rPr>
          <w:rFonts w:ascii="Arial" w:hAnsi="Arial" w:cs="Arial"/>
          <w:sz w:val="24"/>
          <w:szCs w:val="24"/>
        </w:rPr>
        <w:t>oriundo de contribuições dos proprietários.</w:t>
      </w:r>
      <w:r w:rsidRPr="00DB28D9" w:rsidDel="00B04EAD">
        <w:rPr>
          <w:rFonts w:ascii="Arial" w:hAnsi="Arial" w:cs="Arial"/>
          <w:bCs/>
          <w:iCs/>
          <w:color w:val="000000"/>
          <w:sz w:val="24"/>
          <w:szCs w:val="24"/>
        </w:rPr>
        <w:t xml:space="preserve"> </w:t>
      </w:r>
      <w:r w:rsidRPr="00DB28D9">
        <w:rPr>
          <w:rFonts w:ascii="Arial" w:hAnsi="Arial" w:cs="Arial"/>
          <w:bCs/>
          <w:iCs/>
          <w:color w:val="000000"/>
          <w:sz w:val="24"/>
          <w:szCs w:val="24"/>
        </w:rPr>
        <w:t>(como alguns fundos mútuos ou fideicomissos), ou a utilização de divulgação adicional para mostrar que as participações totais dos membros incluem itens como reservas que atendem à definição de patrimônio líquido e instrumentos com opção de venda que não atendem.</w:t>
      </w:r>
    </w:p>
    <w:p w14:paraId="43AEB125" w14:textId="6BD0649A" w:rsidR="00152020" w:rsidRPr="00DB28D9" w:rsidRDefault="00152020" w:rsidP="00514B51">
      <w:pPr>
        <w:pStyle w:val="Textoembloco"/>
        <w:shd w:val="clear" w:color="auto" w:fill="FFFFFF"/>
        <w:tabs>
          <w:tab w:val="clear" w:pos="6804"/>
        </w:tabs>
        <w:spacing w:before="0" w:after="0" w:line="240" w:lineRule="auto"/>
        <w:ind w:left="567" w:hanging="534"/>
        <w:jc w:val="both"/>
        <w:rPr>
          <w:color w:val="000000"/>
          <w:sz w:val="24"/>
          <w:lang w:val="pt-BR"/>
        </w:rPr>
      </w:pPr>
      <w:r w:rsidRPr="00DB28D9">
        <w:rPr>
          <w:color w:val="000000"/>
          <w:sz w:val="24"/>
          <w:lang w:val="pt-BR"/>
        </w:rPr>
        <w:t>23</w:t>
      </w:r>
      <w:r w:rsidR="009C6B34" w:rsidRPr="00DB28D9">
        <w:rPr>
          <w:color w:val="000000"/>
          <w:sz w:val="24"/>
          <w:lang w:val="pt-BR"/>
        </w:rPr>
        <w:t>.</w:t>
      </w:r>
      <w:r w:rsidRPr="00DB28D9">
        <w:rPr>
          <w:color w:val="000000"/>
          <w:sz w:val="24"/>
          <w:lang w:val="pt-BR"/>
        </w:rPr>
        <w:t xml:space="preserve"> </w:t>
      </w:r>
      <w:r w:rsidRPr="00DB28D9">
        <w:rPr>
          <w:color w:val="000000"/>
          <w:sz w:val="24"/>
          <w:lang w:val="pt-BR"/>
        </w:rPr>
        <w:tab/>
        <w:t xml:space="preserve">Se a entidade não tem o direito incondicional de evitar a entrega de caixa ou outro ativo financeiro para liquidar uma obrigação contratual, a obrigação satisfaz a definição de passivo financeiro, com exceção dos instrumentos classificados como instrumentos patrimoniais de acordo com os </w:t>
      </w:r>
      <w:r w:rsidRPr="00DB28D9">
        <w:rPr>
          <w:bCs/>
          <w:iCs/>
          <w:color w:val="000000"/>
          <w:sz w:val="24"/>
          <w:lang w:val="pt-BR"/>
        </w:rPr>
        <w:t>itens</w:t>
      </w:r>
      <w:r w:rsidRPr="00DB28D9">
        <w:rPr>
          <w:color w:val="000000"/>
          <w:sz w:val="24"/>
          <w:lang w:val="pt-BR"/>
        </w:rPr>
        <w:t xml:space="preserve"> 15 e 16 ou </w:t>
      </w:r>
      <w:r w:rsidRPr="00DB28D9">
        <w:rPr>
          <w:bCs/>
          <w:iCs/>
          <w:color w:val="000000"/>
          <w:sz w:val="24"/>
          <w:lang w:val="pt-BR"/>
        </w:rPr>
        <w:t>itens</w:t>
      </w:r>
      <w:r w:rsidRPr="00DB28D9">
        <w:rPr>
          <w:color w:val="000000"/>
          <w:sz w:val="24"/>
          <w:lang w:val="pt-BR"/>
        </w:rPr>
        <w:t xml:space="preserve"> 17 e 18. Por exemplo:</w:t>
      </w:r>
    </w:p>
    <w:p w14:paraId="1FCEBDE6" w14:textId="39F81DDB" w:rsidR="00152020" w:rsidRPr="007B4CFD" w:rsidRDefault="00152020" w:rsidP="00E56596">
      <w:pPr>
        <w:widowControl w:val="0"/>
        <w:spacing w:after="0"/>
        <w:ind w:left="1134" w:hanging="567"/>
        <w:jc w:val="both"/>
        <w:rPr>
          <w:rFonts w:ascii="Arial" w:hAnsi="Arial" w:cs="Arial"/>
          <w:bCs/>
          <w:iCs/>
          <w:color w:val="000000"/>
          <w:sz w:val="24"/>
          <w:szCs w:val="24"/>
        </w:rPr>
      </w:pPr>
      <w:r w:rsidRPr="00DB28D9">
        <w:rPr>
          <w:rFonts w:ascii="Arial" w:hAnsi="Arial" w:cs="Arial"/>
          <w:bCs/>
          <w:iCs/>
          <w:color w:val="000000"/>
          <w:sz w:val="24"/>
          <w:szCs w:val="24"/>
        </w:rPr>
        <w:t xml:space="preserve">(a) </w:t>
      </w:r>
      <w:r w:rsidR="00E56596" w:rsidRPr="00DB28D9">
        <w:rPr>
          <w:rFonts w:ascii="Arial" w:hAnsi="Arial" w:cs="Arial"/>
          <w:bCs/>
          <w:iCs/>
          <w:color w:val="000000"/>
          <w:sz w:val="24"/>
          <w:szCs w:val="24"/>
        </w:rPr>
        <w:tab/>
      </w:r>
      <w:r w:rsidRPr="00DB28D9">
        <w:rPr>
          <w:rFonts w:ascii="Arial" w:hAnsi="Arial" w:cs="Arial"/>
          <w:bCs/>
          <w:iCs/>
          <w:color w:val="000000"/>
          <w:sz w:val="24"/>
          <w:szCs w:val="24"/>
        </w:rPr>
        <w:t xml:space="preserve">uma restrição na capacidade da entidade de cumprir uma obrigação contratual, como a falta de acesso à moeda estrangeira ou a necessidade de obter autorização da entidade reguladora para pagamento, não nega a obrigação contratual da entidade ou o direito contratual do </w:t>
      </w:r>
      <w:r w:rsidRPr="00DB28D9">
        <w:rPr>
          <w:rFonts w:ascii="Arial" w:hAnsi="Arial" w:cs="Arial"/>
          <w:color w:val="000000"/>
          <w:sz w:val="24"/>
          <w:szCs w:val="24"/>
        </w:rPr>
        <w:t>detentor</w:t>
      </w:r>
      <w:r w:rsidRPr="00DB28D9">
        <w:rPr>
          <w:rFonts w:ascii="Arial" w:hAnsi="Arial" w:cs="Arial"/>
          <w:bCs/>
          <w:iCs/>
          <w:color w:val="000000"/>
          <w:sz w:val="24"/>
          <w:szCs w:val="24"/>
        </w:rPr>
        <w:t xml:space="preserve"> no âmbito do instrumento;</w:t>
      </w:r>
      <w:r w:rsidR="009C4CED">
        <w:rPr>
          <w:rFonts w:ascii="Arial" w:hAnsi="Arial" w:cs="Arial"/>
          <w:bCs/>
          <w:iCs/>
          <w:color w:val="000000"/>
          <w:sz w:val="24"/>
          <w:szCs w:val="24"/>
        </w:rPr>
        <w:t xml:space="preserve"> </w:t>
      </w:r>
    </w:p>
    <w:p w14:paraId="5957D1C8" w14:textId="5B3A77B0" w:rsidR="00152020" w:rsidRPr="00DB28D9" w:rsidRDefault="00152020" w:rsidP="00E56596">
      <w:pPr>
        <w:widowControl w:val="0"/>
        <w:spacing w:after="0"/>
        <w:ind w:left="1134" w:hanging="567"/>
        <w:jc w:val="both"/>
        <w:rPr>
          <w:rFonts w:ascii="Arial" w:hAnsi="Arial" w:cs="Arial"/>
          <w:bCs/>
          <w:iCs/>
          <w:color w:val="000000"/>
          <w:sz w:val="24"/>
          <w:szCs w:val="24"/>
        </w:rPr>
      </w:pPr>
      <w:r w:rsidRPr="000B2FEC">
        <w:rPr>
          <w:rFonts w:ascii="Arial" w:hAnsi="Arial" w:cs="Arial"/>
          <w:bCs/>
          <w:iCs/>
          <w:color w:val="000000"/>
          <w:sz w:val="24"/>
          <w:szCs w:val="24"/>
        </w:rPr>
        <w:t>(b)</w:t>
      </w:r>
      <w:r w:rsidR="00E56596" w:rsidRPr="00DB28D9">
        <w:rPr>
          <w:rFonts w:ascii="Arial" w:hAnsi="Arial" w:cs="Arial"/>
          <w:bCs/>
          <w:iCs/>
          <w:color w:val="000000"/>
          <w:sz w:val="24"/>
          <w:szCs w:val="24"/>
        </w:rPr>
        <w:tab/>
      </w:r>
      <w:r w:rsidRPr="00DB28D9">
        <w:rPr>
          <w:rFonts w:ascii="Arial" w:hAnsi="Arial" w:cs="Arial"/>
          <w:bCs/>
          <w:iCs/>
          <w:color w:val="000000"/>
          <w:sz w:val="24"/>
          <w:szCs w:val="24"/>
        </w:rPr>
        <w:t>uma obrigação contratual que é condicionada à contraparte exercer seu direito de resgatar é um passivo financeiro porque a entidade não tem o direito incondicional de evitar a entrega de caixa ou outro ativo financeiro.</w:t>
      </w:r>
    </w:p>
    <w:p w14:paraId="1917CC76" w14:textId="69A66438" w:rsidR="00152020" w:rsidRPr="00DB28D9" w:rsidRDefault="00152020" w:rsidP="00E56596">
      <w:pPr>
        <w:pStyle w:val="Textoembloco"/>
        <w:shd w:val="clear" w:color="auto" w:fill="FFFFFF"/>
        <w:tabs>
          <w:tab w:val="clear" w:pos="6804"/>
        </w:tabs>
        <w:spacing w:before="0" w:after="0" w:line="240" w:lineRule="auto"/>
        <w:ind w:left="567" w:hanging="567"/>
        <w:jc w:val="both"/>
        <w:rPr>
          <w:color w:val="000000"/>
          <w:sz w:val="24"/>
          <w:lang w:val="pt-BR"/>
        </w:rPr>
      </w:pPr>
      <w:r w:rsidRPr="00DB28D9">
        <w:rPr>
          <w:color w:val="000000"/>
          <w:sz w:val="24"/>
          <w:lang w:val="pt-BR"/>
        </w:rPr>
        <w:t>24</w:t>
      </w:r>
      <w:r w:rsidR="009C6B34" w:rsidRPr="00DB28D9">
        <w:rPr>
          <w:color w:val="000000"/>
          <w:sz w:val="24"/>
          <w:lang w:val="pt-BR"/>
        </w:rPr>
        <w:t>.</w:t>
      </w:r>
      <w:r w:rsidRPr="00DB28D9">
        <w:rPr>
          <w:color w:val="000000"/>
          <w:sz w:val="24"/>
          <w:lang w:val="pt-BR"/>
        </w:rPr>
        <w:tab/>
        <w:t>O instrumento financeiro que não estabelece explicitamente uma obrigação contratual de entregar caixa ou outro ativo financeiro pode estabelecer uma obrigação indireta por meio de seus termos e condições. Por exemplo:</w:t>
      </w:r>
    </w:p>
    <w:p w14:paraId="410B866F" w14:textId="72288762" w:rsidR="00152020" w:rsidRPr="006864BA" w:rsidRDefault="00152020" w:rsidP="00E56596">
      <w:pPr>
        <w:widowControl w:val="0"/>
        <w:spacing w:after="0"/>
        <w:ind w:left="1134" w:hanging="567"/>
        <w:jc w:val="both"/>
        <w:rPr>
          <w:rFonts w:ascii="Arial" w:hAnsi="Arial" w:cs="Arial"/>
          <w:bCs/>
          <w:iCs/>
          <w:color w:val="000000"/>
          <w:sz w:val="24"/>
          <w:szCs w:val="24"/>
        </w:rPr>
      </w:pPr>
      <w:r w:rsidRPr="00DB28D9">
        <w:rPr>
          <w:rFonts w:ascii="Arial" w:hAnsi="Arial" w:cs="Arial"/>
          <w:bCs/>
          <w:iCs/>
          <w:color w:val="000000"/>
          <w:sz w:val="24"/>
          <w:szCs w:val="24"/>
        </w:rPr>
        <w:t xml:space="preserve">(a) </w:t>
      </w:r>
      <w:r w:rsidR="00E56596" w:rsidRPr="00DB28D9">
        <w:rPr>
          <w:rFonts w:ascii="Arial" w:hAnsi="Arial" w:cs="Arial"/>
          <w:bCs/>
          <w:iCs/>
          <w:color w:val="000000"/>
          <w:sz w:val="24"/>
          <w:szCs w:val="24"/>
        </w:rPr>
        <w:tab/>
      </w:r>
      <w:r w:rsidRPr="00DB28D9">
        <w:rPr>
          <w:rFonts w:ascii="Arial" w:hAnsi="Arial" w:cs="Arial"/>
          <w:bCs/>
          <w:iCs/>
          <w:color w:val="000000"/>
          <w:sz w:val="24"/>
          <w:szCs w:val="24"/>
        </w:rPr>
        <w:t xml:space="preserve">o instrumento financeiro pode conter uma obrigação não financeira que deve ser liquidada se, e somente se, a entidade falhar ao fazer distribuições ou resgatar o instrumento. Se a entidade pode evitar a transferência de caixa ou outro ativo financeiro apenas por meio da liquidação da obrigação não financeira, o </w:t>
      </w:r>
      <w:r w:rsidRPr="00DB28D9">
        <w:rPr>
          <w:rFonts w:ascii="Arial" w:hAnsi="Arial" w:cs="Arial"/>
          <w:bCs/>
          <w:iCs/>
          <w:color w:val="000000"/>
          <w:sz w:val="24"/>
          <w:szCs w:val="24"/>
        </w:rPr>
        <w:lastRenderedPageBreak/>
        <w:t>instrumento financeiro é um passivo financeiro</w:t>
      </w:r>
      <w:r w:rsidRPr="006864BA">
        <w:rPr>
          <w:rFonts w:ascii="Arial" w:hAnsi="Arial" w:cs="Arial"/>
          <w:bCs/>
          <w:iCs/>
          <w:color w:val="000000"/>
          <w:sz w:val="24"/>
          <w:szCs w:val="24"/>
        </w:rPr>
        <w:t>;</w:t>
      </w:r>
      <w:r w:rsidR="006864BA">
        <w:rPr>
          <w:rFonts w:ascii="Arial" w:hAnsi="Arial" w:cs="Arial"/>
          <w:bCs/>
          <w:iCs/>
          <w:color w:val="000000"/>
          <w:sz w:val="24"/>
          <w:szCs w:val="24"/>
        </w:rPr>
        <w:t xml:space="preserve">  </w:t>
      </w:r>
    </w:p>
    <w:p w14:paraId="723139AC" w14:textId="2421F85D" w:rsidR="00152020" w:rsidRPr="00DB28D9" w:rsidRDefault="00152020" w:rsidP="00E56596">
      <w:pPr>
        <w:widowControl w:val="0"/>
        <w:spacing w:after="0"/>
        <w:ind w:left="1134" w:hanging="567"/>
        <w:jc w:val="both"/>
        <w:rPr>
          <w:rFonts w:ascii="Arial" w:hAnsi="Arial" w:cs="Arial"/>
          <w:bCs/>
          <w:iCs/>
          <w:color w:val="000000"/>
          <w:sz w:val="24"/>
          <w:szCs w:val="24"/>
        </w:rPr>
      </w:pPr>
      <w:r w:rsidRPr="006864BA">
        <w:rPr>
          <w:rFonts w:ascii="Arial" w:hAnsi="Arial" w:cs="Arial"/>
          <w:bCs/>
          <w:iCs/>
          <w:color w:val="000000"/>
          <w:sz w:val="24"/>
          <w:szCs w:val="24"/>
        </w:rPr>
        <w:t xml:space="preserve">(b) </w:t>
      </w:r>
      <w:r w:rsidR="00E56596" w:rsidRPr="00DB28D9">
        <w:rPr>
          <w:rFonts w:ascii="Arial" w:hAnsi="Arial" w:cs="Arial"/>
          <w:bCs/>
          <w:iCs/>
          <w:color w:val="000000"/>
          <w:sz w:val="24"/>
          <w:szCs w:val="24"/>
        </w:rPr>
        <w:tab/>
      </w:r>
      <w:r w:rsidRPr="00DB28D9">
        <w:rPr>
          <w:rFonts w:ascii="Arial" w:hAnsi="Arial" w:cs="Arial"/>
          <w:bCs/>
          <w:iCs/>
          <w:color w:val="000000"/>
          <w:sz w:val="24"/>
          <w:szCs w:val="24"/>
        </w:rPr>
        <w:t xml:space="preserve">um instrumento financeiro é um passivo financeiro se ele prevê que na liquidação a entidade vai entregar: </w:t>
      </w:r>
    </w:p>
    <w:p w14:paraId="657E6428" w14:textId="77777777" w:rsidR="00152020" w:rsidRPr="00DB28D9" w:rsidRDefault="00152020" w:rsidP="00E56596">
      <w:pPr>
        <w:widowControl w:val="0"/>
        <w:spacing w:after="0"/>
        <w:ind w:left="1418"/>
        <w:jc w:val="both"/>
        <w:rPr>
          <w:rFonts w:ascii="Arial" w:hAnsi="Arial" w:cs="Arial"/>
          <w:bCs/>
          <w:iCs/>
          <w:color w:val="000000"/>
          <w:sz w:val="24"/>
          <w:szCs w:val="24"/>
        </w:rPr>
      </w:pPr>
      <w:r w:rsidRPr="00DB28D9">
        <w:rPr>
          <w:rFonts w:ascii="Arial" w:hAnsi="Arial" w:cs="Arial"/>
          <w:bCs/>
          <w:iCs/>
          <w:color w:val="000000"/>
          <w:sz w:val="24"/>
          <w:szCs w:val="24"/>
        </w:rPr>
        <w:t xml:space="preserve">(i) caixa ou outro ativo financeiro; ou </w:t>
      </w:r>
    </w:p>
    <w:p w14:paraId="3CD5494B" w14:textId="77777777" w:rsidR="00152020" w:rsidRPr="00DB28D9" w:rsidRDefault="00152020" w:rsidP="00E56596">
      <w:pPr>
        <w:widowControl w:val="0"/>
        <w:spacing w:after="0"/>
        <w:ind w:left="1418"/>
        <w:jc w:val="both"/>
        <w:rPr>
          <w:rFonts w:ascii="Arial" w:hAnsi="Arial" w:cs="Arial"/>
          <w:bCs/>
          <w:iCs/>
          <w:color w:val="000000"/>
          <w:sz w:val="24"/>
          <w:szCs w:val="24"/>
        </w:rPr>
      </w:pPr>
      <w:r w:rsidRPr="00DB28D9">
        <w:rPr>
          <w:rFonts w:ascii="Arial" w:hAnsi="Arial" w:cs="Arial"/>
          <w:bCs/>
          <w:iCs/>
          <w:color w:val="000000"/>
          <w:sz w:val="24"/>
          <w:szCs w:val="24"/>
        </w:rPr>
        <w:t>(</w:t>
      </w:r>
      <w:proofErr w:type="spellStart"/>
      <w:r w:rsidRPr="00DB28D9">
        <w:rPr>
          <w:rFonts w:ascii="Arial" w:hAnsi="Arial" w:cs="Arial"/>
          <w:bCs/>
          <w:iCs/>
          <w:color w:val="000000"/>
          <w:sz w:val="24"/>
          <w:szCs w:val="24"/>
        </w:rPr>
        <w:t>ii</w:t>
      </w:r>
      <w:proofErr w:type="spellEnd"/>
      <w:r w:rsidRPr="00DB28D9">
        <w:rPr>
          <w:rFonts w:ascii="Arial" w:hAnsi="Arial" w:cs="Arial"/>
          <w:bCs/>
          <w:iCs/>
          <w:color w:val="000000"/>
          <w:sz w:val="24"/>
          <w:szCs w:val="24"/>
        </w:rPr>
        <w:t>) suas próprias ações cujo valor é determinado a exceder substancialmente o valor de caixa ou outro ativo financeiro.</w:t>
      </w:r>
    </w:p>
    <w:p w14:paraId="5D699843" w14:textId="1C46D8CC" w:rsidR="00152020" w:rsidRPr="00DB28D9" w:rsidRDefault="00152020" w:rsidP="00E56596">
      <w:pPr>
        <w:pStyle w:val="Textoembloco"/>
        <w:spacing w:before="0" w:after="0" w:line="240" w:lineRule="auto"/>
        <w:ind w:left="567" w:right="0" w:firstLine="0"/>
        <w:jc w:val="both"/>
        <w:rPr>
          <w:color w:val="000000"/>
          <w:sz w:val="24"/>
          <w:lang w:val="pt-BR"/>
        </w:rPr>
      </w:pPr>
      <w:r w:rsidRPr="00DB28D9">
        <w:rPr>
          <w:color w:val="000000"/>
          <w:sz w:val="24"/>
          <w:lang w:val="pt-BR"/>
        </w:rPr>
        <w:t>Embora a entidade não tenha a obrigação contratual explícita de entregar caixa ou outro ativo financeiro, o valor da alternativa de liquidação da ação é tal que a entidade liquidará em caixa. Em qualquer caso, na essência, o detentor</w:t>
      </w:r>
      <w:r w:rsidRPr="00DB28D9">
        <w:rPr>
          <w:bCs/>
          <w:iCs/>
          <w:color w:val="000000"/>
          <w:sz w:val="24"/>
          <w:lang w:val="pt-BR"/>
        </w:rPr>
        <w:t xml:space="preserve"> </w:t>
      </w:r>
      <w:r w:rsidRPr="00DB28D9">
        <w:rPr>
          <w:color w:val="000000"/>
          <w:sz w:val="24"/>
          <w:lang w:val="pt-BR"/>
        </w:rPr>
        <w:t xml:space="preserve">possui a garantia de recebimento de montante que seja pelo menos igual à opção de liquidação em caixa (ver </w:t>
      </w:r>
      <w:r w:rsidRPr="00DB28D9">
        <w:rPr>
          <w:bCs/>
          <w:iCs/>
          <w:color w:val="000000"/>
          <w:sz w:val="24"/>
          <w:lang w:val="pt-BR"/>
        </w:rPr>
        <w:t>item</w:t>
      </w:r>
      <w:r w:rsidRPr="00DB28D9">
        <w:rPr>
          <w:color w:val="000000"/>
          <w:sz w:val="24"/>
          <w:lang w:val="pt-BR"/>
        </w:rPr>
        <w:t xml:space="preserve"> 25).</w:t>
      </w:r>
    </w:p>
    <w:p w14:paraId="368CD9D8" w14:textId="77777777" w:rsidR="003B4208" w:rsidRPr="00DB28D9" w:rsidRDefault="003B4208" w:rsidP="00E56596">
      <w:pPr>
        <w:pStyle w:val="Textoembloco"/>
        <w:spacing w:before="0" w:after="0" w:line="240" w:lineRule="auto"/>
        <w:ind w:left="33" w:right="0" w:firstLine="0"/>
        <w:jc w:val="both"/>
        <w:rPr>
          <w:color w:val="000000"/>
          <w:sz w:val="24"/>
          <w:lang w:val="pt-BR"/>
        </w:rPr>
      </w:pPr>
    </w:p>
    <w:p w14:paraId="37033043" w14:textId="64F7D38A" w:rsidR="00152020" w:rsidRPr="00DB28D9" w:rsidRDefault="00152020" w:rsidP="00E56596">
      <w:pPr>
        <w:pStyle w:val="Textoembloco"/>
        <w:spacing w:before="0" w:after="0" w:line="240" w:lineRule="auto"/>
        <w:ind w:left="0" w:right="0" w:firstLine="0"/>
        <w:jc w:val="both"/>
        <w:rPr>
          <w:i/>
          <w:sz w:val="24"/>
          <w:lang w:val="pt-BR"/>
        </w:rPr>
      </w:pPr>
      <w:r w:rsidRPr="00DB28D9">
        <w:rPr>
          <w:i/>
          <w:sz w:val="24"/>
          <w:lang w:val="pt-BR"/>
        </w:rPr>
        <w:t>Liquidação nos instrumentos patrimoniais da própria entidade (</w:t>
      </w:r>
      <w:r w:rsidRPr="00DB28D9">
        <w:rPr>
          <w:bCs/>
          <w:i/>
          <w:iCs/>
          <w:color w:val="000000"/>
          <w:sz w:val="24"/>
          <w:lang w:val="pt-BR"/>
        </w:rPr>
        <w:t>item</w:t>
      </w:r>
      <w:r w:rsidRPr="00DB28D9">
        <w:rPr>
          <w:i/>
          <w:sz w:val="24"/>
          <w:lang w:val="pt-BR"/>
        </w:rPr>
        <w:t xml:space="preserve"> 14(b))</w:t>
      </w:r>
    </w:p>
    <w:p w14:paraId="548DFC60" w14:textId="77777777" w:rsidR="003B4208" w:rsidRPr="00DB28D9" w:rsidRDefault="003B4208" w:rsidP="00E56596">
      <w:pPr>
        <w:pStyle w:val="Textoembloco"/>
        <w:spacing w:before="0" w:after="0" w:line="240" w:lineRule="auto"/>
        <w:ind w:left="0" w:right="0" w:firstLine="0"/>
        <w:jc w:val="both"/>
        <w:rPr>
          <w:i/>
          <w:sz w:val="24"/>
          <w:lang w:val="pt-BR"/>
        </w:rPr>
      </w:pPr>
    </w:p>
    <w:p w14:paraId="105F3FBA" w14:textId="19A0C25B" w:rsidR="00152020" w:rsidRPr="00DB28D9" w:rsidRDefault="009C6B34" w:rsidP="00E56596">
      <w:pPr>
        <w:pStyle w:val="Textoembloco"/>
        <w:shd w:val="clear" w:color="auto" w:fill="FFFFFF"/>
        <w:tabs>
          <w:tab w:val="clear" w:pos="6804"/>
        </w:tabs>
        <w:spacing w:before="0" w:after="0" w:line="240" w:lineRule="auto"/>
        <w:ind w:left="567" w:right="0" w:hanging="567"/>
        <w:jc w:val="both"/>
        <w:rPr>
          <w:color w:val="000000"/>
          <w:sz w:val="24"/>
          <w:lang w:val="pt-BR"/>
        </w:rPr>
      </w:pPr>
      <w:r w:rsidRPr="00DB28D9">
        <w:rPr>
          <w:color w:val="000000"/>
          <w:sz w:val="24"/>
          <w:lang w:val="pt-BR"/>
        </w:rPr>
        <w:t>25.</w:t>
      </w:r>
      <w:r w:rsidR="00152020" w:rsidRPr="00DB28D9">
        <w:rPr>
          <w:color w:val="000000"/>
          <w:sz w:val="24"/>
          <w:lang w:val="pt-BR"/>
        </w:rPr>
        <w:tab/>
        <w:t>O contrato não é um instrumento patrimonial somente porque pode resultar no recebimento ou entrega de instrumentos patrimoniais da própria entidade. A entidade pode ter a obrigação ou direito contratual de receber ou entr</w:t>
      </w:r>
      <w:r w:rsidR="00421FEA" w:rsidRPr="00DB28D9">
        <w:rPr>
          <w:color w:val="000000"/>
          <w:sz w:val="24"/>
          <w:lang w:val="pt-BR"/>
        </w:rPr>
        <w:t>egar</w:t>
      </w:r>
      <w:r w:rsidR="00152020" w:rsidRPr="00DB28D9">
        <w:rPr>
          <w:color w:val="000000"/>
          <w:sz w:val="24"/>
          <w:lang w:val="pt-BR"/>
        </w:rPr>
        <w:t xml:space="preserve"> uma quantidade de suas próprias ações ou outro instrumento patrimonial que varia de modo que o valor justo dos instrumentos patrimoniais da própria enti</w:t>
      </w:r>
      <w:r w:rsidR="00421FEA" w:rsidRPr="00DB28D9">
        <w:rPr>
          <w:color w:val="000000"/>
          <w:sz w:val="24"/>
          <w:lang w:val="pt-BR"/>
        </w:rPr>
        <w:t>dade a ser recebido ou entregue</w:t>
      </w:r>
      <w:r w:rsidR="00152020" w:rsidRPr="00DB28D9">
        <w:rPr>
          <w:color w:val="000000"/>
          <w:sz w:val="24"/>
          <w:lang w:val="pt-BR"/>
        </w:rPr>
        <w:t xml:space="preserve"> é igual ao valor da obrigação ou direito contratual. Tal obrigação ou direito contratual pode ser um montante fixo ou um montante que flutue, parcial ou totalmente, em resposta às mudanças em uma variável que não seja o preço de mercado dos instrumentos patrimoniais da própria entidade (por exemplo, taxa de juros, preço de </w:t>
      </w:r>
      <w:r w:rsidR="00152020" w:rsidRPr="00DB28D9">
        <w:rPr>
          <w:i/>
          <w:color w:val="000000"/>
          <w:sz w:val="24"/>
          <w:lang w:val="pt-BR"/>
        </w:rPr>
        <w:t>commodities</w:t>
      </w:r>
      <w:r w:rsidR="00152020" w:rsidRPr="00DB28D9">
        <w:rPr>
          <w:color w:val="000000"/>
          <w:sz w:val="24"/>
          <w:lang w:val="pt-BR"/>
        </w:rPr>
        <w:t xml:space="preserve"> ou preço de instrumento financeiro). Dois exemplos são (a) um </w:t>
      </w:r>
      <w:r w:rsidR="00152020" w:rsidRPr="00DB28D9">
        <w:rPr>
          <w:bCs/>
          <w:iCs/>
          <w:color w:val="000000"/>
          <w:sz w:val="24"/>
          <w:lang w:val="pt-BR"/>
        </w:rPr>
        <w:t>contrato para entrega de instrumentos patrimoniais da própria entidade equivalentes ao valor de $100 e (b) um contrato para entrega de instrumentos patrimoniais da própria entidade equivalentes ao valor de 100 barris de petróleo. Esse contrato é um passivo financeiro</w:t>
      </w:r>
      <w:r w:rsidR="00152020" w:rsidRPr="00DB28D9">
        <w:rPr>
          <w:color w:val="000000"/>
          <w:sz w:val="24"/>
          <w:lang w:val="pt-BR"/>
        </w:rPr>
        <w:t xml:space="preserve"> da entidade embora a entidade deva ou possa liquidá-lo por meio da entrega de seus próprios instrumentos patrimoniais. Não é um instrumento patrimonial porque a entidade utiliza um número variável de seus próprios instrumentos patrimoniais como meio para liquidar o contrato. Assim, o contrato não mostra uma participação residual nos ativos da entidade após a dedução de todos os seus passivos. </w:t>
      </w:r>
    </w:p>
    <w:p w14:paraId="6617BE99" w14:textId="77777777" w:rsidR="003B4208" w:rsidRPr="00DB28D9" w:rsidRDefault="003B4208" w:rsidP="00E56596">
      <w:pPr>
        <w:pStyle w:val="Textoembloco"/>
        <w:shd w:val="clear" w:color="auto" w:fill="FFFFFF"/>
        <w:tabs>
          <w:tab w:val="clear" w:pos="6804"/>
        </w:tabs>
        <w:spacing w:before="0" w:after="0" w:line="240" w:lineRule="auto"/>
        <w:ind w:left="0" w:firstLine="0"/>
        <w:jc w:val="both"/>
        <w:rPr>
          <w:sz w:val="24"/>
          <w:lang w:val="pt-BR" w:bidi="en-US"/>
        </w:rPr>
      </w:pPr>
    </w:p>
    <w:p w14:paraId="2D0EAED7" w14:textId="4D2DFDE3" w:rsidR="00152020" w:rsidRPr="00DA4C02" w:rsidRDefault="00152020" w:rsidP="00E56596">
      <w:pPr>
        <w:pStyle w:val="Textoembloco"/>
        <w:shd w:val="clear" w:color="auto" w:fill="FFFFFF"/>
        <w:tabs>
          <w:tab w:val="clear" w:pos="6804"/>
        </w:tabs>
        <w:spacing w:before="0" w:after="0" w:line="240" w:lineRule="auto"/>
        <w:ind w:left="567" w:hanging="567"/>
        <w:jc w:val="both"/>
        <w:rPr>
          <w:sz w:val="24"/>
          <w:lang w:val="pt-BR" w:bidi="en-US"/>
        </w:rPr>
      </w:pPr>
      <w:r w:rsidRPr="00DB28D9">
        <w:rPr>
          <w:sz w:val="24"/>
          <w:lang w:val="pt-BR" w:bidi="en-US"/>
        </w:rPr>
        <w:t xml:space="preserve">26. </w:t>
      </w:r>
      <w:r w:rsidR="00E56596" w:rsidRPr="00DB28D9">
        <w:rPr>
          <w:sz w:val="24"/>
          <w:lang w:val="pt-BR" w:bidi="en-US"/>
        </w:rPr>
        <w:tab/>
      </w:r>
      <w:r w:rsidRPr="00DB28D9">
        <w:rPr>
          <w:sz w:val="24"/>
          <w:lang w:val="pt-BR" w:bidi="en-US"/>
        </w:rPr>
        <w:t xml:space="preserve">Exceto o indicado no item 27, um contrato que será liquidado pela entidade por meio da entrega ou recebimento de um número fixo de seus próprios instrumentos em troca de um montante fixo de caixa ou outro ativo financeiro, é instrumento patrimonial. Por exemplo, uma opção de ação emitida que dá à contraparte o direito de comprar um número fixo de ações da entidade por um preço fixo ou por um montante </w:t>
      </w:r>
      <w:proofErr w:type="spellStart"/>
      <w:r w:rsidRPr="00DB28D9">
        <w:rPr>
          <w:sz w:val="24"/>
          <w:lang w:val="pt-BR" w:bidi="en-US"/>
        </w:rPr>
        <w:t>pré</w:t>
      </w:r>
      <w:proofErr w:type="spellEnd"/>
      <w:r w:rsidRPr="00DB28D9">
        <w:rPr>
          <w:sz w:val="24"/>
          <w:lang w:val="pt-BR" w:bidi="en-US"/>
        </w:rPr>
        <w:t>-especificado (valor de face do título) é um instrumento patrimonial. Mudanças no valor justo de um contrato decorrentes de variações nas taxas de juros do mercado que não afetam o montante de caixa ou outro ativo financeiro a serem pagos ou recebidos, ou o número de instrumentos patrimoniais a serem recebidos ou entregues na liquidação do contrato não impedem o contrato de ser um instrumento patrimonial. Qualquer contraprestação recebida (tal como o prêmio recebido por opção lançada ou garantia (</w:t>
      </w:r>
      <w:r w:rsidRPr="002F0E84">
        <w:rPr>
          <w:i/>
          <w:iCs/>
          <w:sz w:val="24"/>
          <w:lang w:val="pt-BR" w:bidi="en-US"/>
        </w:rPr>
        <w:t>warrant</w:t>
      </w:r>
      <w:r w:rsidRPr="005C4E9A">
        <w:rPr>
          <w:sz w:val="24"/>
          <w:lang w:val="pt-BR" w:bidi="en-US"/>
        </w:rPr>
        <w:t>) de ações da própria entidade) deve ser adicionado diretamente ao patrimônio líquido. Qualquer contrapresta</w:t>
      </w:r>
      <w:r w:rsidRPr="00DA4C02">
        <w:rPr>
          <w:sz w:val="24"/>
          <w:lang w:val="pt-BR" w:bidi="en-US"/>
        </w:rPr>
        <w:t xml:space="preserve">ção paga (como prêmio pago por opção de compra) deve ser deduzida diretamente do patrimônio líquido. Alterações no valor justo de um instrumento patrimonial não são reconhecidas nas demonstrações </w:t>
      </w:r>
      <w:r w:rsidRPr="00DA4C02">
        <w:rPr>
          <w:sz w:val="24"/>
          <w:lang w:val="pt-BR" w:bidi="en-US"/>
        </w:rPr>
        <w:lastRenderedPageBreak/>
        <w:t>contábeis.</w:t>
      </w:r>
    </w:p>
    <w:p w14:paraId="37F7D79D" w14:textId="77777777" w:rsidR="003B4208" w:rsidRPr="00DB28D9" w:rsidRDefault="003B4208" w:rsidP="00E56596">
      <w:pPr>
        <w:pStyle w:val="Textoembloco"/>
        <w:shd w:val="clear" w:color="auto" w:fill="FFFFFF"/>
        <w:tabs>
          <w:tab w:val="clear" w:pos="6804"/>
        </w:tabs>
        <w:spacing w:before="0" w:after="0" w:line="240" w:lineRule="auto"/>
        <w:ind w:left="567" w:hanging="567"/>
        <w:jc w:val="both"/>
        <w:rPr>
          <w:color w:val="000000"/>
          <w:sz w:val="24"/>
          <w:lang w:val="pt-BR"/>
        </w:rPr>
      </w:pPr>
    </w:p>
    <w:p w14:paraId="3440DE85" w14:textId="6AD74954" w:rsidR="00152020" w:rsidRPr="00DB28D9" w:rsidRDefault="00152020" w:rsidP="00E56596">
      <w:pPr>
        <w:pStyle w:val="Textoembloco"/>
        <w:shd w:val="clear" w:color="auto" w:fill="FFFFFF"/>
        <w:tabs>
          <w:tab w:val="clear" w:pos="6804"/>
        </w:tabs>
        <w:spacing w:before="0" w:after="0" w:line="240" w:lineRule="auto"/>
        <w:ind w:left="567" w:hanging="567"/>
        <w:jc w:val="both"/>
        <w:rPr>
          <w:color w:val="000000"/>
          <w:sz w:val="24"/>
          <w:lang w:val="pt-BR"/>
        </w:rPr>
      </w:pPr>
      <w:r w:rsidRPr="00DB28D9">
        <w:rPr>
          <w:color w:val="000000"/>
          <w:sz w:val="24"/>
          <w:lang w:val="pt-BR"/>
        </w:rPr>
        <w:t>27</w:t>
      </w:r>
      <w:r w:rsidR="009C6B34" w:rsidRPr="00DB28D9">
        <w:rPr>
          <w:color w:val="000000"/>
          <w:sz w:val="24"/>
          <w:lang w:val="pt-BR"/>
        </w:rPr>
        <w:t>.</w:t>
      </w:r>
      <w:r w:rsidRPr="00DB28D9">
        <w:rPr>
          <w:color w:val="000000"/>
          <w:sz w:val="24"/>
          <w:lang w:val="pt-BR"/>
        </w:rPr>
        <w:t xml:space="preserve"> </w:t>
      </w:r>
      <w:r w:rsidRPr="00DB28D9">
        <w:rPr>
          <w:color w:val="000000"/>
          <w:sz w:val="24"/>
          <w:lang w:val="pt-BR"/>
        </w:rPr>
        <w:tab/>
        <w:t xml:space="preserve">Se os instrumentos patrimoniais da própria entidade a serem recebidos, ou entregues, pela entidade na liquidação de um contrato são instrumentos financeiros com opção de venda com todas as características e que satisfazem todas as condições descritas nos </w:t>
      </w:r>
      <w:r w:rsidRPr="00DB28D9">
        <w:rPr>
          <w:bCs/>
          <w:iCs/>
          <w:color w:val="000000"/>
          <w:sz w:val="24"/>
          <w:lang w:val="pt-BR"/>
        </w:rPr>
        <w:t>itens</w:t>
      </w:r>
      <w:r w:rsidRPr="00DB28D9">
        <w:rPr>
          <w:color w:val="000000"/>
          <w:sz w:val="24"/>
          <w:lang w:val="pt-BR"/>
        </w:rPr>
        <w:t xml:space="preserve"> 15 e 16, ou instrumentos que impõem à entidade uma obrigação de entregar à outra parte uma participação </w:t>
      </w:r>
      <w:r w:rsidRPr="00DB28D9">
        <w:rPr>
          <w:i/>
          <w:color w:val="000000"/>
          <w:sz w:val="24"/>
          <w:lang w:val="pt-BR"/>
        </w:rPr>
        <w:t>pro rata</w:t>
      </w:r>
      <w:r w:rsidRPr="00DB28D9">
        <w:rPr>
          <w:color w:val="000000"/>
          <w:sz w:val="24"/>
          <w:lang w:val="pt-BR"/>
        </w:rPr>
        <w:t xml:space="preserve"> dos ativos líquidos da entidade somente na sua liquidação com todas as características e condições descritas nos </w:t>
      </w:r>
      <w:r w:rsidRPr="00DB28D9">
        <w:rPr>
          <w:bCs/>
          <w:iCs/>
          <w:color w:val="000000"/>
          <w:sz w:val="24"/>
          <w:lang w:val="pt-BR"/>
        </w:rPr>
        <w:t>itens</w:t>
      </w:r>
      <w:r w:rsidRPr="00DB28D9">
        <w:rPr>
          <w:color w:val="000000"/>
          <w:sz w:val="24"/>
          <w:lang w:val="pt-BR"/>
        </w:rPr>
        <w:t xml:space="preserve"> 17 e 18, o contrato é um ativo financeiro ou um passivo financeiro. Isso inclui um contrato que será liquidado pela entidade por</w:t>
      </w:r>
      <w:r w:rsidR="00421FEA" w:rsidRPr="00DB28D9">
        <w:rPr>
          <w:color w:val="000000"/>
          <w:sz w:val="24"/>
          <w:lang w:val="pt-BR"/>
        </w:rPr>
        <w:t xml:space="preserve"> meio do recebimento ou entrega de um número fixo desses </w:t>
      </w:r>
      <w:r w:rsidRPr="00DB28D9">
        <w:rPr>
          <w:color w:val="000000"/>
          <w:sz w:val="24"/>
          <w:lang w:val="pt-BR"/>
        </w:rPr>
        <w:t>instrumentos em troca de um montante fixo de caixa ou de outro ativo financeiro</w:t>
      </w:r>
      <w:r w:rsidR="00E027B0" w:rsidRPr="00DB28D9">
        <w:rPr>
          <w:color w:val="000000"/>
          <w:sz w:val="24"/>
          <w:lang w:val="pt-BR"/>
        </w:rPr>
        <w:t>.</w:t>
      </w:r>
    </w:p>
    <w:p w14:paraId="37A55222" w14:textId="77777777" w:rsidR="00152020" w:rsidRPr="00DB28D9" w:rsidRDefault="00152020" w:rsidP="00E56596">
      <w:pPr>
        <w:pStyle w:val="Textoembloco"/>
        <w:shd w:val="clear" w:color="auto" w:fill="FFFFFF"/>
        <w:tabs>
          <w:tab w:val="clear" w:pos="6804"/>
        </w:tabs>
        <w:spacing w:before="0" w:after="0" w:line="240" w:lineRule="auto"/>
        <w:ind w:left="567" w:hanging="567"/>
        <w:jc w:val="both"/>
        <w:rPr>
          <w:sz w:val="24"/>
          <w:lang w:val="pt-BR"/>
        </w:rPr>
      </w:pPr>
    </w:p>
    <w:p w14:paraId="5C4CB692" w14:textId="5B45E7BF" w:rsidR="00152020" w:rsidRPr="00DA4C02" w:rsidRDefault="00152020" w:rsidP="00E56596">
      <w:pPr>
        <w:pStyle w:val="Textoembloco"/>
        <w:shd w:val="clear" w:color="auto" w:fill="FFFFFF"/>
        <w:tabs>
          <w:tab w:val="clear" w:pos="6804"/>
        </w:tabs>
        <w:spacing w:before="0" w:after="0" w:line="240" w:lineRule="auto"/>
        <w:ind w:left="567" w:hanging="567"/>
        <w:jc w:val="both"/>
        <w:rPr>
          <w:sz w:val="24"/>
          <w:lang w:val="pt-BR" w:bidi="en-US"/>
        </w:rPr>
      </w:pPr>
      <w:r w:rsidRPr="00DB28D9">
        <w:rPr>
          <w:sz w:val="24"/>
          <w:lang w:val="pt-BR" w:bidi="en-US"/>
        </w:rPr>
        <w:t>28</w:t>
      </w:r>
      <w:r w:rsidR="009C6B34" w:rsidRPr="00DB28D9">
        <w:rPr>
          <w:sz w:val="24"/>
          <w:lang w:val="pt-BR" w:bidi="en-US"/>
        </w:rPr>
        <w:t>.</w:t>
      </w:r>
      <w:r w:rsidRPr="00DB28D9">
        <w:rPr>
          <w:sz w:val="24"/>
          <w:lang w:val="pt-BR" w:bidi="en-US"/>
        </w:rPr>
        <w:tab/>
        <w:t>Com exceção das circunstâncias descritas nos itens 15 e 16 ou nos itens 17 e 18, um contrato que contém uma obrigação para a entidade de comprar seus próprios instrumentos patrimoniais em caixa ou outro ativo financeiro dá origem a um passivo financeiro pelo valor presente do montante de resgate (por exemplo, pelo valor presente do preço de recompra a termo, preço de prática da opção ou outro montante de resgate). Esse é o caso mesmo quando o contrato em si é um instrumento patrimonial. Um exemplo é a obrigação da entidade, em um contrato a termo, de comprar seus próprios instrumentos patrimoniais em caixa. O passivo financeiro é reconhecido inicialmente pelo valor pr</w:t>
      </w:r>
      <w:r w:rsidR="00421FEA" w:rsidRPr="00DB28D9">
        <w:rPr>
          <w:sz w:val="24"/>
          <w:lang w:val="pt-BR" w:bidi="en-US"/>
        </w:rPr>
        <w:t>esente do montante de resgate e</w:t>
      </w:r>
      <w:r w:rsidRPr="00DB28D9">
        <w:rPr>
          <w:sz w:val="24"/>
          <w:lang w:val="pt-BR" w:bidi="en-US"/>
        </w:rPr>
        <w:t xml:space="preserve"> é reclassificado do patrimônio líquido. Posteriormente, o pas</w:t>
      </w:r>
      <w:r w:rsidR="00421FEA" w:rsidRPr="00DB28D9">
        <w:rPr>
          <w:sz w:val="24"/>
          <w:lang w:val="pt-BR" w:bidi="en-US"/>
        </w:rPr>
        <w:t>sivo financeiro</w:t>
      </w:r>
      <w:r w:rsidRPr="00DB28D9">
        <w:rPr>
          <w:sz w:val="24"/>
          <w:lang w:val="pt-BR" w:bidi="en-US"/>
        </w:rPr>
        <w:t xml:space="preserve"> é mensurado de acordo com a NBC TSP 31. Se o contrato expirar sem entrega, o valor</w:t>
      </w:r>
      <w:r w:rsidR="00421FEA" w:rsidRPr="00DB28D9">
        <w:rPr>
          <w:sz w:val="24"/>
          <w:lang w:val="pt-BR" w:bidi="en-US"/>
        </w:rPr>
        <w:t xml:space="preserve"> contábil do passivo financeiro</w:t>
      </w:r>
      <w:r w:rsidRPr="00DB28D9">
        <w:rPr>
          <w:sz w:val="24"/>
          <w:lang w:val="pt-BR" w:bidi="en-US"/>
        </w:rPr>
        <w:t xml:space="preserve"> é reclassificado para o patrimônio líquido. Uma obrigação contratual da entidade de comprar seus próprios instrumentos patrimoniais dá origem a um passivo financeiro pelo valor presente do montante de resgate mesmo que a obrigação de compra seja condicionada ao exercício do direito de resgate pela contraparte (por exemplo, uma opção de venda lançada que dá à contraparte o direito de vender instrumento patrimonial da própria entidade </w:t>
      </w:r>
      <w:proofErr w:type="gramStart"/>
      <w:r w:rsidRPr="00DB28D9">
        <w:rPr>
          <w:sz w:val="24"/>
          <w:lang w:val="pt-BR" w:bidi="en-US"/>
        </w:rPr>
        <w:t>à</w:t>
      </w:r>
      <w:proofErr w:type="gramEnd"/>
      <w:r w:rsidRPr="00DB28D9">
        <w:rPr>
          <w:sz w:val="24"/>
          <w:lang w:val="pt-BR" w:bidi="en-US"/>
        </w:rPr>
        <w:t xml:space="preserve"> entidade </w:t>
      </w:r>
      <w:r w:rsidRPr="005E7276">
        <w:rPr>
          <w:sz w:val="24"/>
          <w:lang w:val="pt-BR" w:bidi="en-US"/>
        </w:rPr>
        <w:t>por preço fixo).</w:t>
      </w:r>
    </w:p>
    <w:p w14:paraId="0604DF2D" w14:textId="77777777" w:rsidR="00152020" w:rsidRPr="00DB28D9" w:rsidRDefault="00152020" w:rsidP="003B4208">
      <w:pPr>
        <w:pStyle w:val="Textoembloco"/>
        <w:shd w:val="clear" w:color="auto" w:fill="FFFFFF"/>
        <w:tabs>
          <w:tab w:val="clear" w:pos="6804"/>
        </w:tabs>
        <w:spacing w:after="0" w:line="240" w:lineRule="auto"/>
        <w:ind w:left="0" w:firstLine="0"/>
        <w:jc w:val="both"/>
        <w:rPr>
          <w:sz w:val="24"/>
          <w:lang w:val="pt-BR" w:bidi="en-US"/>
        </w:rPr>
      </w:pPr>
    </w:p>
    <w:p w14:paraId="03F2768D" w14:textId="0745A95B" w:rsidR="00152020" w:rsidRPr="00DB28D9" w:rsidRDefault="00152020" w:rsidP="00E56596">
      <w:pPr>
        <w:pStyle w:val="Textoembloco"/>
        <w:shd w:val="clear" w:color="auto" w:fill="FFFFFF"/>
        <w:tabs>
          <w:tab w:val="clear" w:pos="6804"/>
        </w:tabs>
        <w:spacing w:before="0" w:after="0" w:line="240" w:lineRule="auto"/>
        <w:ind w:left="567" w:hanging="534"/>
        <w:jc w:val="both"/>
        <w:rPr>
          <w:sz w:val="24"/>
          <w:lang w:val="pt-BR"/>
        </w:rPr>
      </w:pPr>
      <w:r w:rsidRPr="00DB28D9">
        <w:rPr>
          <w:color w:val="000000"/>
          <w:sz w:val="24"/>
          <w:lang w:val="pt-BR"/>
        </w:rPr>
        <w:t>29</w:t>
      </w:r>
      <w:r w:rsidR="009C6B34" w:rsidRPr="00DB28D9">
        <w:rPr>
          <w:color w:val="000000"/>
          <w:sz w:val="24"/>
          <w:lang w:val="pt-BR"/>
        </w:rPr>
        <w:t>.</w:t>
      </w:r>
      <w:r w:rsidRPr="00DB28D9">
        <w:rPr>
          <w:color w:val="000000"/>
          <w:sz w:val="24"/>
          <w:lang w:val="pt-BR"/>
        </w:rPr>
        <w:tab/>
        <w:t xml:space="preserve">O contrato que será liquidado pela entidade por meio da entrega ou recebimento de um número fixo de seus próprios instrumentos patrimoniais em troca de quantia </w:t>
      </w:r>
      <w:r w:rsidRPr="00DB28D9">
        <w:rPr>
          <w:sz w:val="24"/>
          <w:lang w:val="pt-BR"/>
        </w:rPr>
        <w:t>variável de caixa ou outro ativo financeiro é um ativo financeiro ou passivo financeiro. Um exemplo é um contrato para a entidade entregar 100 de seus próprios instrumentos patrimoniais em troca da quantia de caixa equivalente ao valor de 100 barris de petróleo.</w:t>
      </w:r>
    </w:p>
    <w:p w14:paraId="2A312998" w14:textId="77777777" w:rsidR="00E027B0" w:rsidRPr="00DB28D9" w:rsidRDefault="00E027B0" w:rsidP="00E56596">
      <w:pPr>
        <w:pStyle w:val="Textoembloco"/>
        <w:shd w:val="clear" w:color="auto" w:fill="FFFFFF"/>
        <w:tabs>
          <w:tab w:val="clear" w:pos="6804"/>
        </w:tabs>
        <w:spacing w:before="0" w:after="0" w:line="240" w:lineRule="auto"/>
        <w:ind w:left="33" w:firstLine="0"/>
        <w:jc w:val="both"/>
        <w:rPr>
          <w:sz w:val="24"/>
          <w:lang w:val="pt-BR"/>
        </w:rPr>
      </w:pPr>
    </w:p>
    <w:p w14:paraId="07BAB15A" w14:textId="2222A203" w:rsidR="00152020" w:rsidRPr="00DB28D9" w:rsidRDefault="00152020" w:rsidP="00E56596">
      <w:pPr>
        <w:spacing w:after="0"/>
        <w:jc w:val="both"/>
        <w:rPr>
          <w:rFonts w:ascii="Arial" w:hAnsi="Arial" w:cs="Arial"/>
          <w:i/>
          <w:sz w:val="24"/>
          <w:szCs w:val="24"/>
        </w:rPr>
      </w:pPr>
      <w:r w:rsidRPr="00DB28D9">
        <w:rPr>
          <w:rFonts w:ascii="Arial" w:hAnsi="Arial" w:cs="Arial"/>
          <w:i/>
          <w:sz w:val="24"/>
          <w:szCs w:val="24"/>
        </w:rPr>
        <w:t>Provisões de liquidação contingente</w:t>
      </w:r>
    </w:p>
    <w:p w14:paraId="25AE153F" w14:textId="77777777" w:rsidR="00E56596" w:rsidRPr="00DB28D9" w:rsidRDefault="00E56596" w:rsidP="00E56596">
      <w:pPr>
        <w:spacing w:after="0"/>
        <w:jc w:val="both"/>
        <w:rPr>
          <w:rFonts w:ascii="Arial" w:hAnsi="Arial" w:cs="Arial"/>
          <w:i/>
          <w:sz w:val="24"/>
          <w:szCs w:val="24"/>
        </w:rPr>
      </w:pPr>
    </w:p>
    <w:p w14:paraId="20329108" w14:textId="78E6319F" w:rsidR="00152020" w:rsidRPr="00DB28D9" w:rsidRDefault="00152020" w:rsidP="00F935F6">
      <w:pPr>
        <w:pStyle w:val="Textoembloco"/>
        <w:shd w:val="clear" w:color="auto" w:fill="FFFFFF"/>
        <w:tabs>
          <w:tab w:val="clear" w:pos="6804"/>
        </w:tabs>
        <w:spacing w:before="0" w:after="0" w:line="240" w:lineRule="auto"/>
        <w:ind w:left="567" w:hanging="567"/>
        <w:jc w:val="both"/>
        <w:rPr>
          <w:color w:val="000000"/>
          <w:sz w:val="24"/>
          <w:lang w:val="pt-BR"/>
        </w:rPr>
      </w:pPr>
      <w:r w:rsidRPr="00DB28D9">
        <w:rPr>
          <w:sz w:val="24"/>
          <w:lang w:val="pt-BR"/>
        </w:rPr>
        <w:t>30.</w:t>
      </w:r>
      <w:r w:rsidRPr="00DB28D9">
        <w:rPr>
          <w:sz w:val="24"/>
          <w:lang w:val="pt-BR"/>
        </w:rPr>
        <w:tab/>
        <w:t>Um instrumento financeiro pode exigir que a entidade entregue caixa ou outro ativo financeiro, ou de outra forma, liquide-o de tal forma que seria um passivo</w:t>
      </w:r>
      <w:r w:rsidRPr="00DB28D9">
        <w:rPr>
          <w:color w:val="000000"/>
          <w:sz w:val="24"/>
          <w:lang w:val="pt-BR"/>
        </w:rPr>
        <w:t xml:space="preserve"> financeiro no caso de ocorrência ou não ocorrência de eventos futuros incertos (ou como resultado de circunstâncias incertas) que estariam além do controle do emitente e do detentor do instrumento, tal como uma alteração no índice de bolsa de valores, no índice de preços ao consumidor, na taxa de juros ou nos impostos cobrados, ou nas receitas futuras do emitente, no resultado ou no índice dívida/patrimônio. O emitente de tal instrumento não tem o direito incondicional de evitar a entrega de caixa ou outro ativo financeiro (ou, de outro modo, liquidá-lo de tal forma que seria um passivo financeiro). Portanto, é um passivo financeiro do emitente, salvo se:</w:t>
      </w:r>
    </w:p>
    <w:p w14:paraId="4EF29062" w14:textId="40F83AB2" w:rsidR="00152020" w:rsidRPr="00DB28D9" w:rsidRDefault="00152020" w:rsidP="00F935F6">
      <w:pPr>
        <w:widowControl w:val="0"/>
        <w:spacing w:after="0"/>
        <w:ind w:left="1134" w:hanging="567"/>
        <w:jc w:val="both"/>
        <w:rPr>
          <w:rFonts w:ascii="Arial" w:hAnsi="Arial" w:cs="Arial"/>
          <w:bCs/>
          <w:iCs/>
          <w:color w:val="000000"/>
          <w:sz w:val="24"/>
          <w:szCs w:val="24"/>
        </w:rPr>
      </w:pPr>
      <w:r w:rsidRPr="00DB28D9">
        <w:rPr>
          <w:rFonts w:ascii="Arial" w:hAnsi="Arial" w:cs="Arial"/>
          <w:bCs/>
          <w:iCs/>
          <w:color w:val="000000"/>
          <w:sz w:val="24"/>
          <w:szCs w:val="24"/>
        </w:rPr>
        <w:lastRenderedPageBreak/>
        <w:t xml:space="preserve">(a) a parte da provisão de liquidação contingente que poderia exigir liquidação em caixa ou outro ativo financeiro (ou, de outro modo, de tal forma que seria um passivo financeiro) não for verdadeira; </w:t>
      </w:r>
    </w:p>
    <w:p w14:paraId="4A99ED72" w14:textId="4D1FE691" w:rsidR="00152020" w:rsidRPr="00DB28D9" w:rsidRDefault="00152020" w:rsidP="00F935F6">
      <w:pPr>
        <w:widowControl w:val="0"/>
        <w:spacing w:after="0"/>
        <w:ind w:left="1134" w:hanging="567"/>
        <w:jc w:val="both"/>
        <w:rPr>
          <w:rFonts w:ascii="Arial" w:hAnsi="Arial" w:cs="Arial"/>
          <w:bCs/>
          <w:iCs/>
          <w:color w:val="000000"/>
          <w:sz w:val="24"/>
          <w:szCs w:val="24"/>
        </w:rPr>
      </w:pPr>
      <w:r w:rsidRPr="00DB28D9">
        <w:rPr>
          <w:rFonts w:ascii="Arial" w:hAnsi="Arial" w:cs="Arial"/>
          <w:bCs/>
          <w:iCs/>
          <w:color w:val="000000"/>
          <w:sz w:val="24"/>
          <w:szCs w:val="24"/>
        </w:rPr>
        <w:t>(b) puder exigir do emitente que liquide a obrigação em caixa ou outro ativo financeiro (ou, de outro modo, liquidar de tal forma que seria um passivo financeiro) somente no caso de liquidação do emitente; ou</w:t>
      </w:r>
    </w:p>
    <w:p w14:paraId="0E371332" w14:textId="11A880A5" w:rsidR="00152020" w:rsidRPr="00DB28D9" w:rsidRDefault="00152020" w:rsidP="00F935F6">
      <w:pPr>
        <w:widowControl w:val="0"/>
        <w:spacing w:after="0"/>
        <w:ind w:left="1134" w:hanging="567"/>
        <w:jc w:val="both"/>
        <w:rPr>
          <w:rFonts w:ascii="Arial" w:hAnsi="Arial" w:cs="Arial"/>
          <w:bCs/>
          <w:iCs/>
          <w:color w:val="000000"/>
          <w:sz w:val="24"/>
          <w:szCs w:val="24"/>
        </w:rPr>
      </w:pPr>
      <w:r w:rsidRPr="00DB28D9">
        <w:rPr>
          <w:rFonts w:ascii="Arial" w:hAnsi="Arial" w:cs="Arial"/>
          <w:bCs/>
          <w:iCs/>
          <w:color w:val="000000"/>
          <w:sz w:val="24"/>
          <w:szCs w:val="24"/>
        </w:rPr>
        <w:t>(c) o instrumento tiver todas as características e satisfizer todas as condições dos itens 15 e 16.</w:t>
      </w:r>
    </w:p>
    <w:p w14:paraId="085BF164" w14:textId="77777777" w:rsidR="00F935F6" w:rsidRPr="00DB28D9" w:rsidRDefault="00F935F6" w:rsidP="00F935F6">
      <w:pPr>
        <w:widowControl w:val="0"/>
        <w:spacing w:after="0"/>
        <w:ind w:left="1134" w:hanging="567"/>
        <w:jc w:val="both"/>
        <w:rPr>
          <w:rFonts w:ascii="Arial" w:hAnsi="Arial" w:cs="Arial"/>
          <w:bCs/>
          <w:iCs/>
          <w:color w:val="000000"/>
          <w:sz w:val="24"/>
          <w:szCs w:val="24"/>
        </w:rPr>
      </w:pPr>
    </w:p>
    <w:p w14:paraId="217E6311" w14:textId="77777777" w:rsidR="003B4208" w:rsidRPr="00DB28D9" w:rsidRDefault="00152020" w:rsidP="00F935F6">
      <w:pPr>
        <w:pStyle w:val="Textoembloco"/>
        <w:spacing w:before="0" w:after="0" w:line="240" w:lineRule="auto"/>
        <w:ind w:left="0" w:firstLine="0"/>
        <w:jc w:val="both"/>
        <w:rPr>
          <w:i/>
          <w:sz w:val="24"/>
          <w:lang w:val="pt-BR"/>
        </w:rPr>
      </w:pPr>
      <w:r w:rsidRPr="00DB28D9">
        <w:rPr>
          <w:i/>
          <w:sz w:val="24"/>
          <w:lang w:val="pt-BR"/>
        </w:rPr>
        <w:t>Opção de liquidação</w:t>
      </w:r>
    </w:p>
    <w:p w14:paraId="71E82467" w14:textId="5BDD26A2" w:rsidR="00152020" w:rsidRPr="00DB28D9" w:rsidRDefault="00152020" w:rsidP="00F935F6">
      <w:pPr>
        <w:pStyle w:val="Textoembloco"/>
        <w:spacing w:before="0" w:after="0" w:line="240" w:lineRule="auto"/>
        <w:jc w:val="both"/>
        <w:rPr>
          <w:i/>
          <w:sz w:val="24"/>
          <w:lang w:val="pt-BR"/>
        </w:rPr>
      </w:pPr>
    </w:p>
    <w:p w14:paraId="71C968F1" w14:textId="410B056A" w:rsidR="00152020" w:rsidRPr="00DB28D9" w:rsidRDefault="00152020" w:rsidP="00F935F6">
      <w:pPr>
        <w:spacing w:after="0"/>
        <w:ind w:left="567" w:hanging="567"/>
        <w:jc w:val="both"/>
        <w:rPr>
          <w:rFonts w:ascii="Arial" w:hAnsi="Arial" w:cs="Arial"/>
          <w:bCs/>
          <w:sz w:val="24"/>
          <w:szCs w:val="24"/>
        </w:rPr>
      </w:pPr>
      <w:r w:rsidRPr="00DB28D9">
        <w:rPr>
          <w:rFonts w:ascii="Arial" w:hAnsi="Arial" w:cs="Arial"/>
          <w:bCs/>
          <w:color w:val="000000"/>
          <w:sz w:val="24"/>
          <w:szCs w:val="24"/>
        </w:rPr>
        <w:t>31</w:t>
      </w:r>
      <w:r w:rsidR="009C6B34" w:rsidRPr="00DB28D9">
        <w:rPr>
          <w:rFonts w:ascii="Arial" w:hAnsi="Arial" w:cs="Arial"/>
          <w:bCs/>
          <w:color w:val="000000"/>
          <w:sz w:val="24"/>
          <w:szCs w:val="24"/>
        </w:rPr>
        <w:t>.</w:t>
      </w:r>
      <w:r w:rsidRPr="00DB28D9">
        <w:rPr>
          <w:rFonts w:ascii="Arial" w:hAnsi="Arial" w:cs="Arial"/>
          <w:bCs/>
          <w:color w:val="000000"/>
          <w:sz w:val="24"/>
          <w:szCs w:val="24"/>
        </w:rPr>
        <w:tab/>
        <w:t xml:space="preserve">Quando o instrumento financeiro derivativo dá a uma das partes a escolha de </w:t>
      </w:r>
      <w:r w:rsidR="00421FEA" w:rsidRPr="00DB28D9">
        <w:rPr>
          <w:rFonts w:ascii="Arial" w:hAnsi="Arial" w:cs="Arial"/>
          <w:bCs/>
          <w:color w:val="000000"/>
          <w:sz w:val="24"/>
          <w:szCs w:val="24"/>
        </w:rPr>
        <w:t xml:space="preserve">como </w:t>
      </w:r>
      <w:r w:rsidRPr="00DB28D9">
        <w:rPr>
          <w:rFonts w:ascii="Arial" w:hAnsi="Arial" w:cs="Arial"/>
          <w:bCs/>
          <w:color w:val="000000"/>
          <w:sz w:val="24"/>
          <w:szCs w:val="24"/>
        </w:rPr>
        <w:t>será liquidado (por exemplo, o emitente ou o detentor</w:t>
      </w:r>
      <w:r w:rsidRPr="00DB28D9">
        <w:rPr>
          <w:rFonts w:ascii="Arial" w:hAnsi="Arial" w:cs="Arial"/>
          <w:bCs/>
          <w:iCs/>
          <w:color w:val="000000"/>
          <w:sz w:val="24"/>
          <w:szCs w:val="24"/>
        </w:rPr>
        <w:t xml:space="preserve"> </w:t>
      </w:r>
      <w:r w:rsidRPr="00DB28D9">
        <w:rPr>
          <w:rFonts w:ascii="Arial" w:hAnsi="Arial" w:cs="Arial"/>
          <w:bCs/>
          <w:color w:val="000000"/>
          <w:sz w:val="24"/>
          <w:szCs w:val="24"/>
        </w:rPr>
        <w:t>pode escolher liquidar em caixa ou pela troca de ações por caixa), é um ativo financeiro ou um passivo financeiro, a menos que todas as alternativas de liquidação resultem neste instrumento como sendo um instrumento patrimonial.</w:t>
      </w:r>
    </w:p>
    <w:p w14:paraId="3B157A38" w14:textId="3F22B5D6" w:rsidR="00E027B0" w:rsidRPr="00DB28D9" w:rsidRDefault="009C6B34" w:rsidP="00F935F6">
      <w:pPr>
        <w:pStyle w:val="Textoembloco"/>
        <w:shd w:val="clear" w:color="auto" w:fill="FFFFFF"/>
        <w:tabs>
          <w:tab w:val="clear" w:pos="6804"/>
        </w:tabs>
        <w:spacing w:before="0" w:after="0" w:line="240" w:lineRule="auto"/>
        <w:ind w:left="567" w:hanging="567"/>
        <w:jc w:val="both"/>
        <w:rPr>
          <w:color w:val="000000"/>
          <w:sz w:val="24"/>
          <w:lang w:val="pt-BR"/>
        </w:rPr>
      </w:pPr>
      <w:r w:rsidRPr="00DB28D9">
        <w:rPr>
          <w:bCs/>
          <w:color w:val="000000"/>
          <w:sz w:val="24"/>
          <w:lang w:val="pt-BR"/>
        </w:rPr>
        <w:t>32.</w:t>
      </w:r>
      <w:r w:rsidR="00152020" w:rsidRPr="00DB28D9">
        <w:rPr>
          <w:bCs/>
          <w:color w:val="000000"/>
          <w:sz w:val="24"/>
          <w:lang w:val="pt-BR"/>
        </w:rPr>
        <w:tab/>
        <w:t>Um exemplo de instrumento financeiro derivativo com uma opção de liquidação que é um passivo financeiro é uma opção de ação em que o emitente pode decidir liquidar em caixa ou pela troca de suas próprias ações por caixa. Da mesma forma, alguns contratos de compra ou venda de item não financeiro em troca de instrumentos patrimoniais da própria entidade estão no alcance desta Norma porque eles podem ser liquidados tanto pela entrega do item</w:t>
      </w:r>
      <w:r w:rsidR="00152020" w:rsidRPr="00DB28D9">
        <w:rPr>
          <w:color w:val="000000"/>
          <w:sz w:val="24"/>
          <w:lang w:val="pt-BR"/>
        </w:rPr>
        <w:t xml:space="preserve"> não financeiro quanto em caixa ou outro instrumento financeiro (ver </w:t>
      </w:r>
      <w:r w:rsidR="00152020" w:rsidRPr="00DB28D9">
        <w:rPr>
          <w:bCs/>
          <w:iCs/>
          <w:color w:val="000000"/>
          <w:sz w:val="24"/>
          <w:lang w:val="pt-BR"/>
        </w:rPr>
        <w:t>itens</w:t>
      </w:r>
      <w:r w:rsidR="00152020" w:rsidRPr="00DB28D9">
        <w:rPr>
          <w:color w:val="000000"/>
          <w:sz w:val="24"/>
          <w:lang w:val="pt-BR"/>
        </w:rPr>
        <w:t xml:space="preserve"> 4 a 6). Tais contratos são ativos financeiros ou passivos financeiros e não instrumentos patrimoniais.</w:t>
      </w:r>
    </w:p>
    <w:p w14:paraId="56CBEA8C" w14:textId="31A69787" w:rsidR="00152020" w:rsidRPr="00DB28D9" w:rsidRDefault="00152020" w:rsidP="00E027B0">
      <w:pPr>
        <w:pStyle w:val="Textoembloco"/>
        <w:shd w:val="clear" w:color="auto" w:fill="FFFFFF"/>
        <w:tabs>
          <w:tab w:val="clear" w:pos="6804"/>
        </w:tabs>
        <w:spacing w:after="0" w:line="240" w:lineRule="auto"/>
        <w:ind w:left="0" w:firstLine="0"/>
        <w:jc w:val="both"/>
        <w:rPr>
          <w:color w:val="000000"/>
          <w:sz w:val="24"/>
          <w:lang w:val="pt-BR"/>
        </w:rPr>
      </w:pPr>
    </w:p>
    <w:p w14:paraId="67F1E695" w14:textId="77777777" w:rsidR="00152020" w:rsidRPr="00DB28D9" w:rsidRDefault="00152020" w:rsidP="003B4208">
      <w:pPr>
        <w:jc w:val="both"/>
        <w:rPr>
          <w:rFonts w:ascii="Arial" w:hAnsi="Arial" w:cs="Arial"/>
          <w:bCs/>
          <w:i/>
          <w:iCs/>
          <w:sz w:val="24"/>
          <w:szCs w:val="24"/>
        </w:rPr>
      </w:pPr>
      <w:r w:rsidRPr="00DB28D9">
        <w:rPr>
          <w:rFonts w:ascii="Arial" w:hAnsi="Arial" w:cs="Arial"/>
          <w:bCs/>
          <w:i/>
          <w:iCs/>
          <w:sz w:val="24"/>
          <w:szCs w:val="24"/>
        </w:rPr>
        <w:t>Instrumentos financeiros compostos</w:t>
      </w:r>
    </w:p>
    <w:p w14:paraId="4627C748" w14:textId="1416114F" w:rsidR="00152020" w:rsidRPr="00DB28D9" w:rsidRDefault="00152020" w:rsidP="00F935F6">
      <w:pPr>
        <w:pStyle w:val="Textoembloco"/>
        <w:shd w:val="clear" w:color="auto" w:fill="FFFFFF"/>
        <w:tabs>
          <w:tab w:val="clear" w:pos="6804"/>
        </w:tabs>
        <w:spacing w:after="0" w:line="240" w:lineRule="auto"/>
        <w:ind w:left="567" w:hanging="534"/>
        <w:jc w:val="both"/>
        <w:rPr>
          <w:bCs/>
          <w:color w:val="000000"/>
          <w:sz w:val="24"/>
          <w:lang w:val="pt-BR"/>
        </w:rPr>
      </w:pPr>
      <w:r w:rsidRPr="00DB28D9">
        <w:rPr>
          <w:bCs/>
          <w:color w:val="000000"/>
          <w:sz w:val="24"/>
          <w:lang w:val="pt-BR"/>
        </w:rPr>
        <w:t>33</w:t>
      </w:r>
      <w:r w:rsidR="009C6B34" w:rsidRPr="00DB28D9">
        <w:rPr>
          <w:bCs/>
          <w:color w:val="000000"/>
          <w:sz w:val="24"/>
          <w:lang w:val="pt-BR"/>
        </w:rPr>
        <w:t>.</w:t>
      </w:r>
      <w:r w:rsidRPr="00DB28D9">
        <w:rPr>
          <w:bCs/>
          <w:color w:val="000000"/>
          <w:sz w:val="24"/>
          <w:lang w:val="pt-BR"/>
        </w:rPr>
        <w:tab/>
        <w:t xml:space="preserve">O emitente de um instrumento financeiro não derivativo deve avaliar os termos do instrumento financeiro para determinar se ele contém tanto um componente de passivo quanto um componente de patrimônio líquido. Tais componentes devem ser classificados separadamente como passivos financeiros, ativos financeiros ou instrumentos patrimoniais de acordo com o </w:t>
      </w:r>
      <w:r w:rsidRPr="00DB28D9">
        <w:rPr>
          <w:bCs/>
          <w:iCs/>
          <w:color w:val="000000"/>
          <w:sz w:val="24"/>
          <w:lang w:val="pt-BR"/>
        </w:rPr>
        <w:t>item</w:t>
      </w:r>
      <w:r w:rsidRPr="00DB28D9">
        <w:rPr>
          <w:bCs/>
          <w:color w:val="000000"/>
          <w:sz w:val="24"/>
          <w:lang w:val="pt-BR"/>
        </w:rPr>
        <w:t xml:space="preserve"> 13.</w:t>
      </w:r>
    </w:p>
    <w:p w14:paraId="7F14F73C" w14:textId="77777777" w:rsidR="00152020" w:rsidRPr="00DB28D9" w:rsidRDefault="00152020" w:rsidP="003B4208">
      <w:pPr>
        <w:pStyle w:val="Textoembloco"/>
        <w:shd w:val="clear" w:color="auto" w:fill="FFFFFF"/>
        <w:tabs>
          <w:tab w:val="clear" w:pos="6804"/>
        </w:tabs>
        <w:spacing w:after="0" w:line="240" w:lineRule="auto"/>
        <w:ind w:left="33" w:firstLine="0"/>
        <w:jc w:val="both"/>
        <w:rPr>
          <w:bCs/>
          <w:sz w:val="24"/>
          <w:lang w:val="pt-BR"/>
        </w:rPr>
      </w:pPr>
    </w:p>
    <w:p w14:paraId="625DB015" w14:textId="25747BE8" w:rsidR="00152020" w:rsidRPr="00DB28D9" w:rsidRDefault="00152020" w:rsidP="00F935F6">
      <w:pPr>
        <w:pStyle w:val="Textoembloco"/>
        <w:shd w:val="clear" w:color="auto" w:fill="FFFFFF"/>
        <w:tabs>
          <w:tab w:val="clear" w:pos="6804"/>
        </w:tabs>
        <w:spacing w:after="0" w:line="240" w:lineRule="auto"/>
        <w:ind w:left="567" w:hanging="534"/>
        <w:jc w:val="both"/>
        <w:rPr>
          <w:color w:val="000000"/>
          <w:sz w:val="24"/>
          <w:lang w:val="pt-BR"/>
        </w:rPr>
      </w:pPr>
      <w:r w:rsidRPr="00DB28D9">
        <w:rPr>
          <w:bCs/>
          <w:color w:val="000000"/>
          <w:sz w:val="24"/>
          <w:lang w:val="pt-BR"/>
        </w:rPr>
        <w:t>34</w:t>
      </w:r>
      <w:r w:rsidR="009C6B34" w:rsidRPr="00DB28D9">
        <w:rPr>
          <w:bCs/>
          <w:color w:val="000000"/>
          <w:sz w:val="24"/>
          <w:lang w:val="pt-BR"/>
        </w:rPr>
        <w:t>.</w:t>
      </w:r>
      <w:r w:rsidRPr="00DB28D9">
        <w:rPr>
          <w:bCs/>
          <w:color w:val="000000"/>
          <w:sz w:val="24"/>
          <w:lang w:val="pt-BR"/>
        </w:rPr>
        <w:tab/>
        <w:t>A entidade deve reconhecer separadamente os componentes de um instrumento financeiro que (a) crie um passivo financeiro da entidade e (b) conceda opção ao detentor</w:t>
      </w:r>
      <w:r w:rsidRPr="00DB28D9">
        <w:rPr>
          <w:bCs/>
          <w:iCs/>
          <w:color w:val="000000"/>
          <w:sz w:val="24"/>
          <w:lang w:val="pt-BR"/>
        </w:rPr>
        <w:t xml:space="preserve"> </w:t>
      </w:r>
      <w:r w:rsidRPr="00DB28D9">
        <w:rPr>
          <w:bCs/>
          <w:color w:val="000000"/>
          <w:sz w:val="24"/>
          <w:lang w:val="pt-BR"/>
        </w:rPr>
        <w:t>do instrumento de convertê-lo em instrumento patrimonial da entidade. Por exemplo, um título ou instrumento similar conversível pelo detentor</w:t>
      </w:r>
      <w:r w:rsidRPr="00DB28D9">
        <w:rPr>
          <w:bCs/>
          <w:iCs/>
          <w:color w:val="000000"/>
          <w:sz w:val="24"/>
          <w:lang w:val="pt-BR"/>
        </w:rPr>
        <w:t xml:space="preserve"> </w:t>
      </w:r>
      <w:r w:rsidRPr="00DB28D9">
        <w:rPr>
          <w:bCs/>
          <w:color w:val="000000"/>
          <w:sz w:val="24"/>
          <w:lang w:val="pt-BR"/>
        </w:rPr>
        <w:t>em um número fixo</w:t>
      </w:r>
      <w:r w:rsidRPr="00DB28D9">
        <w:rPr>
          <w:color w:val="000000"/>
          <w:sz w:val="24"/>
          <w:lang w:val="pt-BR"/>
        </w:rPr>
        <w:t xml:space="preserve"> de ações ordinárias da entidade é um instrumento financeiro composto. Sob a perspectiva da entidade, tal instrumento compreende dois componentes: um passivo financeiro (acordo contratual de entregar caixa ou outro ativo financeiro) e um instrumento patrimonial (opção de compra concedendo ao detentor</w:t>
      </w:r>
      <w:r w:rsidRPr="00DB28D9">
        <w:rPr>
          <w:bCs/>
          <w:iCs/>
          <w:color w:val="000000"/>
          <w:sz w:val="24"/>
          <w:lang w:val="pt-BR"/>
        </w:rPr>
        <w:t xml:space="preserve"> </w:t>
      </w:r>
      <w:r w:rsidRPr="00DB28D9">
        <w:rPr>
          <w:color w:val="000000"/>
          <w:sz w:val="24"/>
          <w:lang w:val="pt-BR"/>
        </w:rPr>
        <w:t>o direito, por período específico de tempo, de convertê-la em um número fixo de ações ordinárias da entidade). O efeito econômico da emissão desse tipo de instrumento é essencialmente o mesmo da emissão simultânea de um instrumento de dívida com cláusula de liquidação antecipada e contrato com garantia (</w:t>
      </w:r>
      <w:r w:rsidRPr="00DB28D9">
        <w:rPr>
          <w:i/>
          <w:color w:val="000000"/>
          <w:sz w:val="24"/>
          <w:lang w:val="pt-BR"/>
        </w:rPr>
        <w:t>warrant</w:t>
      </w:r>
      <w:r w:rsidRPr="00DB28D9">
        <w:rPr>
          <w:color w:val="000000"/>
          <w:sz w:val="24"/>
          <w:lang w:val="pt-BR"/>
        </w:rPr>
        <w:t>) de compra de ações ordinárias, ou da emissão de instrumento de dívida com garantia (</w:t>
      </w:r>
      <w:r w:rsidRPr="00DB28D9">
        <w:rPr>
          <w:i/>
          <w:color w:val="000000"/>
          <w:sz w:val="24"/>
          <w:lang w:val="pt-BR"/>
        </w:rPr>
        <w:t>warrant</w:t>
      </w:r>
      <w:r w:rsidRPr="00DB28D9">
        <w:rPr>
          <w:color w:val="000000"/>
          <w:sz w:val="24"/>
          <w:lang w:val="pt-BR"/>
        </w:rPr>
        <w:t>) destacável da compra de ações. Assim, em todos os caso</w:t>
      </w:r>
      <w:r w:rsidR="00421FEA" w:rsidRPr="00DB28D9">
        <w:rPr>
          <w:color w:val="000000"/>
          <w:sz w:val="24"/>
          <w:lang w:val="pt-BR"/>
        </w:rPr>
        <w:t>s, a entidade deve apresentar o</w:t>
      </w:r>
      <w:r w:rsidRPr="00DB28D9">
        <w:rPr>
          <w:color w:val="000000"/>
          <w:sz w:val="24"/>
          <w:lang w:val="pt-BR"/>
        </w:rPr>
        <w:t xml:space="preserve"> passivo e os componentes do patrimônio líquido separadamente nas </w:t>
      </w:r>
      <w:r w:rsidRPr="00DB28D9">
        <w:rPr>
          <w:color w:val="000000"/>
          <w:sz w:val="24"/>
          <w:lang w:val="pt-BR"/>
        </w:rPr>
        <w:lastRenderedPageBreak/>
        <w:t>suas demonstrações contábeis.</w:t>
      </w:r>
    </w:p>
    <w:p w14:paraId="3F38F610" w14:textId="77777777" w:rsidR="00152020" w:rsidRPr="00DB28D9" w:rsidRDefault="00152020" w:rsidP="003B4208">
      <w:pPr>
        <w:pStyle w:val="Textoembloco"/>
        <w:shd w:val="clear" w:color="auto" w:fill="FFFFFF"/>
        <w:tabs>
          <w:tab w:val="clear" w:pos="6804"/>
        </w:tabs>
        <w:spacing w:after="0" w:line="240" w:lineRule="auto"/>
        <w:ind w:left="33" w:firstLine="0"/>
        <w:jc w:val="both"/>
        <w:rPr>
          <w:color w:val="000000"/>
          <w:sz w:val="24"/>
          <w:lang w:val="pt-BR"/>
        </w:rPr>
      </w:pPr>
    </w:p>
    <w:p w14:paraId="074494E4" w14:textId="5A0CAEA8" w:rsidR="00152020" w:rsidRPr="00DB28D9" w:rsidRDefault="00152020" w:rsidP="00F935F6">
      <w:pPr>
        <w:pStyle w:val="Textoembloco"/>
        <w:tabs>
          <w:tab w:val="clear" w:pos="6804"/>
        </w:tabs>
        <w:spacing w:after="0" w:line="240" w:lineRule="auto"/>
        <w:ind w:left="567" w:hanging="534"/>
        <w:jc w:val="both"/>
        <w:rPr>
          <w:color w:val="000000"/>
          <w:sz w:val="24"/>
          <w:lang w:val="pt-BR"/>
        </w:rPr>
      </w:pPr>
      <w:r w:rsidRPr="00DB28D9">
        <w:rPr>
          <w:color w:val="000000"/>
          <w:sz w:val="24"/>
          <w:lang w:val="pt-BR"/>
        </w:rPr>
        <w:t>35</w:t>
      </w:r>
      <w:r w:rsidR="009C6B34" w:rsidRPr="00DB28D9">
        <w:rPr>
          <w:color w:val="000000"/>
          <w:sz w:val="24"/>
          <w:lang w:val="pt-BR"/>
        </w:rPr>
        <w:t>.</w:t>
      </w:r>
      <w:r w:rsidRPr="00DB28D9">
        <w:rPr>
          <w:color w:val="000000"/>
          <w:sz w:val="24"/>
          <w:lang w:val="pt-BR"/>
        </w:rPr>
        <w:tab/>
        <w:t xml:space="preserve"> A classificação de um instrumento conversível em seus componentes não é revisada como resultado de alteração na possibilidade da opção de conversão ser exercida, mesmo quando o exercício da opção parecer ter se tornado uma vantagem econômica a alguns detentores. Detentores</w:t>
      </w:r>
      <w:r w:rsidRPr="00DB28D9">
        <w:rPr>
          <w:bCs/>
          <w:iCs/>
          <w:color w:val="000000"/>
          <w:sz w:val="24"/>
          <w:lang w:val="pt-BR"/>
        </w:rPr>
        <w:t xml:space="preserve"> </w:t>
      </w:r>
      <w:r w:rsidRPr="00DB28D9">
        <w:rPr>
          <w:color w:val="000000"/>
          <w:sz w:val="24"/>
          <w:lang w:val="pt-BR"/>
        </w:rPr>
        <w:t>podem nem sempre agir da forma que se espera porque, por exemplo, os efeitos fiscais resultantes da conversão podem ser diferentes entre os detentores. Além disso, a possibilidade de conversão muda de tempos em tempos. A obrigação contratual da entidade de efetuar pagamentos futuros permanece pendente até que seja extinta por intermédio de conversão, vencimento do instrumento ou qualquer outra operação.</w:t>
      </w:r>
    </w:p>
    <w:p w14:paraId="5F2E32EB" w14:textId="77777777" w:rsidR="003B4208" w:rsidRPr="00DB28D9" w:rsidRDefault="003B4208" w:rsidP="00F935F6">
      <w:pPr>
        <w:pStyle w:val="Textoembloco"/>
        <w:tabs>
          <w:tab w:val="clear" w:pos="6804"/>
        </w:tabs>
        <w:spacing w:after="0" w:line="240" w:lineRule="auto"/>
        <w:ind w:left="567" w:hanging="534"/>
        <w:jc w:val="both"/>
        <w:rPr>
          <w:color w:val="000000"/>
          <w:sz w:val="24"/>
          <w:lang w:val="pt-BR"/>
        </w:rPr>
      </w:pPr>
    </w:p>
    <w:p w14:paraId="6D109078" w14:textId="1CED7FCA" w:rsidR="00152020" w:rsidRPr="00DB28D9" w:rsidRDefault="00152020" w:rsidP="00F935F6">
      <w:pPr>
        <w:pStyle w:val="Textoembloco"/>
        <w:shd w:val="clear" w:color="auto" w:fill="FFFFFF"/>
        <w:tabs>
          <w:tab w:val="left" w:pos="567"/>
          <w:tab w:val="left" w:pos="709"/>
        </w:tabs>
        <w:spacing w:after="0" w:line="240" w:lineRule="auto"/>
        <w:ind w:left="567" w:hanging="534"/>
        <w:jc w:val="both"/>
        <w:rPr>
          <w:color w:val="000000"/>
          <w:sz w:val="24"/>
          <w:lang w:val="pt-BR"/>
        </w:rPr>
      </w:pPr>
      <w:r w:rsidRPr="00DB28D9">
        <w:rPr>
          <w:color w:val="000000"/>
          <w:sz w:val="24"/>
          <w:lang w:val="pt-BR"/>
        </w:rPr>
        <w:t>36</w:t>
      </w:r>
      <w:r w:rsidR="009C6B34" w:rsidRPr="00DB28D9">
        <w:rPr>
          <w:color w:val="000000"/>
          <w:sz w:val="24"/>
          <w:lang w:val="pt-BR"/>
        </w:rPr>
        <w:t>.</w:t>
      </w:r>
      <w:r w:rsidRPr="00DB28D9">
        <w:rPr>
          <w:color w:val="000000"/>
          <w:sz w:val="24"/>
          <w:lang w:val="pt-BR"/>
        </w:rPr>
        <w:tab/>
        <w:t xml:space="preserve">A NBC TSP 31 trata da mensuração de ativos financeiros e passivos financeiros. Instrumentos patrimoniais são instrumentos que evidenciam uma participação residual nos ativos da entidade após a dedução de todos os passivos. Portanto, quando o valor contábil inicial do instrumento financeiro composto é atribuído aos seus componentes, ao componente de patrimônio líquido deve ser atribuído o montante residual após deduzir, do valor justo total do instrumento, o montante separadamente determinado para o componente do passivo. O valor de qualquer característica de derivativos (como uma opção de compra) embutido no instrumento financeiro composto é incluído no componente do passivo, a menos que faça parte do componente do patrimônio líquido (como uma opção de conversão de patrimônio líquido). A soma dos valores contábeis atribuídos aos componentes do passivo e patrimônio líquido no reconhecimento inicial é sempre igual ao valor justo que seria atribuído ao instrumento como um todo. Nenhum ganho ou perda deve decorrer do reconhecimento inicial dos componentes do instrumento separadamente. </w:t>
      </w:r>
    </w:p>
    <w:p w14:paraId="2F833ACA" w14:textId="77777777" w:rsidR="00152020" w:rsidRPr="00DB28D9" w:rsidRDefault="00152020" w:rsidP="00F935F6">
      <w:pPr>
        <w:pStyle w:val="Textoembloco"/>
        <w:spacing w:after="0" w:line="240" w:lineRule="auto"/>
        <w:ind w:left="567" w:hanging="534"/>
        <w:jc w:val="both"/>
        <w:rPr>
          <w:color w:val="000000"/>
          <w:sz w:val="24"/>
          <w:lang w:val="pt-BR"/>
        </w:rPr>
      </w:pPr>
    </w:p>
    <w:p w14:paraId="58732023" w14:textId="5E4C254C" w:rsidR="00152020" w:rsidRPr="00DB28D9" w:rsidRDefault="00152020" w:rsidP="00F935F6">
      <w:pPr>
        <w:pStyle w:val="Textoembloco"/>
        <w:shd w:val="clear" w:color="auto" w:fill="FFFFFF"/>
        <w:tabs>
          <w:tab w:val="left" w:pos="567"/>
          <w:tab w:val="left" w:pos="709"/>
        </w:tabs>
        <w:spacing w:after="0" w:line="240" w:lineRule="auto"/>
        <w:ind w:left="567" w:hanging="534"/>
        <w:jc w:val="both"/>
        <w:rPr>
          <w:color w:val="000000"/>
          <w:sz w:val="24"/>
          <w:lang w:val="pt-BR"/>
        </w:rPr>
      </w:pPr>
      <w:r w:rsidRPr="00DB28D9">
        <w:rPr>
          <w:color w:val="000000"/>
          <w:sz w:val="24"/>
          <w:lang w:val="pt-BR"/>
        </w:rPr>
        <w:t>37</w:t>
      </w:r>
      <w:r w:rsidR="009C6B34" w:rsidRPr="00DB28D9">
        <w:rPr>
          <w:color w:val="000000"/>
          <w:sz w:val="24"/>
          <w:lang w:val="pt-BR"/>
        </w:rPr>
        <w:t>.</w:t>
      </w:r>
      <w:r w:rsidRPr="00DB28D9">
        <w:rPr>
          <w:color w:val="000000"/>
          <w:sz w:val="24"/>
          <w:lang w:val="pt-BR"/>
        </w:rPr>
        <w:tab/>
        <w:t xml:space="preserve">De acordo com a abordagem descrita no item 36, o </w:t>
      </w:r>
      <w:r w:rsidRPr="00DB28D9">
        <w:rPr>
          <w:bCs/>
          <w:color w:val="000000"/>
          <w:sz w:val="24"/>
          <w:lang w:val="pt-BR"/>
        </w:rPr>
        <w:t>emitente</w:t>
      </w:r>
      <w:r w:rsidRPr="00DB28D9">
        <w:rPr>
          <w:color w:val="000000"/>
          <w:sz w:val="24"/>
          <w:lang w:val="pt-BR"/>
        </w:rPr>
        <w:t xml:space="preserve"> de título conversível em ações ordinárias deve determinar primeiro o valor contábil do componente do passivo, mensurando o valor justo de passivo similar (incluindo quaisquer características embutidas de derivativo que não seja de patrimônio líquido) que não tenha um componente de patrimônio líquido associado. O valor contábil do instrumento patrimonial representado pela opção de conversão do instrumento em ações ordinárias deve ser determinado pela dedução do valor justo do passivo financeiro do valor justo do instrumento financeiro composto como um todo.</w:t>
      </w:r>
    </w:p>
    <w:p w14:paraId="433A6D0A" w14:textId="77777777" w:rsidR="003B4208" w:rsidRPr="00DB28D9" w:rsidRDefault="003B4208" w:rsidP="003B4208">
      <w:pPr>
        <w:pStyle w:val="Textoembloco"/>
        <w:shd w:val="clear" w:color="auto" w:fill="FFFFFF"/>
        <w:tabs>
          <w:tab w:val="left" w:pos="567"/>
          <w:tab w:val="left" w:pos="709"/>
        </w:tabs>
        <w:spacing w:after="0" w:line="240" w:lineRule="auto"/>
        <w:ind w:left="33" w:firstLine="0"/>
        <w:jc w:val="both"/>
        <w:rPr>
          <w:color w:val="000000"/>
          <w:sz w:val="24"/>
          <w:lang w:val="pt-BR"/>
        </w:rPr>
      </w:pPr>
    </w:p>
    <w:p w14:paraId="3375E4C3" w14:textId="27172ADC" w:rsidR="003B4208" w:rsidRPr="00DB28D9" w:rsidRDefault="003B4208" w:rsidP="003B4208">
      <w:pPr>
        <w:pStyle w:val="Textoembloco"/>
        <w:spacing w:after="0" w:line="240" w:lineRule="auto"/>
        <w:ind w:left="33" w:firstLine="0"/>
        <w:jc w:val="both"/>
        <w:rPr>
          <w:bCs/>
          <w:i/>
          <w:iCs/>
          <w:sz w:val="24"/>
          <w:lang w:val="pt-BR"/>
        </w:rPr>
      </w:pPr>
      <w:r w:rsidRPr="00DB28D9">
        <w:rPr>
          <w:bCs/>
          <w:i/>
          <w:iCs/>
          <w:sz w:val="24"/>
          <w:lang w:val="pt-BR"/>
        </w:rPr>
        <w:t>Ações em tesouraria</w:t>
      </w:r>
    </w:p>
    <w:p w14:paraId="3ED3FDF5" w14:textId="77777777" w:rsidR="003B4208" w:rsidRPr="00DB28D9" w:rsidRDefault="003B4208" w:rsidP="003B4208">
      <w:pPr>
        <w:pStyle w:val="Textoembloco"/>
        <w:spacing w:after="0" w:line="240" w:lineRule="auto"/>
        <w:ind w:left="33" w:firstLine="0"/>
        <w:jc w:val="both"/>
        <w:rPr>
          <w:b/>
          <w:sz w:val="24"/>
          <w:lang w:val="pt-BR"/>
        </w:rPr>
      </w:pPr>
    </w:p>
    <w:p w14:paraId="736DF88E" w14:textId="3517173F" w:rsidR="00152020" w:rsidRPr="00DB28D9" w:rsidRDefault="00152020" w:rsidP="00F935F6">
      <w:pPr>
        <w:pStyle w:val="Textoembloco"/>
        <w:shd w:val="clear" w:color="auto" w:fill="FFFFFF"/>
        <w:spacing w:after="0" w:line="240" w:lineRule="auto"/>
        <w:ind w:left="567" w:hanging="567"/>
        <w:jc w:val="both"/>
        <w:rPr>
          <w:bCs/>
          <w:color w:val="000000"/>
          <w:sz w:val="24"/>
          <w:lang w:val="pt-BR"/>
        </w:rPr>
      </w:pPr>
      <w:r w:rsidRPr="00DB28D9">
        <w:rPr>
          <w:bCs/>
          <w:color w:val="000000"/>
          <w:sz w:val="24"/>
          <w:lang w:val="pt-BR"/>
        </w:rPr>
        <w:t>38</w:t>
      </w:r>
      <w:r w:rsidR="009C6B34" w:rsidRPr="00DB28D9">
        <w:rPr>
          <w:bCs/>
          <w:color w:val="000000"/>
          <w:sz w:val="24"/>
          <w:lang w:val="pt-BR"/>
        </w:rPr>
        <w:t>.</w:t>
      </w:r>
      <w:r w:rsidRPr="00DB28D9">
        <w:rPr>
          <w:bCs/>
          <w:color w:val="000000"/>
          <w:sz w:val="24"/>
          <w:lang w:val="pt-BR"/>
        </w:rPr>
        <w:tab/>
        <w:t>Se a entidade readquire seus próprios instrumentos patrimoniais, esses instrumentos (ações em tesouraria) devem ser deduzidos do patrimônio líquido. Nenhum ganho ou perda deve ser reconhecido no resultado, nas operações de compra, venda, emissão ou cancelamento de instrumentos patrimoniais da própria entidade. Tais ações em tesouraria podem ser adquiridas e mantidas pela entidade ou outros membros da entidade econômica. Contraprestações pagas ou recebidas devem ser reconhecidas dir</w:t>
      </w:r>
      <w:r w:rsidR="003B4208" w:rsidRPr="00DB28D9">
        <w:rPr>
          <w:bCs/>
          <w:color w:val="000000"/>
          <w:sz w:val="24"/>
          <w:lang w:val="pt-BR"/>
        </w:rPr>
        <w:t>etamente no patrimônio líquido.</w:t>
      </w:r>
    </w:p>
    <w:p w14:paraId="6DBBCB67" w14:textId="77777777" w:rsidR="003B4208" w:rsidRPr="00DB28D9" w:rsidRDefault="003B4208" w:rsidP="00F935F6">
      <w:pPr>
        <w:pStyle w:val="Textoembloco"/>
        <w:shd w:val="clear" w:color="auto" w:fill="FFFFFF"/>
        <w:spacing w:after="0" w:line="240" w:lineRule="auto"/>
        <w:ind w:left="567" w:hanging="567"/>
        <w:jc w:val="both"/>
        <w:rPr>
          <w:bCs/>
          <w:color w:val="000000"/>
          <w:sz w:val="24"/>
          <w:lang w:val="pt-BR"/>
        </w:rPr>
      </w:pPr>
    </w:p>
    <w:p w14:paraId="5CE54B7B" w14:textId="228B0293" w:rsidR="00152020" w:rsidRPr="00DB28D9" w:rsidRDefault="00152020" w:rsidP="00F935F6">
      <w:pPr>
        <w:pStyle w:val="Textoembloco"/>
        <w:shd w:val="clear" w:color="auto" w:fill="FFFFFF"/>
        <w:spacing w:after="0" w:line="240" w:lineRule="auto"/>
        <w:ind w:left="567" w:hanging="567"/>
        <w:jc w:val="both"/>
        <w:rPr>
          <w:color w:val="000000"/>
          <w:sz w:val="24"/>
          <w:lang w:val="pt-BR"/>
        </w:rPr>
      </w:pPr>
      <w:r w:rsidRPr="00DB28D9">
        <w:rPr>
          <w:bCs/>
          <w:color w:val="000000"/>
          <w:sz w:val="24"/>
          <w:lang w:val="pt-BR"/>
        </w:rPr>
        <w:t>39</w:t>
      </w:r>
      <w:r w:rsidR="009C6B34" w:rsidRPr="00DB28D9">
        <w:rPr>
          <w:bCs/>
          <w:color w:val="000000"/>
          <w:sz w:val="24"/>
          <w:lang w:val="pt-BR"/>
        </w:rPr>
        <w:t>.</w:t>
      </w:r>
      <w:r w:rsidRPr="00DB28D9">
        <w:rPr>
          <w:bCs/>
          <w:color w:val="000000"/>
          <w:sz w:val="24"/>
          <w:lang w:val="pt-BR"/>
        </w:rPr>
        <w:tab/>
        <w:t xml:space="preserve">O montante de ações em tesouraria mantidas deve ser divulgado separadamente no balanço patrimonial ou nas notas explicativas, de acordo com a NBC TSP 11 – Apresentação das Demonstrações Contábeis. A entidade deve divulgar informação, de acordo com a NBC TSP 22 – Divulgação sobre Partes Relacionadas, se readquirir </w:t>
      </w:r>
      <w:r w:rsidRPr="00DB28D9">
        <w:rPr>
          <w:bCs/>
          <w:color w:val="000000"/>
          <w:sz w:val="24"/>
          <w:lang w:val="pt-BR"/>
        </w:rPr>
        <w:lastRenderedPageBreak/>
        <w:t>seus próprios instrumentos patrimoniais</w:t>
      </w:r>
      <w:r w:rsidRPr="00DB28D9">
        <w:rPr>
          <w:color w:val="000000"/>
          <w:sz w:val="24"/>
          <w:lang w:val="pt-BR"/>
        </w:rPr>
        <w:t xml:space="preserve"> das partes relacionadas.</w:t>
      </w:r>
    </w:p>
    <w:p w14:paraId="72069509" w14:textId="77777777" w:rsidR="00B33822" w:rsidRPr="00DB28D9" w:rsidRDefault="00B33822" w:rsidP="003B4208">
      <w:pPr>
        <w:pStyle w:val="Textoembloco"/>
        <w:shd w:val="clear" w:color="auto" w:fill="FFFFFF"/>
        <w:tabs>
          <w:tab w:val="left" w:pos="567"/>
          <w:tab w:val="left" w:pos="709"/>
        </w:tabs>
        <w:spacing w:after="0" w:line="240" w:lineRule="auto"/>
        <w:ind w:left="33" w:firstLine="0"/>
        <w:jc w:val="both"/>
        <w:rPr>
          <w:color w:val="000000"/>
          <w:sz w:val="24"/>
          <w:lang w:val="pt-BR"/>
        </w:rPr>
      </w:pPr>
    </w:p>
    <w:p w14:paraId="01907E72" w14:textId="75179443" w:rsidR="00B33822" w:rsidRPr="00DB28D9" w:rsidRDefault="00B33822" w:rsidP="00A517AC">
      <w:pPr>
        <w:pStyle w:val="Textoembloco"/>
        <w:shd w:val="clear" w:color="auto" w:fill="FFFFFF"/>
        <w:tabs>
          <w:tab w:val="left" w:pos="0"/>
        </w:tabs>
        <w:spacing w:after="0" w:line="240" w:lineRule="auto"/>
        <w:ind w:left="567" w:hanging="534"/>
        <w:jc w:val="both"/>
        <w:rPr>
          <w:bCs/>
          <w:i/>
          <w:iCs/>
          <w:color w:val="000000"/>
          <w:sz w:val="24"/>
          <w:lang w:val="pt-BR"/>
        </w:rPr>
      </w:pPr>
      <w:r w:rsidRPr="00DB28D9">
        <w:rPr>
          <w:bCs/>
          <w:i/>
          <w:iCs/>
          <w:color w:val="000000"/>
          <w:sz w:val="24"/>
          <w:lang w:val="pt-BR"/>
        </w:rPr>
        <w:t xml:space="preserve">Juros, dividendos ou distribuições </w:t>
      </w:r>
      <w:r w:rsidR="00184873" w:rsidRPr="00DB28D9">
        <w:rPr>
          <w:bCs/>
          <w:i/>
          <w:iCs/>
          <w:color w:val="000000"/>
          <w:sz w:val="24"/>
          <w:lang w:val="pt-BR"/>
        </w:rPr>
        <w:t>similares</w:t>
      </w:r>
      <w:r w:rsidRPr="00DB28D9">
        <w:rPr>
          <w:bCs/>
          <w:i/>
          <w:iCs/>
          <w:color w:val="000000"/>
          <w:sz w:val="24"/>
          <w:lang w:val="pt-BR"/>
        </w:rPr>
        <w:t>, perdas e ganhos</w:t>
      </w:r>
    </w:p>
    <w:p w14:paraId="58771598" w14:textId="77777777" w:rsidR="003B4208" w:rsidRPr="00DB28D9" w:rsidRDefault="003B4208" w:rsidP="00A517AC">
      <w:pPr>
        <w:pStyle w:val="Textoembloco"/>
        <w:shd w:val="clear" w:color="auto" w:fill="FFFFFF"/>
        <w:tabs>
          <w:tab w:val="left" w:pos="0"/>
        </w:tabs>
        <w:spacing w:after="0" w:line="240" w:lineRule="auto"/>
        <w:ind w:left="567" w:hanging="534"/>
        <w:jc w:val="both"/>
        <w:rPr>
          <w:bCs/>
          <w:color w:val="000000"/>
          <w:sz w:val="24"/>
          <w:lang w:val="pt-BR"/>
        </w:rPr>
      </w:pPr>
    </w:p>
    <w:p w14:paraId="4AD0CC1B" w14:textId="055FA398" w:rsidR="00152020" w:rsidRPr="00DB28D9" w:rsidRDefault="00152020" w:rsidP="00A517AC">
      <w:pPr>
        <w:pStyle w:val="Textoembloco"/>
        <w:shd w:val="clear" w:color="auto" w:fill="FFFFFF"/>
        <w:tabs>
          <w:tab w:val="left" w:pos="0"/>
        </w:tabs>
        <w:spacing w:after="0" w:line="240" w:lineRule="auto"/>
        <w:ind w:left="567" w:hanging="534"/>
        <w:jc w:val="both"/>
        <w:rPr>
          <w:bCs/>
          <w:color w:val="000000"/>
          <w:sz w:val="24"/>
          <w:lang w:val="pt-BR"/>
        </w:rPr>
      </w:pPr>
      <w:r w:rsidRPr="00DB28D9">
        <w:rPr>
          <w:bCs/>
          <w:color w:val="000000"/>
          <w:sz w:val="24"/>
          <w:lang w:val="pt-BR"/>
        </w:rPr>
        <w:t>40.</w:t>
      </w:r>
      <w:r w:rsidRPr="00DB28D9">
        <w:rPr>
          <w:bCs/>
          <w:color w:val="000000"/>
          <w:sz w:val="24"/>
          <w:lang w:val="pt-BR"/>
        </w:rPr>
        <w:tab/>
        <w:t>Juros, dividendos ou distribuições similares, perdas e ganhos relativos a um instrumento financeiro ou a um componente que é um passivo financeiro devem ser reconhecidos como receita ou despesa no resultado. Distribuições a detentores</w:t>
      </w:r>
      <w:r w:rsidRPr="00DB28D9">
        <w:rPr>
          <w:bCs/>
          <w:iCs/>
          <w:color w:val="000000"/>
          <w:sz w:val="24"/>
          <w:lang w:val="pt-BR"/>
        </w:rPr>
        <w:t xml:space="preserve"> </w:t>
      </w:r>
      <w:r w:rsidRPr="00DB28D9">
        <w:rPr>
          <w:bCs/>
          <w:color w:val="000000"/>
          <w:sz w:val="24"/>
          <w:lang w:val="pt-BR"/>
        </w:rPr>
        <w:t>de instrumento patrimonial devem ser reconhecidas pela entidade diretamente no patrimônio líquido, líquido de qualquer benefício tributário. Custos de transação incorridos em transação de patrimônio líquido devem ser contabilizados como dedução do patrimônio líquido, líquido de qualquer benefício fiscal.</w:t>
      </w:r>
    </w:p>
    <w:p w14:paraId="3636AA77" w14:textId="77777777" w:rsidR="003B4208" w:rsidRPr="00DB28D9" w:rsidRDefault="003B4208" w:rsidP="003B4208">
      <w:pPr>
        <w:pStyle w:val="Textoembloco"/>
        <w:shd w:val="clear" w:color="auto" w:fill="FFFFFF"/>
        <w:tabs>
          <w:tab w:val="left" w:pos="567"/>
          <w:tab w:val="left" w:pos="709"/>
        </w:tabs>
        <w:spacing w:after="0" w:line="240" w:lineRule="auto"/>
        <w:ind w:left="33" w:firstLine="0"/>
        <w:jc w:val="both"/>
        <w:rPr>
          <w:b/>
          <w:color w:val="000000"/>
          <w:sz w:val="24"/>
          <w:lang w:val="pt-BR"/>
        </w:rPr>
      </w:pPr>
    </w:p>
    <w:p w14:paraId="47330398" w14:textId="1D9CE698" w:rsidR="00152020" w:rsidRPr="000B2FEC" w:rsidRDefault="00152020" w:rsidP="00A517AC">
      <w:pPr>
        <w:pStyle w:val="Textoembloco"/>
        <w:shd w:val="clear" w:color="auto" w:fill="FFFFFF"/>
        <w:tabs>
          <w:tab w:val="clear" w:pos="6804"/>
        </w:tabs>
        <w:spacing w:after="0" w:line="240" w:lineRule="auto"/>
        <w:ind w:left="567" w:hanging="534"/>
        <w:jc w:val="both"/>
        <w:rPr>
          <w:rFonts w:eastAsia="Calibri"/>
          <w:iCs/>
          <w:sz w:val="24"/>
          <w:lang w:val="pt-BR"/>
        </w:rPr>
      </w:pPr>
      <w:r w:rsidRPr="00DB28D9">
        <w:rPr>
          <w:rFonts w:eastAsia="Calibri"/>
          <w:iCs/>
          <w:sz w:val="24"/>
          <w:lang w:val="pt-BR"/>
        </w:rPr>
        <w:t>40A</w:t>
      </w:r>
      <w:r w:rsidR="009C6B34" w:rsidRPr="00DB28D9">
        <w:rPr>
          <w:rFonts w:eastAsia="Calibri"/>
          <w:iCs/>
          <w:sz w:val="24"/>
          <w:lang w:val="pt-BR"/>
        </w:rPr>
        <w:t>.</w:t>
      </w:r>
      <w:r w:rsidRPr="00DB28D9">
        <w:rPr>
          <w:rFonts w:eastAsia="Calibri"/>
          <w:iCs/>
          <w:sz w:val="24"/>
          <w:lang w:val="pt-BR"/>
        </w:rPr>
        <w:t xml:space="preserve"> </w:t>
      </w:r>
      <w:r w:rsidRPr="00DB28D9">
        <w:rPr>
          <w:sz w:val="24"/>
          <w:lang w:val="pt-BR" w:bidi="en-US"/>
        </w:rPr>
        <w:t>Tributos sobre o lucro relacionados a distribuições aos detentores de instrumentos patrimoniais</w:t>
      </w:r>
      <w:r w:rsidRPr="00DB28D9">
        <w:rPr>
          <w:rFonts w:eastAsia="Calibri"/>
          <w:iCs/>
          <w:sz w:val="24"/>
          <w:lang w:val="pt-BR"/>
        </w:rPr>
        <w:t xml:space="preserve"> e custos de transação de capital próprio devem ser contabilizados de acordo com </w:t>
      </w:r>
      <w:r w:rsidRPr="00DB28D9">
        <w:rPr>
          <w:sz w:val="24"/>
          <w:lang w:val="pt-BR"/>
        </w:rPr>
        <w:t>norma contábil que trata de tributos sobre o lucro</w:t>
      </w:r>
      <w:r w:rsidRPr="007B4CFD">
        <w:rPr>
          <w:rStyle w:val="Refdenotaderodap"/>
          <w:rFonts w:eastAsia="Calibri"/>
          <w:iCs/>
          <w:sz w:val="24"/>
          <w:lang w:val="pt-BR"/>
        </w:rPr>
        <w:footnoteReference w:id="4"/>
      </w:r>
      <w:r w:rsidRPr="007B4CFD">
        <w:rPr>
          <w:rFonts w:eastAsia="Calibri"/>
          <w:iCs/>
          <w:sz w:val="24"/>
          <w:lang w:val="pt-BR"/>
        </w:rPr>
        <w:t>.</w:t>
      </w:r>
    </w:p>
    <w:p w14:paraId="6A366ED2" w14:textId="77777777" w:rsidR="003B4208" w:rsidRPr="006864BA" w:rsidRDefault="003B4208" w:rsidP="003B4208">
      <w:pPr>
        <w:pStyle w:val="Textoembloco"/>
        <w:shd w:val="clear" w:color="auto" w:fill="FFFFFF"/>
        <w:tabs>
          <w:tab w:val="clear" w:pos="6804"/>
        </w:tabs>
        <w:spacing w:after="0" w:line="240" w:lineRule="auto"/>
        <w:ind w:left="33" w:firstLine="0"/>
        <w:jc w:val="both"/>
        <w:rPr>
          <w:color w:val="FF0000"/>
          <w:sz w:val="24"/>
          <w:lang w:val="pt-BR"/>
        </w:rPr>
      </w:pPr>
    </w:p>
    <w:p w14:paraId="0B1DCB9E" w14:textId="28AAF6C6" w:rsidR="00152020" w:rsidRPr="00DB28D9" w:rsidRDefault="00152020" w:rsidP="00A517AC">
      <w:pPr>
        <w:pStyle w:val="Textoembloco"/>
        <w:shd w:val="clear" w:color="auto" w:fill="FFFFFF"/>
        <w:tabs>
          <w:tab w:val="clear" w:pos="6804"/>
        </w:tabs>
        <w:spacing w:after="0" w:line="240" w:lineRule="auto"/>
        <w:ind w:left="567" w:hanging="567"/>
        <w:jc w:val="both"/>
        <w:rPr>
          <w:color w:val="000000"/>
          <w:sz w:val="24"/>
          <w:lang w:val="pt-BR"/>
        </w:rPr>
      </w:pPr>
      <w:r w:rsidRPr="006864BA">
        <w:rPr>
          <w:color w:val="000000"/>
          <w:sz w:val="24"/>
          <w:lang w:val="pt-BR"/>
        </w:rPr>
        <w:t>41.</w:t>
      </w:r>
      <w:r w:rsidRPr="006864BA">
        <w:rPr>
          <w:color w:val="000000"/>
          <w:sz w:val="24"/>
          <w:lang w:val="pt-BR"/>
        </w:rPr>
        <w:tab/>
        <w:t xml:space="preserve">A classificação de </w:t>
      </w:r>
      <w:r w:rsidRPr="006B1516">
        <w:rPr>
          <w:color w:val="000000"/>
          <w:sz w:val="24"/>
          <w:lang w:val="pt-BR"/>
        </w:rPr>
        <w:t xml:space="preserve">um </w:t>
      </w:r>
      <w:r w:rsidRPr="005E7276">
        <w:rPr>
          <w:color w:val="000000"/>
          <w:sz w:val="24"/>
          <w:lang w:val="pt-BR"/>
        </w:rPr>
        <w:t xml:space="preserve">instrumento financeiro como passivo financeiro ou instrumento patrimonial determina se juros, dividendos ou distribuições </w:t>
      </w:r>
      <w:r w:rsidRPr="00DA4C02">
        <w:rPr>
          <w:color w:val="000000"/>
          <w:sz w:val="24"/>
          <w:lang w:val="pt-BR"/>
        </w:rPr>
        <w:t>similares, perdas e ganhos relativos àquele instrumento devem ser reconhecidos como receita ou despesa no resultado. Assim, dividendos</w:t>
      </w:r>
      <w:r w:rsidRPr="00DB28D9">
        <w:rPr>
          <w:color w:val="000000"/>
          <w:sz w:val="24"/>
          <w:lang w:val="pt-BR"/>
        </w:rPr>
        <w:t xml:space="preserve"> ou distribuições similares a pagar de ações que são inteiramente reconhecidos como passivos devem ser reconhecidos como despesa, da mesma forma que os juros em um título. Similarmente, ganhos e perdas associados com resgates ou refinanciamentos de passivos financeiros devem ser reconhecidos no resultado, enquanto que resgates ou refinanciamentos de instrumentos patrimoniais devem ser reconhecidos como mudanças no patrimônio líquido. Alterações no valor justo de um instrumento patrimonial não devem ser reconhecidas nas demonstrações contábeis.</w:t>
      </w:r>
    </w:p>
    <w:p w14:paraId="45465517" w14:textId="77777777" w:rsidR="003B4208" w:rsidRPr="00DB28D9" w:rsidRDefault="003B4208" w:rsidP="003B4208">
      <w:pPr>
        <w:pStyle w:val="Textoembloco"/>
        <w:shd w:val="clear" w:color="auto" w:fill="FFFFFF"/>
        <w:tabs>
          <w:tab w:val="clear" w:pos="6804"/>
        </w:tabs>
        <w:spacing w:after="0" w:line="240" w:lineRule="auto"/>
        <w:ind w:left="0" w:firstLine="0"/>
        <w:jc w:val="both"/>
        <w:rPr>
          <w:color w:val="000000"/>
          <w:sz w:val="24"/>
          <w:lang w:val="pt-BR"/>
        </w:rPr>
      </w:pPr>
    </w:p>
    <w:p w14:paraId="1119275F" w14:textId="41C9C846" w:rsidR="00152020" w:rsidRPr="00DB28D9" w:rsidRDefault="00152020" w:rsidP="00A517AC">
      <w:pPr>
        <w:pStyle w:val="Textoembloco"/>
        <w:shd w:val="clear" w:color="auto" w:fill="FFFFFF"/>
        <w:tabs>
          <w:tab w:val="clear" w:pos="6804"/>
        </w:tabs>
        <w:spacing w:after="0" w:line="240" w:lineRule="auto"/>
        <w:ind w:left="567" w:hanging="567"/>
        <w:jc w:val="both"/>
        <w:rPr>
          <w:color w:val="000000"/>
          <w:sz w:val="24"/>
          <w:lang w:val="pt-BR"/>
        </w:rPr>
      </w:pPr>
      <w:r w:rsidRPr="00DB28D9">
        <w:rPr>
          <w:color w:val="000000"/>
          <w:sz w:val="24"/>
          <w:lang w:val="pt-BR"/>
        </w:rPr>
        <w:t>42.</w:t>
      </w:r>
      <w:r w:rsidRPr="00DB28D9">
        <w:rPr>
          <w:color w:val="000000"/>
          <w:sz w:val="24"/>
          <w:lang w:val="pt-BR"/>
        </w:rPr>
        <w:tab/>
        <w:t>A entidade incorre normalmente em vários custos na emissão ou aquisição de seus próprios instrumentos patrimoniais. Esses custos podem incluir registro e outras taxas regulatórias, montantes pagos a consultores jurídicos, contábeis e outros profissionais, custos de impressão e outros tributos. Quaisquer custos de transação relacionados são contabilizados como dedução do patrimônio líquido (líquido de qualquer benefício tributário) na medida em que representam custos incrementais atribuídos diretamente à transação que de outra forma seriam evitados. Os custos da transação que é abandonada devem ser reconhecidos como despesa.</w:t>
      </w:r>
    </w:p>
    <w:p w14:paraId="0D08191E" w14:textId="77777777" w:rsidR="00152020" w:rsidRPr="00DB28D9" w:rsidRDefault="00152020" w:rsidP="00A517AC">
      <w:pPr>
        <w:pStyle w:val="Textoembloco"/>
        <w:shd w:val="clear" w:color="auto" w:fill="FFFFFF"/>
        <w:tabs>
          <w:tab w:val="clear" w:pos="6804"/>
        </w:tabs>
        <w:spacing w:after="0" w:line="240" w:lineRule="auto"/>
        <w:ind w:left="567" w:hanging="567"/>
        <w:jc w:val="both"/>
        <w:rPr>
          <w:color w:val="000000"/>
          <w:sz w:val="24"/>
          <w:lang w:val="pt-BR"/>
        </w:rPr>
      </w:pPr>
    </w:p>
    <w:p w14:paraId="0AB850D2" w14:textId="7514F4B3" w:rsidR="00152020" w:rsidRPr="00DB28D9" w:rsidRDefault="00152020" w:rsidP="00A517AC">
      <w:pPr>
        <w:pStyle w:val="Textoembloco"/>
        <w:shd w:val="clear" w:color="auto" w:fill="FFFFFF"/>
        <w:tabs>
          <w:tab w:val="clear" w:pos="6804"/>
        </w:tabs>
        <w:spacing w:after="0" w:line="240" w:lineRule="auto"/>
        <w:ind w:left="567" w:hanging="567"/>
        <w:jc w:val="both"/>
        <w:rPr>
          <w:color w:val="000000"/>
          <w:sz w:val="24"/>
          <w:lang w:val="pt-BR"/>
        </w:rPr>
      </w:pPr>
      <w:r w:rsidRPr="00DB28D9">
        <w:rPr>
          <w:color w:val="000000"/>
          <w:sz w:val="24"/>
          <w:lang w:val="pt-BR"/>
        </w:rPr>
        <w:t>43.</w:t>
      </w:r>
      <w:r w:rsidRPr="00DB28D9">
        <w:rPr>
          <w:color w:val="000000"/>
          <w:sz w:val="24"/>
          <w:lang w:val="pt-BR"/>
        </w:rPr>
        <w:tab/>
        <w:t xml:space="preserve">Custos de transação que se relacionam com a emissão de um instrumento financeiro composto devem ser atribuídos aos componentes do patrimônio líquido e passivo do instrumento proporcionalmente à alocação dos rendimentos. Custos de transação que se relacionam conjuntamente a mais de uma transação devem ser atribuídos a essas transações utilizando uma base para alocação coerente e consistente com transações similares. </w:t>
      </w:r>
    </w:p>
    <w:p w14:paraId="5C012F40" w14:textId="77777777" w:rsidR="00152020" w:rsidRPr="00DB28D9" w:rsidRDefault="00152020" w:rsidP="00A517AC">
      <w:pPr>
        <w:pStyle w:val="Textoembloco"/>
        <w:shd w:val="clear" w:color="auto" w:fill="FFFFFF"/>
        <w:tabs>
          <w:tab w:val="clear" w:pos="6804"/>
        </w:tabs>
        <w:spacing w:after="0" w:line="240" w:lineRule="auto"/>
        <w:ind w:left="567" w:hanging="567"/>
        <w:jc w:val="both"/>
        <w:rPr>
          <w:color w:val="000000"/>
          <w:sz w:val="24"/>
          <w:lang w:val="pt-BR"/>
        </w:rPr>
      </w:pPr>
    </w:p>
    <w:p w14:paraId="347E9579" w14:textId="34ED3ED7" w:rsidR="00152020" w:rsidRPr="00DB28D9" w:rsidRDefault="00152020" w:rsidP="00A517AC">
      <w:pPr>
        <w:pStyle w:val="Textoembloco"/>
        <w:shd w:val="clear" w:color="auto" w:fill="FFFFFF"/>
        <w:tabs>
          <w:tab w:val="clear" w:pos="6804"/>
        </w:tabs>
        <w:spacing w:after="0" w:line="240" w:lineRule="auto"/>
        <w:ind w:left="567" w:hanging="567"/>
        <w:jc w:val="both"/>
        <w:rPr>
          <w:color w:val="000000"/>
          <w:sz w:val="24"/>
          <w:lang w:val="pt-BR"/>
        </w:rPr>
      </w:pPr>
      <w:r w:rsidRPr="00DB28D9">
        <w:rPr>
          <w:color w:val="000000"/>
          <w:sz w:val="24"/>
          <w:lang w:val="pt-BR"/>
        </w:rPr>
        <w:t>44</w:t>
      </w:r>
      <w:r w:rsidR="009C6B34" w:rsidRPr="00DB28D9">
        <w:rPr>
          <w:color w:val="000000"/>
          <w:sz w:val="24"/>
          <w:lang w:val="pt-BR"/>
        </w:rPr>
        <w:t>.</w:t>
      </w:r>
      <w:r w:rsidRPr="00DB28D9">
        <w:rPr>
          <w:color w:val="000000"/>
          <w:sz w:val="24"/>
          <w:lang w:val="pt-BR"/>
        </w:rPr>
        <w:tab/>
        <w:t xml:space="preserve">O montante dos custos de transação contabilizado como dedução do patrimônio líquido no período deve ser divulgado separadamente de acordo com a NBC TSP 11. </w:t>
      </w:r>
    </w:p>
    <w:p w14:paraId="77391A05" w14:textId="77777777" w:rsidR="00152020" w:rsidRPr="00DB28D9" w:rsidRDefault="00152020" w:rsidP="00A517AC">
      <w:pPr>
        <w:pStyle w:val="Textoembloco"/>
        <w:shd w:val="clear" w:color="auto" w:fill="FFFFFF"/>
        <w:tabs>
          <w:tab w:val="clear" w:pos="6804"/>
        </w:tabs>
        <w:spacing w:after="0" w:line="240" w:lineRule="auto"/>
        <w:ind w:left="567" w:hanging="567"/>
        <w:jc w:val="both"/>
        <w:rPr>
          <w:color w:val="000000"/>
          <w:sz w:val="24"/>
          <w:lang w:val="pt-BR"/>
        </w:rPr>
      </w:pPr>
    </w:p>
    <w:p w14:paraId="64A83490" w14:textId="6C47A247" w:rsidR="00152020" w:rsidRPr="00103CE8" w:rsidRDefault="00152020" w:rsidP="00A517AC">
      <w:pPr>
        <w:pStyle w:val="Textoembloco"/>
        <w:shd w:val="clear" w:color="auto" w:fill="FFFFFF"/>
        <w:tabs>
          <w:tab w:val="clear" w:pos="6804"/>
        </w:tabs>
        <w:spacing w:after="0" w:line="240" w:lineRule="auto"/>
        <w:ind w:left="567" w:hanging="567"/>
        <w:jc w:val="both"/>
        <w:rPr>
          <w:color w:val="000000"/>
          <w:sz w:val="24"/>
          <w:lang w:val="pt-BR"/>
        </w:rPr>
      </w:pPr>
      <w:r w:rsidRPr="00DB28D9">
        <w:rPr>
          <w:color w:val="000000"/>
          <w:sz w:val="24"/>
          <w:lang w:val="pt-BR"/>
        </w:rPr>
        <w:lastRenderedPageBreak/>
        <w:t>45</w:t>
      </w:r>
      <w:r w:rsidR="009C6B34" w:rsidRPr="00DB28D9">
        <w:rPr>
          <w:color w:val="000000"/>
          <w:sz w:val="24"/>
          <w:lang w:val="pt-BR"/>
        </w:rPr>
        <w:t>.</w:t>
      </w:r>
      <w:r w:rsidRPr="00DB28D9">
        <w:rPr>
          <w:color w:val="000000"/>
          <w:sz w:val="24"/>
          <w:lang w:val="pt-BR"/>
        </w:rPr>
        <w:tab/>
        <w:t xml:space="preserve">Dividendos ou distribuições similares classificados como despesa são apresentados na demonstração do resultado quer em conjunto com juros sobre outros passivos ou em uma linha separada. Além dos requisitos desta Norma, a apresentação de juros e dividendos ou distribuições similares está sujeita aos </w:t>
      </w:r>
      <w:r w:rsidRPr="00103CE8">
        <w:rPr>
          <w:color w:val="000000"/>
          <w:sz w:val="24"/>
          <w:lang w:val="pt-BR"/>
        </w:rPr>
        <w:t>requisitos da</w:t>
      </w:r>
      <w:r w:rsidR="00927BF8">
        <w:rPr>
          <w:color w:val="000000"/>
          <w:sz w:val="24"/>
          <w:lang w:val="pt-BR"/>
        </w:rPr>
        <w:t>s</w:t>
      </w:r>
      <w:r w:rsidRPr="000605C6">
        <w:rPr>
          <w:color w:val="000000"/>
          <w:sz w:val="24"/>
          <w:lang w:val="pt-BR"/>
        </w:rPr>
        <w:t xml:space="preserve"> NBC</w:t>
      </w:r>
      <w:r w:rsidR="00927BF8">
        <w:rPr>
          <w:color w:val="000000"/>
          <w:sz w:val="24"/>
          <w:lang w:val="pt-BR"/>
        </w:rPr>
        <w:t>s</w:t>
      </w:r>
      <w:r w:rsidRPr="000605C6">
        <w:rPr>
          <w:color w:val="000000"/>
          <w:sz w:val="24"/>
          <w:lang w:val="pt-BR"/>
        </w:rPr>
        <w:t xml:space="preserve"> TSP 11 e NBC TSP 33. Em algumas circunstâncias, devido à diferença entre juros e dividendos ou distribuições similares, em relação a questões como a dedutibilidade fiscal, é desejável a divulgação separada deles na demonstração do resultado.</w:t>
      </w:r>
    </w:p>
    <w:p w14:paraId="23F5772B" w14:textId="77777777" w:rsidR="00152020" w:rsidRPr="00DA4C02" w:rsidRDefault="00152020" w:rsidP="00A517AC">
      <w:pPr>
        <w:pStyle w:val="Textoembloco"/>
        <w:shd w:val="clear" w:color="auto" w:fill="FFFFFF"/>
        <w:tabs>
          <w:tab w:val="clear" w:pos="6804"/>
        </w:tabs>
        <w:spacing w:after="0" w:line="240" w:lineRule="auto"/>
        <w:ind w:left="567" w:hanging="567"/>
        <w:jc w:val="both"/>
        <w:rPr>
          <w:color w:val="000000"/>
          <w:sz w:val="24"/>
          <w:lang w:val="pt-BR"/>
        </w:rPr>
      </w:pPr>
    </w:p>
    <w:p w14:paraId="1AE973F5" w14:textId="56226A47" w:rsidR="00152020" w:rsidRPr="00DB28D9" w:rsidRDefault="00152020" w:rsidP="00A517AC">
      <w:pPr>
        <w:pStyle w:val="Textoembloco"/>
        <w:shd w:val="clear" w:color="auto" w:fill="FFFFFF"/>
        <w:tabs>
          <w:tab w:val="clear" w:pos="6804"/>
        </w:tabs>
        <w:spacing w:after="0" w:line="240" w:lineRule="auto"/>
        <w:ind w:left="567" w:hanging="567"/>
        <w:jc w:val="both"/>
        <w:rPr>
          <w:color w:val="000000"/>
          <w:sz w:val="24"/>
          <w:lang w:val="pt-BR"/>
        </w:rPr>
      </w:pPr>
      <w:r w:rsidRPr="00DB28D9">
        <w:rPr>
          <w:color w:val="000000"/>
          <w:sz w:val="24"/>
          <w:lang w:val="pt-BR"/>
        </w:rPr>
        <w:t>46.</w:t>
      </w:r>
      <w:r w:rsidRPr="00DB28D9">
        <w:rPr>
          <w:color w:val="000000"/>
          <w:sz w:val="24"/>
          <w:lang w:val="pt-BR"/>
        </w:rPr>
        <w:tab/>
        <w:t xml:space="preserve">Ganhos e perdas relacionados a alterações no valor contábil de um passivo financeiro devem ser reconhecidos como receita ou despesa no resultado mesmo quando se relacionarem a um instrumento que inclua direito a participação residual nos ativos da entidade em troca de caixa ou outro ativo financeiro (ver item 22(b)). De acordo com a NBC TSP 11, a </w:t>
      </w:r>
      <w:r w:rsidRPr="00DB28D9">
        <w:rPr>
          <w:sz w:val="24"/>
          <w:lang w:val="pt-BR" w:bidi="en-US"/>
        </w:rPr>
        <w:t>entidade deve apresentar qualquer ganho ou perda decorrente de nova mensuração de tal instrumento separadamente na demonstração do resultado quando for</w:t>
      </w:r>
      <w:r w:rsidRPr="00DB28D9">
        <w:rPr>
          <w:color w:val="000000"/>
          <w:sz w:val="24"/>
          <w:lang w:val="pt-BR"/>
        </w:rPr>
        <w:t xml:space="preserve"> relevante para a explic</w:t>
      </w:r>
      <w:r w:rsidR="003B4208" w:rsidRPr="00DB28D9">
        <w:rPr>
          <w:color w:val="000000"/>
          <w:sz w:val="24"/>
          <w:lang w:val="pt-BR"/>
        </w:rPr>
        <w:t>ação do desempenho da entidade.</w:t>
      </w:r>
    </w:p>
    <w:p w14:paraId="09122E7C" w14:textId="015407BA" w:rsidR="00152020" w:rsidRPr="00DB28D9" w:rsidRDefault="00152020" w:rsidP="003B4208">
      <w:pPr>
        <w:pStyle w:val="Textoembloco"/>
        <w:shd w:val="clear" w:color="auto" w:fill="FFFFFF"/>
        <w:tabs>
          <w:tab w:val="clear" w:pos="6804"/>
        </w:tabs>
        <w:spacing w:after="0" w:line="240" w:lineRule="auto"/>
        <w:ind w:left="0" w:firstLine="0"/>
        <w:jc w:val="both"/>
        <w:rPr>
          <w:b/>
          <w:sz w:val="24"/>
          <w:lang w:val="pt-BR"/>
        </w:rPr>
      </w:pPr>
    </w:p>
    <w:p w14:paraId="7A69A9D1" w14:textId="0FB92D8F" w:rsidR="00152020" w:rsidRPr="00DB28D9" w:rsidRDefault="00152020" w:rsidP="003B4208">
      <w:pPr>
        <w:pStyle w:val="Textoembloco"/>
        <w:shd w:val="clear" w:color="auto" w:fill="FFFFFF"/>
        <w:tabs>
          <w:tab w:val="clear" w:pos="6804"/>
        </w:tabs>
        <w:spacing w:after="0" w:line="240" w:lineRule="auto"/>
        <w:ind w:left="0" w:firstLine="0"/>
        <w:jc w:val="both"/>
        <w:rPr>
          <w:bCs/>
          <w:color w:val="000000"/>
          <w:sz w:val="24"/>
          <w:lang w:val="pt-BR"/>
        </w:rPr>
      </w:pPr>
      <w:r w:rsidRPr="00DB28D9">
        <w:rPr>
          <w:bCs/>
          <w:sz w:val="24"/>
          <w:lang w:val="pt-BR"/>
        </w:rPr>
        <w:t>Compensação de ativo financeiro e passivo financeiro</w:t>
      </w:r>
    </w:p>
    <w:p w14:paraId="1D0C037A" w14:textId="77777777" w:rsidR="003B4208" w:rsidRPr="00DB28D9" w:rsidRDefault="003B4208" w:rsidP="003B4208">
      <w:pPr>
        <w:pStyle w:val="Textoembloco"/>
        <w:shd w:val="clear" w:color="auto" w:fill="FFFFFF"/>
        <w:tabs>
          <w:tab w:val="clear" w:pos="6804"/>
        </w:tabs>
        <w:spacing w:after="0" w:line="240" w:lineRule="auto"/>
        <w:ind w:left="0" w:firstLine="0"/>
        <w:jc w:val="both"/>
        <w:rPr>
          <w:b/>
          <w:color w:val="000000"/>
          <w:sz w:val="24"/>
          <w:lang w:val="pt-BR"/>
        </w:rPr>
      </w:pPr>
    </w:p>
    <w:p w14:paraId="42A4C2E4" w14:textId="474CD27B" w:rsidR="00152020" w:rsidRPr="00DA4C02" w:rsidRDefault="00152020" w:rsidP="00A517AC">
      <w:pPr>
        <w:pStyle w:val="Textoembloco"/>
        <w:shd w:val="clear" w:color="auto" w:fill="FFFFFF"/>
        <w:tabs>
          <w:tab w:val="clear" w:pos="6804"/>
        </w:tabs>
        <w:spacing w:before="0" w:after="0" w:line="240" w:lineRule="auto"/>
        <w:ind w:left="567" w:hanging="567"/>
        <w:jc w:val="both"/>
        <w:rPr>
          <w:bCs/>
          <w:color w:val="000000"/>
          <w:sz w:val="24"/>
          <w:lang w:val="pt-BR"/>
        </w:rPr>
      </w:pPr>
      <w:r w:rsidRPr="00DB28D9">
        <w:rPr>
          <w:bCs/>
          <w:color w:val="000000"/>
          <w:sz w:val="24"/>
          <w:lang w:val="pt-BR"/>
        </w:rPr>
        <w:t>47</w:t>
      </w:r>
      <w:r w:rsidR="009C6B34" w:rsidRPr="00DB28D9">
        <w:rPr>
          <w:bCs/>
          <w:color w:val="000000"/>
          <w:sz w:val="24"/>
          <w:lang w:val="pt-BR"/>
        </w:rPr>
        <w:t>.</w:t>
      </w:r>
      <w:r w:rsidRPr="00DB28D9">
        <w:rPr>
          <w:bCs/>
          <w:color w:val="000000"/>
          <w:sz w:val="24"/>
          <w:lang w:val="pt-BR"/>
        </w:rPr>
        <w:t xml:space="preserve"> </w:t>
      </w:r>
      <w:r w:rsidR="00A517AC" w:rsidRPr="00DB28D9">
        <w:rPr>
          <w:bCs/>
          <w:color w:val="000000"/>
          <w:sz w:val="24"/>
          <w:lang w:val="pt-BR"/>
        </w:rPr>
        <w:tab/>
        <w:t xml:space="preserve">O </w:t>
      </w:r>
      <w:r w:rsidR="00AC77C5">
        <w:rPr>
          <w:bCs/>
          <w:color w:val="000000"/>
          <w:sz w:val="24"/>
          <w:lang w:val="pt-BR"/>
        </w:rPr>
        <w:t>a</w:t>
      </w:r>
      <w:r w:rsidR="00AC77C5" w:rsidRPr="00AC77C5">
        <w:rPr>
          <w:bCs/>
          <w:color w:val="000000"/>
          <w:sz w:val="24"/>
          <w:lang w:val="pt-BR"/>
        </w:rPr>
        <w:t xml:space="preserve">tivo </w:t>
      </w:r>
      <w:r w:rsidRPr="00861362">
        <w:rPr>
          <w:bCs/>
          <w:color w:val="000000"/>
          <w:sz w:val="24"/>
          <w:lang w:val="pt-BR"/>
        </w:rPr>
        <w:t xml:space="preserve">financeiro e um passivo financeiro devem ser compensados e o montante líquido apresentado nas demonstrações contábeis, quando, e somente quando, a entidade: </w:t>
      </w:r>
    </w:p>
    <w:p w14:paraId="45D58A5B" w14:textId="54635B6D" w:rsidR="00152020" w:rsidRPr="00DB28D9" w:rsidRDefault="00152020" w:rsidP="00A517AC">
      <w:pPr>
        <w:widowControl w:val="0"/>
        <w:spacing w:after="0"/>
        <w:ind w:left="1134" w:hanging="567"/>
        <w:jc w:val="both"/>
        <w:rPr>
          <w:rFonts w:ascii="Arial" w:hAnsi="Arial" w:cs="Arial"/>
          <w:bCs/>
          <w:iCs/>
          <w:color w:val="000000"/>
          <w:sz w:val="24"/>
          <w:szCs w:val="24"/>
        </w:rPr>
      </w:pPr>
      <w:r w:rsidRPr="00DB28D9">
        <w:rPr>
          <w:rFonts w:ascii="Arial" w:hAnsi="Arial" w:cs="Arial"/>
          <w:bCs/>
          <w:iCs/>
          <w:color w:val="000000"/>
          <w:sz w:val="24"/>
          <w:szCs w:val="24"/>
        </w:rPr>
        <w:t xml:space="preserve">(a) </w:t>
      </w:r>
      <w:r w:rsidR="00A517AC" w:rsidRPr="00DB28D9">
        <w:rPr>
          <w:rFonts w:ascii="Arial" w:hAnsi="Arial" w:cs="Arial"/>
          <w:bCs/>
          <w:iCs/>
          <w:color w:val="000000"/>
          <w:sz w:val="24"/>
          <w:szCs w:val="24"/>
        </w:rPr>
        <w:tab/>
      </w:r>
      <w:r w:rsidRPr="00DB28D9">
        <w:rPr>
          <w:rFonts w:ascii="Arial" w:hAnsi="Arial" w:cs="Arial"/>
          <w:bCs/>
          <w:iCs/>
          <w:color w:val="000000"/>
          <w:sz w:val="24"/>
          <w:szCs w:val="24"/>
        </w:rPr>
        <w:t>dispõe de um direito legalmente executável para compensar os montantes reconhecidos; e</w:t>
      </w:r>
    </w:p>
    <w:p w14:paraId="2C29A39F" w14:textId="4DD43E7A" w:rsidR="00152020" w:rsidRPr="00DB28D9" w:rsidRDefault="00152020" w:rsidP="00A517AC">
      <w:pPr>
        <w:widowControl w:val="0"/>
        <w:spacing w:after="0"/>
        <w:ind w:left="1134" w:hanging="567"/>
        <w:jc w:val="both"/>
        <w:rPr>
          <w:rFonts w:ascii="Arial" w:hAnsi="Arial" w:cs="Arial"/>
          <w:bCs/>
          <w:iCs/>
          <w:color w:val="000000"/>
          <w:sz w:val="24"/>
          <w:szCs w:val="24"/>
        </w:rPr>
      </w:pPr>
      <w:r w:rsidRPr="00DB28D9">
        <w:rPr>
          <w:rFonts w:ascii="Arial" w:hAnsi="Arial" w:cs="Arial"/>
          <w:bCs/>
          <w:iCs/>
          <w:color w:val="000000"/>
          <w:sz w:val="24"/>
          <w:szCs w:val="24"/>
        </w:rPr>
        <w:t xml:space="preserve">(b) </w:t>
      </w:r>
      <w:r w:rsidR="00A517AC" w:rsidRPr="00DB28D9">
        <w:rPr>
          <w:rFonts w:ascii="Arial" w:hAnsi="Arial" w:cs="Arial"/>
          <w:bCs/>
          <w:iCs/>
          <w:color w:val="000000"/>
          <w:sz w:val="24"/>
          <w:szCs w:val="24"/>
        </w:rPr>
        <w:tab/>
      </w:r>
      <w:r w:rsidRPr="00DB28D9">
        <w:rPr>
          <w:rFonts w:ascii="Arial" w:hAnsi="Arial" w:cs="Arial"/>
          <w:bCs/>
          <w:iCs/>
          <w:color w:val="000000"/>
          <w:sz w:val="24"/>
          <w:szCs w:val="24"/>
        </w:rPr>
        <w:t>tiver a intenção tanto de liquidar em base líquida, ou realizar o ativo e liquidar o passivo simultaneamente.</w:t>
      </w:r>
    </w:p>
    <w:p w14:paraId="626DA22A" w14:textId="77777777" w:rsidR="00A517AC" w:rsidRPr="00DB28D9" w:rsidRDefault="00A517AC" w:rsidP="00A517AC">
      <w:pPr>
        <w:widowControl w:val="0"/>
        <w:spacing w:after="0"/>
        <w:ind w:left="1134" w:hanging="567"/>
        <w:jc w:val="both"/>
        <w:rPr>
          <w:rFonts w:ascii="Arial" w:hAnsi="Arial" w:cs="Arial"/>
          <w:bCs/>
          <w:iCs/>
          <w:color w:val="000000"/>
          <w:sz w:val="24"/>
          <w:szCs w:val="24"/>
        </w:rPr>
      </w:pPr>
    </w:p>
    <w:p w14:paraId="5E6F86ED" w14:textId="4E12DDED" w:rsidR="00E027B0" w:rsidRPr="00DB28D9" w:rsidRDefault="00152020" w:rsidP="00A517AC">
      <w:pPr>
        <w:pStyle w:val="Textoembloco"/>
        <w:shd w:val="clear" w:color="auto" w:fill="FFFFFF"/>
        <w:tabs>
          <w:tab w:val="clear" w:pos="6804"/>
        </w:tabs>
        <w:spacing w:before="0" w:after="0" w:line="240" w:lineRule="auto"/>
        <w:ind w:left="567" w:firstLine="0"/>
        <w:jc w:val="both"/>
        <w:rPr>
          <w:b/>
          <w:color w:val="000000"/>
          <w:sz w:val="24"/>
          <w:lang w:val="pt-BR"/>
        </w:rPr>
      </w:pPr>
      <w:r w:rsidRPr="00DB28D9">
        <w:rPr>
          <w:bCs/>
          <w:color w:val="000000"/>
          <w:sz w:val="24"/>
          <w:lang w:val="pt-BR"/>
        </w:rPr>
        <w:t>Na contabilização da transferência de um ativo financeiro que não se qualifica para desreconhecimento, a entidade não deve compensar o ativo transferido e o passivo associado</w:t>
      </w:r>
      <w:r w:rsidRPr="00DB28D9">
        <w:rPr>
          <w:b/>
          <w:color w:val="000000"/>
          <w:sz w:val="24"/>
          <w:lang w:val="pt-BR"/>
        </w:rPr>
        <w:t xml:space="preserve"> (ver NBC TSP 31, </w:t>
      </w:r>
      <w:r w:rsidRPr="00DB28D9">
        <w:rPr>
          <w:b/>
          <w:bCs/>
          <w:iCs/>
          <w:color w:val="000000"/>
          <w:sz w:val="24"/>
          <w:lang w:val="pt-BR"/>
        </w:rPr>
        <w:t>item</w:t>
      </w:r>
      <w:r w:rsidRPr="00DB28D9">
        <w:rPr>
          <w:b/>
          <w:color w:val="000000"/>
          <w:sz w:val="24"/>
          <w:lang w:val="pt-BR"/>
        </w:rPr>
        <w:t xml:space="preserve"> 33).</w:t>
      </w:r>
    </w:p>
    <w:p w14:paraId="5476C714" w14:textId="44D8B061" w:rsidR="00152020" w:rsidRPr="00DB28D9" w:rsidRDefault="00152020" w:rsidP="00A517AC">
      <w:pPr>
        <w:pStyle w:val="Textoembloco"/>
        <w:shd w:val="clear" w:color="auto" w:fill="FFFFFF"/>
        <w:tabs>
          <w:tab w:val="clear" w:pos="6804"/>
        </w:tabs>
        <w:spacing w:before="0" w:after="0" w:line="240" w:lineRule="auto"/>
        <w:ind w:left="33" w:firstLine="0"/>
        <w:jc w:val="both"/>
        <w:rPr>
          <w:b/>
          <w:color w:val="000000"/>
          <w:sz w:val="24"/>
          <w:lang w:val="pt-BR"/>
        </w:rPr>
      </w:pPr>
    </w:p>
    <w:p w14:paraId="6E9292CA" w14:textId="6B45EA6B" w:rsidR="00152020" w:rsidRPr="00DB28D9" w:rsidRDefault="00152020" w:rsidP="00A517AC">
      <w:pPr>
        <w:pStyle w:val="Textoembloco"/>
        <w:tabs>
          <w:tab w:val="clear" w:pos="6804"/>
        </w:tabs>
        <w:spacing w:before="0" w:after="0" w:line="240" w:lineRule="auto"/>
        <w:ind w:left="567" w:hanging="567"/>
        <w:jc w:val="both"/>
        <w:rPr>
          <w:sz w:val="24"/>
          <w:lang w:val="pt-BR"/>
        </w:rPr>
      </w:pPr>
      <w:r w:rsidRPr="00DB28D9">
        <w:rPr>
          <w:color w:val="000000"/>
          <w:sz w:val="24"/>
          <w:lang w:val="pt-BR"/>
        </w:rPr>
        <w:t>48</w:t>
      </w:r>
      <w:r w:rsidR="009C6B34" w:rsidRPr="00DB28D9">
        <w:rPr>
          <w:color w:val="000000"/>
          <w:sz w:val="24"/>
          <w:lang w:val="pt-BR"/>
        </w:rPr>
        <w:t>.</w:t>
      </w:r>
      <w:r w:rsidRPr="00DB28D9">
        <w:rPr>
          <w:color w:val="000000"/>
          <w:sz w:val="24"/>
          <w:lang w:val="pt-BR"/>
        </w:rPr>
        <w:tab/>
        <w:t xml:space="preserve">Esta Norma exige a apresentação de ativos financeiros e passivos financeiros em base líquida quando isso refletir uma expectativa da entidade de fluxos de caixa futuros a partir da liquidação de dois ou mais instrumentos financeiros separados. Quando a entidade tem o direito de receber ou pagar um único montante líquido e pretende fazer isso, ela tem, na realidade, somente um único ativo financeiro ou passivo financeiro. Em outras circunstâncias, ativos financeiros e passivos financeiros devem ser apresentados separadamente um do outro, consistentemente com suas características de recursos </w:t>
      </w:r>
      <w:r w:rsidRPr="00DB28D9">
        <w:rPr>
          <w:sz w:val="24"/>
          <w:lang w:val="pt-BR"/>
        </w:rPr>
        <w:t>ou obrigações da entidade.</w:t>
      </w:r>
      <w:r w:rsidR="003B4208" w:rsidRPr="00DB28D9">
        <w:rPr>
          <w:sz w:val="24"/>
          <w:lang w:val="pt-BR"/>
        </w:rPr>
        <w:t xml:space="preserve"> </w:t>
      </w:r>
      <w:r w:rsidRPr="00DB28D9">
        <w:rPr>
          <w:sz w:val="24"/>
          <w:lang w:val="pt-BR"/>
        </w:rPr>
        <w:t>A entidade deve divulgar as informações exigidas nos itens 17B a 17E da NBC TSP 33 para instrumentos financeiros reconhecidos que estão dentro do alcance do item 17A da NBC TSP 33.</w:t>
      </w:r>
    </w:p>
    <w:p w14:paraId="70EE2E5E" w14:textId="77777777" w:rsidR="003B4208" w:rsidRPr="00DB28D9" w:rsidRDefault="003B4208" w:rsidP="00A517AC">
      <w:pPr>
        <w:pStyle w:val="Textoembloco"/>
        <w:spacing w:before="0" w:after="0" w:line="240" w:lineRule="auto"/>
        <w:ind w:left="567" w:hanging="567"/>
        <w:jc w:val="both"/>
        <w:rPr>
          <w:color w:val="000000"/>
          <w:sz w:val="24"/>
          <w:lang w:val="pt-BR"/>
        </w:rPr>
      </w:pPr>
    </w:p>
    <w:p w14:paraId="08164EEA" w14:textId="743EF3FE" w:rsidR="00152020" w:rsidRPr="00DB28D9" w:rsidRDefault="00152020" w:rsidP="00A517AC">
      <w:pPr>
        <w:pStyle w:val="Textoembloco"/>
        <w:shd w:val="clear" w:color="auto" w:fill="FFFFFF"/>
        <w:tabs>
          <w:tab w:val="clear" w:pos="6804"/>
        </w:tabs>
        <w:spacing w:before="0" w:after="0" w:line="240" w:lineRule="auto"/>
        <w:ind w:left="567" w:hanging="567"/>
        <w:jc w:val="both"/>
        <w:rPr>
          <w:color w:val="000000"/>
          <w:sz w:val="24"/>
          <w:lang w:val="pt-BR"/>
        </w:rPr>
      </w:pPr>
      <w:r w:rsidRPr="00DB28D9">
        <w:rPr>
          <w:color w:val="000000"/>
          <w:sz w:val="24"/>
          <w:lang w:val="pt-BR"/>
        </w:rPr>
        <w:t>49</w:t>
      </w:r>
      <w:r w:rsidR="009C6B34" w:rsidRPr="00DB28D9">
        <w:rPr>
          <w:color w:val="000000"/>
          <w:sz w:val="24"/>
          <w:lang w:val="pt-BR"/>
        </w:rPr>
        <w:t>.</w:t>
      </w:r>
      <w:r w:rsidRPr="00DB28D9">
        <w:rPr>
          <w:color w:val="000000"/>
          <w:sz w:val="24"/>
          <w:lang w:val="pt-BR"/>
        </w:rPr>
        <w:tab/>
        <w:t>Compensar um ativo financeiro e um passivo financeiro reconhecidos, e apresentar o montante líquido difere do desreconhecimento de um ativo financeiro ou um passivo financeiro. Embora compensar não dê origem ao reconhecimento de ganho ou perda, o desreconhecimento de um instrumento financeiro não somente resulta na remoção do item reconhecido anteriormente no balanço patrimonial, mas também pode resultar em reconhecimento de ganho ou perda.</w:t>
      </w:r>
    </w:p>
    <w:p w14:paraId="5ADE207A" w14:textId="77777777" w:rsidR="00152020" w:rsidRPr="00DB28D9" w:rsidRDefault="00152020" w:rsidP="00A517AC">
      <w:pPr>
        <w:pStyle w:val="Textoembloco"/>
        <w:spacing w:before="0" w:after="0" w:line="240" w:lineRule="auto"/>
        <w:ind w:left="567" w:hanging="567"/>
        <w:jc w:val="both"/>
        <w:rPr>
          <w:color w:val="000000"/>
          <w:sz w:val="24"/>
          <w:lang w:val="pt-BR"/>
        </w:rPr>
      </w:pPr>
    </w:p>
    <w:p w14:paraId="1690CE60" w14:textId="21859540" w:rsidR="00152020" w:rsidRPr="00DB28D9" w:rsidRDefault="00152020" w:rsidP="00A517AC">
      <w:pPr>
        <w:pStyle w:val="Textoembloco"/>
        <w:tabs>
          <w:tab w:val="clear" w:pos="6804"/>
        </w:tabs>
        <w:spacing w:before="0" w:after="0" w:line="240" w:lineRule="auto"/>
        <w:ind w:left="567" w:hanging="567"/>
        <w:jc w:val="both"/>
        <w:rPr>
          <w:color w:val="000000"/>
          <w:sz w:val="24"/>
          <w:lang w:val="pt-BR"/>
        </w:rPr>
      </w:pPr>
      <w:r w:rsidRPr="00DB28D9">
        <w:rPr>
          <w:color w:val="000000"/>
          <w:sz w:val="24"/>
          <w:lang w:val="pt-BR"/>
        </w:rPr>
        <w:t>50</w:t>
      </w:r>
      <w:r w:rsidR="009C6B34" w:rsidRPr="00DB28D9">
        <w:rPr>
          <w:color w:val="000000"/>
          <w:sz w:val="24"/>
          <w:lang w:val="pt-BR"/>
        </w:rPr>
        <w:t>.</w:t>
      </w:r>
      <w:r w:rsidRPr="00DB28D9">
        <w:rPr>
          <w:color w:val="000000"/>
          <w:sz w:val="24"/>
          <w:lang w:val="pt-BR"/>
        </w:rPr>
        <w:tab/>
        <w:t xml:space="preserve">Um direito de compensação é um direito legal de um devedor, por contrato ou de </w:t>
      </w:r>
      <w:r w:rsidRPr="00DB28D9">
        <w:rPr>
          <w:color w:val="000000"/>
          <w:sz w:val="24"/>
          <w:lang w:val="pt-BR"/>
        </w:rPr>
        <w:lastRenderedPageBreak/>
        <w:t>outra forma, de liquidar ou, de outra maneira, eliminar a totalidade ou uma parte de um montante devido a um credor, por meio da aplicação contra esse montante de um montante devido pelo credor. Em circunstâncias incomuns, um devedor pode ter o direito legal de aplicar um montante devido por terceiros contra o montante devido a um credor, desde que exista um acordo entre as três partes que claramente estabeleça o direito de compensação do devedor. Pelo fato de o direito de compensação ser um direito legal, as condições que suportam o direito podem variar de uma jurisdição para outra e as leis aplicáveis às relações entre as partes precisam ser consideradas.</w:t>
      </w:r>
    </w:p>
    <w:p w14:paraId="2CB65CC9" w14:textId="77777777" w:rsidR="003B4208" w:rsidRPr="00DB28D9" w:rsidRDefault="003B4208" w:rsidP="00A517AC">
      <w:pPr>
        <w:pStyle w:val="Textoembloco"/>
        <w:tabs>
          <w:tab w:val="clear" w:pos="6804"/>
        </w:tabs>
        <w:spacing w:before="0" w:after="0" w:line="240" w:lineRule="auto"/>
        <w:ind w:left="567" w:hanging="567"/>
        <w:jc w:val="both"/>
        <w:rPr>
          <w:color w:val="000000"/>
          <w:sz w:val="24"/>
          <w:lang w:val="pt-BR"/>
        </w:rPr>
      </w:pPr>
    </w:p>
    <w:p w14:paraId="4C49FB7C" w14:textId="0A1AB6D4" w:rsidR="00152020" w:rsidRPr="00DB28D9" w:rsidRDefault="00152020" w:rsidP="00A517AC">
      <w:pPr>
        <w:pStyle w:val="Textoembloco"/>
        <w:shd w:val="clear" w:color="auto" w:fill="FFFFFF"/>
        <w:tabs>
          <w:tab w:val="clear" w:pos="6804"/>
        </w:tabs>
        <w:spacing w:before="0" w:after="0" w:line="240" w:lineRule="auto"/>
        <w:ind w:left="567" w:hanging="567"/>
        <w:jc w:val="both"/>
        <w:rPr>
          <w:color w:val="000000"/>
          <w:sz w:val="24"/>
          <w:lang w:val="pt-BR"/>
        </w:rPr>
      </w:pPr>
      <w:r w:rsidRPr="00DB28D9">
        <w:rPr>
          <w:color w:val="000000"/>
          <w:sz w:val="24"/>
          <w:lang w:val="pt-BR"/>
        </w:rPr>
        <w:t>51</w:t>
      </w:r>
      <w:r w:rsidR="009C6B34" w:rsidRPr="00DB28D9">
        <w:rPr>
          <w:color w:val="000000"/>
          <w:sz w:val="24"/>
          <w:lang w:val="pt-BR"/>
        </w:rPr>
        <w:t>.</w:t>
      </w:r>
      <w:r w:rsidRPr="00DB28D9">
        <w:rPr>
          <w:color w:val="000000"/>
          <w:sz w:val="24"/>
          <w:lang w:val="pt-BR"/>
        </w:rPr>
        <w:tab/>
        <w:t xml:space="preserve">A existência do direito de compensar um ativo financeiro e um passivo financeiro afeta os direitos e as obrigações associados com um ativo financeiro e um passivo financeiro, e pode afetar a exposição da entidade a risco de crédito e de liquidez. No entanto, a existência do direito, por si só, não é base suficiente para compensação. Na ausência de intenção de exercer o direito ou de liquidar simultaneamente, o montante e o momento dos fluxos futuros de caixa não são afetados. Quando a entidade pretende exercer o direito ou liquidar simultaneamente, a apresentação do ativo e do passivo em base líquida reflete mais apropriadamente os montantes e o momento dos fluxos de caixa futuros, bem como o risco a que cada um dos fluxos de caixa está exposto. A intenção por uma ou ambas as partes de liquidar em base líquida sem o direito legal de fazê-lo não é suficiente para justificar a compensação, porque os direitos e obrigações associados ao ativo financeiro individual e passivo financeiro individual permanecem inalterados. </w:t>
      </w:r>
    </w:p>
    <w:p w14:paraId="4D41B03E" w14:textId="77777777" w:rsidR="00152020" w:rsidRPr="00DB28D9" w:rsidRDefault="00152020" w:rsidP="003B4208">
      <w:pPr>
        <w:pStyle w:val="Textoembloco"/>
        <w:tabs>
          <w:tab w:val="clear" w:pos="6804"/>
        </w:tabs>
        <w:spacing w:after="0" w:line="240" w:lineRule="auto"/>
        <w:ind w:left="0" w:firstLine="0"/>
        <w:jc w:val="both"/>
        <w:rPr>
          <w:color w:val="000000"/>
          <w:sz w:val="24"/>
          <w:lang w:val="pt-BR"/>
        </w:rPr>
      </w:pPr>
    </w:p>
    <w:p w14:paraId="6C131F73" w14:textId="3ADAE16C" w:rsidR="00152020" w:rsidRPr="00DB28D9" w:rsidRDefault="00152020" w:rsidP="00A517AC">
      <w:pPr>
        <w:pStyle w:val="Textoembloco"/>
        <w:shd w:val="clear" w:color="auto" w:fill="FFFFFF"/>
        <w:tabs>
          <w:tab w:val="clear" w:pos="6804"/>
        </w:tabs>
        <w:spacing w:after="0" w:line="240" w:lineRule="auto"/>
        <w:ind w:left="567" w:hanging="567"/>
        <w:jc w:val="both"/>
        <w:rPr>
          <w:color w:val="000000"/>
          <w:sz w:val="24"/>
          <w:lang w:val="pt-BR"/>
        </w:rPr>
      </w:pPr>
      <w:r w:rsidRPr="00DB28D9">
        <w:rPr>
          <w:color w:val="000000"/>
          <w:sz w:val="24"/>
          <w:lang w:val="pt-BR"/>
        </w:rPr>
        <w:t>52.</w:t>
      </w:r>
      <w:r w:rsidRPr="00DB28D9">
        <w:rPr>
          <w:color w:val="000000"/>
          <w:sz w:val="24"/>
          <w:lang w:val="pt-BR"/>
        </w:rPr>
        <w:tab/>
        <w:t>As intenções da entidade com relação à liquidação de ativos e passivos específicos podem ser influenciadas por suas práticas de negociação usuais, exigências dos mercados financeiros e outras circunstâncias que podem limitar a capacidade de liquidar em base líquida ou liquidar simultaneamente. Quando a entidade tem o direito de compensação, mas não pretende liquidar em base líquida ou realizar o ativo e liquidar o passivo simultaneamente, o efeito do direito sobre a exposição ao risco de crédito da entidade deve ser divulgado de acordo com o item 42 da NBC TSP 33.</w:t>
      </w:r>
    </w:p>
    <w:p w14:paraId="34AA7251" w14:textId="77777777" w:rsidR="00152020" w:rsidRPr="00DB28D9" w:rsidRDefault="00152020" w:rsidP="00A517AC">
      <w:pPr>
        <w:pStyle w:val="Textoembloco"/>
        <w:tabs>
          <w:tab w:val="clear" w:pos="6804"/>
        </w:tabs>
        <w:spacing w:after="0" w:line="240" w:lineRule="auto"/>
        <w:ind w:left="567" w:hanging="567"/>
        <w:jc w:val="both"/>
        <w:rPr>
          <w:color w:val="000000"/>
          <w:sz w:val="24"/>
          <w:lang w:val="pt-BR"/>
        </w:rPr>
      </w:pPr>
    </w:p>
    <w:p w14:paraId="09F06ADD" w14:textId="567D8592" w:rsidR="00152020" w:rsidRPr="00DB28D9" w:rsidRDefault="00152020" w:rsidP="00A517AC">
      <w:pPr>
        <w:pStyle w:val="Textoembloco"/>
        <w:tabs>
          <w:tab w:val="clear" w:pos="6804"/>
        </w:tabs>
        <w:spacing w:after="0" w:line="240" w:lineRule="auto"/>
        <w:ind w:left="567" w:hanging="567"/>
        <w:jc w:val="both"/>
        <w:rPr>
          <w:color w:val="000000"/>
          <w:sz w:val="24"/>
          <w:lang w:val="pt-BR"/>
        </w:rPr>
      </w:pPr>
      <w:r w:rsidRPr="00DB28D9">
        <w:rPr>
          <w:color w:val="000000"/>
          <w:sz w:val="24"/>
          <w:lang w:val="pt-BR"/>
        </w:rPr>
        <w:t>53</w:t>
      </w:r>
      <w:r w:rsidR="009C6B34" w:rsidRPr="00DB28D9">
        <w:rPr>
          <w:color w:val="000000"/>
          <w:sz w:val="24"/>
          <w:lang w:val="pt-BR"/>
        </w:rPr>
        <w:t>.</w:t>
      </w:r>
      <w:r w:rsidRPr="00DB28D9">
        <w:rPr>
          <w:color w:val="000000"/>
          <w:sz w:val="24"/>
          <w:lang w:val="pt-BR"/>
        </w:rPr>
        <w:tab/>
        <w:t>Liquidação simultânea de dois instrumentos financeiros pode ocorrer por meio, por exemplo, da operação de câmara de compensação em mercado financeiro organizado ou uma troca face a face. Nessas circunstâncias, os fluxos de caixa são, na realidade, equivalentes a um único montante líquido e não há exposição a risco de crédito ou de liquidez. Em outras circunstâncias, a entidade pode liquidar dois instrumentos pelo recebimento ou pagamento de montantes separados, tornando-se exposta ao risco de crédito para o montante total do ativo ou risco de liquidez para o montante total do passivo. Tais exposições ao risco podem ser significativas mesmo sendo relativamente breves. Assim, a realização de um ativo financeiro e a liquidação de um passivo financeiro são tratadas como simultâneas somente quando as transações ocorrerem no mesmo momento.</w:t>
      </w:r>
    </w:p>
    <w:p w14:paraId="6B125DAA" w14:textId="77777777" w:rsidR="003B4208" w:rsidRPr="00DB28D9" w:rsidRDefault="003B4208" w:rsidP="00A517AC">
      <w:pPr>
        <w:pStyle w:val="Textoembloco"/>
        <w:tabs>
          <w:tab w:val="clear" w:pos="6804"/>
        </w:tabs>
        <w:spacing w:after="0" w:line="240" w:lineRule="auto"/>
        <w:ind w:left="567" w:hanging="567"/>
        <w:jc w:val="both"/>
        <w:rPr>
          <w:color w:val="000000"/>
          <w:sz w:val="24"/>
          <w:lang w:val="pt-BR"/>
        </w:rPr>
      </w:pPr>
    </w:p>
    <w:p w14:paraId="6740672A" w14:textId="6A3B1146" w:rsidR="00152020" w:rsidRPr="00DB28D9" w:rsidRDefault="00152020" w:rsidP="00A517AC">
      <w:pPr>
        <w:pStyle w:val="Textoembloco"/>
        <w:shd w:val="clear" w:color="auto" w:fill="FFFFFF"/>
        <w:tabs>
          <w:tab w:val="clear" w:pos="6804"/>
        </w:tabs>
        <w:spacing w:before="0" w:after="0" w:line="240" w:lineRule="auto"/>
        <w:ind w:left="567" w:hanging="567"/>
        <w:jc w:val="both"/>
        <w:rPr>
          <w:color w:val="000000"/>
          <w:sz w:val="24"/>
          <w:lang w:val="pt-BR"/>
        </w:rPr>
      </w:pPr>
      <w:r w:rsidRPr="00DB28D9">
        <w:rPr>
          <w:color w:val="000000"/>
          <w:sz w:val="24"/>
          <w:lang w:val="pt-BR"/>
        </w:rPr>
        <w:t>54.</w:t>
      </w:r>
      <w:r w:rsidRPr="00DB28D9">
        <w:rPr>
          <w:color w:val="000000"/>
          <w:sz w:val="24"/>
          <w:lang w:val="pt-BR"/>
        </w:rPr>
        <w:tab/>
        <w:t>As condições estabelecidas no item 47 geralmente não são satisfeitas e a compensação é normalmente inadequada quando:</w:t>
      </w:r>
    </w:p>
    <w:p w14:paraId="2CC2B005" w14:textId="22F31FEB" w:rsidR="00152020" w:rsidRPr="00DB28D9" w:rsidRDefault="00152020" w:rsidP="00A517AC">
      <w:pPr>
        <w:widowControl w:val="0"/>
        <w:spacing w:after="0"/>
        <w:ind w:left="1134" w:hanging="567"/>
        <w:jc w:val="both"/>
        <w:rPr>
          <w:rFonts w:ascii="Arial" w:hAnsi="Arial" w:cs="Arial"/>
          <w:bCs/>
          <w:iCs/>
          <w:color w:val="000000"/>
          <w:sz w:val="24"/>
          <w:szCs w:val="24"/>
        </w:rPr>
      </w:pPr>
      <w:r w:rsidRPr="00DB28D9">
        <w:rPr>
          <w:rFonts w:ascii="Arial" w:hAnsi="Arial" w:cs="Arial"/>
          <w:bCs/>
          <w:iCs/>
          <w:color w:val="000000"/>
          <w:sz w:val="24"/>
          <w:szCs w:val="24"/>
        </w:rPr>
        <w:t xml:space="preserve">(a) </w:t>
      </w:r>
      <w:r w:rsidR="00A517AC" w:rsidRPr="00DB28D9">
        <w:rPr>
          <w:rFonts w:ascii="Arial" w:hAnsi="Arial" w:cs="Arial"/>
          <w:bCs/>
          <w:iCs/>
          <w:color w:val="000000"/>
          <w:sz w:val="24"/>
          <w:szCs w:val="24"/>
        </w:rPr>
        <w:tab/>
      </w:r>
      <w:r w:rsidRPr="00DB28D9">
        <w:rPr>
          <w:rFonts w:ascii="Arial" w:hAnsi="Arial" w:cs="Arial"/>
          <w:bCs/>
          <w:iCs/>
          <w:color w:val="000000"/>
          <w:sz w:val="24"/>
          <w:szCs w:val="24"/>
        </w:rPr>
        <w:t>vários instrumentos financeiros diferentes são utilizados para simular as características de um único instrumento financeiro (um instrumento sintético);</w:t>
      </w:r>
    </w:p>
    <w:p w14:paraId="43E769A9" w14:textId="641C3B1B" w:rsidR="00152020" w:rsidRPr="00DB28D9" w:rsidRDefault="00152020" w:rsidP="00A517AC">
      <w:pPr>
        <w:widowControl w:val="0"/>
        <w:spacing w:after="0"/>
        <w:ind w:left="1134" w:hanging="567"/>
        <w:jc w:val="both"/>
        <w:rPr>
          <w:rFonts w:ascii="Arial" w:eastAsia="Times New Roman" w:hAnsi="Arial" w:cs="Arial"/>
          <w:sz w:val="24"/>
          <w:szCs w:val="24"/>
          <w:lang w:bidi="en-US"/>
        </w:rPr>
      </w:pPr>
      <w:r w:rsidRPr="00DB28D9">
        <w:rPr>
          <w:rFonts w:ascii="Arial" w:eastAsia="Times New Roman" w:hAnsi="Arial" w:cs="Arial"/>
          <w:sz w:val="24"/>
          <w:szCs w:val="24"/>
          <w:lang w:bidi="en-US"/>
        </w:rPr>
        <w:t xml:space="preserve">(b) </w:t>
      </w:r>
      <w:r w:rsidR="00A517AC" w:rsidRPr="00DB28D9">
        <w:rPr>
          <w:rFonts w:ascii="Arial" w:eastAsia="Times New Roman" w:hAnsi="Arial" w:cs="Arial"/>
          <w:sz w:val="24"/>
          <w:szCs w:val="24"/>
          <w:lang w:bidi="en-US"/>
        </w:rPr>
        <w:tab/>
      </w:r>
      <w:r w:rsidRPr="00DB28D9">
        <w:rPr>
          <w:rFonts w:ascii="Arial" w:eastAsia="Times New Roman" w:hAnsi="Arial" w:cs="Arial"/>
          <w:sz w:val="24"/>
          <w:szCs w:val="24"/>
          <w:lang w:bidi="en-US"/>
        </w:rPr>
        <w:t xml:space="preserve">ativos financeiros e passivos financeiros resultam de instrumentos financeiros tendo a mesma exposição primária ao risco (por exemplo, ativos e passivos </w:t>
      </w:r>
      <w:r w:rsidRPr="00DB28D9">
        <w:rPr>
          <w:rFonts w:ascii="Arial" w:eastAsia="Times New Roman" w:hAnsi="Arial" w:cs="Arial"/>
          <w:sz w:val="24"/>
          <w:szCs w:val="24"/>
          <w:lang w:bidi="en-US"/>
        </w:rPr>
        <w:lastRenderedPageBreak/>
        <w:t>dentro de uma carteira de contratos a termo ou outros instrumentos derivativos), mas envolvem contrapartes diferentes;</w:t>
      </w:r>
    </w:p>
    <w:p w14:paraId="1FCD5AED" w14:textId="2A14789D" w:rsidR="00152020" w:rsidRPr="00DB28D9" w:rsidRDefault="00152020" w:rsidP="00A517AC">
      <w:pPr>
        <w:widowControl w:val="0"/>
        <w:spacing w:after="0"/>
        <w:ind w:left="1134" w:hanging="567"/>
        <w:jc w:val="both"/>
        <w:rPr>
          <w:rFonts w:ascii="Arial" w:hAnsi="Arial" w:cs="Arial"/>
          <w:bCs/>
          <w:iCs/>
          <w:color w:val="000000"/>
          <w:sz w:val="24"/>
          <w:szCs w:val="24"/>
        </w:rPr>
      </w:pPr>
      <w:r w:rsidRPr="00DB28D9">
        <w:rPr>
          <w:rFonts w:ascii="Arial" w:hAnsi="Arial" w:cs="Arial"/>
          <w:bCs/>
          <w:iCs/>
          <w:color w:val="000000"/>
          <w:sz w:val="24"/>
          <w:szCs w:val="24"/>
        </w:rPr>
        <w:t xml:space="preserve">(c) </w:t>
      </w:r>
      <w:r w:rsidR="00A517AC" w:rsidRPr="00DB28D9">
        <w:rPr>
          <w:rFonts w:ascii="Arial" w:hAnsi="Arial" w:cs="Arial"/>
          <w:bCs/>
          <w:iCs/>
          <w:color w:val="000000"/>
          <w:sz w:val="24"/>
          <w:szCs w:val="24"/>
        </w:rPr>
        <w:tab/>
      </w:r>
      <w:r w:rsidRPr="00DB28D9">
        <w:rPr>
          <w:rFonts w:ascii="Arial" w:hAnsi="Arial" w:cs="Arial"/>
          <w:bCs/>
          <w:iCs/>
          <w:color w:val="000000"/>
          <w:sz w:val="24"/>
          <w:szCs w:val="24"/>
        </w:rPr>
        <w:t xml:space="preserve">ativos financeiros ou outros ativos são dados em garantia de passivos financeiros </w:t>
      </w:r>
      <w:r w:rsidRPr="00DB28D9">
        <w:rPr>
          <w:rFonts w:ascii="Arial" w:hAnsi="Arial" w:cs="Arial"/>
          <w:sz w:val="24"/>
          <w:szCs w:val="24"/>
        </w:rPr>
        <w:t>cujas liquidações são limitadas às respectivas garantias concedidas</w:t>
      </w:r>
      <w:r w:rsidRPr="00DB28D9">
        <w:rPr>
          <w:rFonts w:ascii="Arial" w:hAnsi="Arial" w:cs="Arial"/>
          <w:bCs/>
          <w:iCs/>
          <w:color w:val="000000"/>
          <w:sz w:val="24"/>
          <w:szCs w:val="24"/>
        </w:rPr>
        <w:t>;</w:t>
      </w:r>
    </w:p>
    <w:p w14:paraId="24260A78" w14:textId="6E63F7E6" w:rsidR="00152020" w:rsidRPr="00DB28D9" w:rsidRDefault="00152020" w:rsidP="00A517AC">
      <w:pPr>
        <w:widowControl w:val="0"/>
        <w:spacing w:after="0"/>
        <w:ind w:left="1134" w:hanging="567"/>
        <w:jc w:val="both"/>
        <w:rPr>
          <w:rFonts w:ascii="Arial" w:hAnsi="Arial" w:cs="Arial"/>
          <w:bCs/>
          <w:iCs/>
          <w:color w:val="000000"/>
          <w:sz w:val="24"/>
          <w:szCs w:val="24"/>
        </w:rPr>
      </w:pPr>
      <w:r w:rsidRPr="00DB28D9">
        <w:rPr>
          <w:rFonts w:ascii="Arial" w:hAnsi="Arial" w:cs="Arial"/>
          <w:bCs/>
          <w:iCs/>
          <w:color w:val="000000"/>
          <w:sz w:val="24"/>
          <w:szCs w:val="24"/>
        </w:rPr>
        <w:t xml:space="preserve">(d) </w:t>
      </w:r>
      <w:r w:rsidR="00A517AC" w:rsidRPr="00DB28D9">
        <w:rPr>
          <w:rFonts w:ascii="Arial" w:hAnsi="Arial" w:cs="Arial"/>
          <w:bCs/>
          <w:iCs/>
          <w:color w:val="000000"/>
          <w:sz w:val="24"/>
          <w:szCs w:val="24"/>
        </w:rPr>
        <w:tab/>
      </w:r>
      <w:r w:rsidRPr="00DB28D9">
        <w:rPr>
          <w:rFonts w:ascii="Arial" w:hAnsi="Arial" w:cs="Arial"/>
          <w:bCs/>
          <w:iCs/>
          <w:color w:val="000000"/>
          <w:sz w:val="24"/>
          <w:szCs w:val="24"/>
        </w:rPr>
        <w:t>ativos financeiros são depósitos em confiança feitos por um devedor com o propósito de cobrir uma obrigação sem que esses ativos tenham sido aceitos pelo credor na liquidação da obrigação (por exemplo, acordos de fundos de amortização); ou</w:t>
      </w:r>
    </w:p>
    <w:p w14:paraId="626C654C" w14:textId="469CF43F" w:rsidR="00152020" w:rsidRPr="00DB28D9" w:rsidRDefault="00152020" w:rsidP="00A517AC">
      <w:pPr>
        <w:widowControl w:val="0"/>
        <w:spacing w:after="0"/>
        <w:ind w:left="1134" w:hanging="567"/>
        <w:jc w:val="both"/>
        <w:rPr>
          <w:rFonts w:ascii="Arial" w:hAnsi="Arial" w:cs="Arial"/>
          <w:bCs/>
          <w:iCs/>
          <w:color w:val="000000"/>
          <w:sz w:val="24"/>
          <w:szCs w:val="24"/>
        </w:rPr>
      </w:pPr>
      <w:r w:rsidRPr="00DB28D9">
        <w:rPr>
          <w:rFonts w:ascii="Arial" w:hAnsi="Arial" w:cs="Arial"/>
          <w:bCs/>
          <w:iCs/>
          <w:color w:val="000000"/>
          <w:sz w:val="24"/>
          <w:szCs w:val="24"/>
        </w:rPr>
        <w:t xml:space="preserve">(e) </w:t>
      </w:r>
      <w:r w:rsidR="00A517AC" w:rsidRPr="00DB28D9">
        <w:rPr>
          <w:rFonts w:ascii="Arial" w:hAnsi="Arial" w:cs="Arial"/>
          <w:bCs/>
          <w:iCs/>
          <w:color w:val="000000"/>
          <w:sz w:val="24"/>
          <w:szCs w:val="24"/>
        </w:rPr>
        <w:tab/>
      </w:r>
      <w:r w:rsidRPr="00DB28D9">
        <w:rPr>
          <w:rFonts w:ascii="Arial" w:hAnsi="Arial" w:cs="Arial"/>
          <w:bCs/>
          <w:iCs/>
          <w:color w:val="000000"/>
          <w:sz w:val="24"/>
          <w:szCs w:val="24"/>
        </w:rPr>
        <w:t>obrigações incorridas como resultado de eventos que deram origem a perdas e há a expectativa de recuperá-las de terceiro em virtude de reclamação feita de acordo com o contrato de seguro.</w:t>
      </w:r>
    </w:p>
    <w:p w14:paraId="0E52E537" w14:textId="77777777" w:rsidR="00A517AC" w:rsidRPr="00DB28D9" w:rsidRDefault="00A517AC" w:rsidP="00A517AC">
      <w:pPr>
        <w:widowControl w:val="0"/>
        <w:spacing w:after="0"/>
        <w:ind w:left="1134" w:hanging="567"/>
        <w:jc w:val="both"/>
        <w:rPr>
          <w:rFonts w:ascii="Arial" w:hAnsi="Arial" w:cs="Arial"/>
          <w:bCs/>
          <w:iCs/>
          <w:color w:val="000000"/>
          <w:sz w:val="24"/>
          <w:szCs w:val="24"/>
        </w:rPr>
      </w:pPr>
    </w:p>
    <w:p w14:paraId="27E0D9AA" w14:textId="61BD083F" w:rsidR="003B4208" w:rsidRPr="00DB28D9" w:rsidRDefault="00152020" w:rsidP="00A517AC">
      <w:pPr>
        <w:pStyle w:val="Textoembloco"/>
        <w:shd w:val="clear" w:color="auto" w:fill="FFFFFF"/>
        <w:tabs>
          <w:tab w:val="clear" w:pos="6804"/>
        </w:tabs>
        <w:spacing w:before="0" w:after="0" w:line="240" w:lineRule="auto"/>
        <w:ind w:left="567" w:hanging="567"/>
        <w:jc w:val="both"/>
        <w:rPr>
          <w:color w:val="000000"/>
          <w:sz w:val="24"/>
          <w:lang w:val="pt-BR"/>
        </w:rPr>
      </w:pPr>
      <w:r w:rsidRPr="00DB28D9">
        <w:rPr>
          <w:color w:val="000000"/>
          <w:sz w:val="24"/>
          <w:lang w:val="pt-BR"/>
        </w:rPr>
        <w:t>55.</w:t>
      </w:r>
      <w:r w:rsidRPr="00DB28D9">
        <w:rPr>
          <w:color w:val="000000"/>
          <w:sz w:val="24"/>
          <w:lang w:val="pt-BR"/>
        </w:rPr>
        <w:tab/>
        <w:t>A entidade que assume uma quantidade de transações de instrumentos financeiros com uma só contraparte pode entrar em um “acordo de compensação principal</w:t>
      </w:r>
      <w:r w:rsidRPr="00DB28D9">
        <w:rPr>
          <w:i/>
          <w:color w:val="000000"/>
          <w:sz w:val="24"/>
          <w:lang w:val="pt-BR"/>
        </w:rPr>
        <w:t>”</w:t>
      </w:r>
      <w:r w:rsidRPr="00DB28D9">
        <w:rPr>
          <w:color w:val="000000"/>
          <w:sz w:val="24"/>
          <w:lang w:val="pt-BR"/>
        </w:rPr>
        <w:t xml:space="preserve"> com essa contraparte. Tal acordo converge para uma única liquidação, em base líquida, para todos os instrumentos financeiros abrangidos pelo acordo no caso de descumprimento ou término de qualquer contrato. Esses acordos podem ser comumente usados para fornecer proteção contra perdas em casos de falência ou outras circunstâncias que resultam na incapacidade da contraparte de cumprir suas obrigações. Um acordo de compensação principal geralmente cria o direito de compensação que se torna exigível e afeta a realização ou a liquidação de ativos financeiros individuais e passivos financeiros individuais somente após evento específico de descumprimento ou outras circunstâncias que não são esperadas no curso normal dos negócios. Um acordo de compensação principal não fornece base para compensação a não ser que ambos os critérios do </w:t>
      </w:r>
      <w:r w:rsidRPr="00DB28D9">
        <w:rPr>
          <w:bCs/>
          <w:iCs/>
          <w:color w:val="000000"/>
          <w:sz w:val="24"/>
          <w:lang w:val="pt-BR"/>
        </w:rPr>
        <w:t>item</w:t>
      </w:r>
      <w:r w:rsidRPr="00DB28D9">
        <w:rPr>
          <w:color w:val="000000"/>
          <w:sz w:val="24"/>
          <w:lang w:val="pt-BR"/>
        </w:rPr>
        <w:t xml:space="preserve"> 47 sejam satisfeitos. Quando ativos financeiros e passivos financeiros sujeitos a um acordo de compensação principal não são compensados, o efeito do acordo na exposição da entidade a risco de crédito deve ser divulgado de acordo com o </w:t>
      </w:r>
      <w:r w:rsidRPr="00DB28D9">
        <w:rPr>
          <w:bCs/>
          <w:iCs/>
          <w:color w:val="000000"/>
          <w:sz w:val="24"/>
          <w:lang w:val="pt-BR"/>
        </w:rPr>
        <w:t>item</w:t>
      </w:r>
      <w:r w:rsidRPr="00DB28D9">
        <w:rPr>
          <w:color w:val="000000"/>
          <w:sz w:val="24"/>
          <w:lang w:val="pt-BR"/>
        </w:rPr>
        <w:t xml:space="preserve"> 42 da NBC TSP 33.</w:t>
      </w:r>
    </w:p>
    <w:p w14:paraId="5DC576E7" w14:textId="77777777" w:rsidR="003B4208" w:rsidRPr="00DB28D9" w:rsidRDefault="003B4208" w:rsidP="00A517AC">
      <w:pPr>
        <w:pStyle w:val="Textoembloco"/>
        <w:shd w:val="clear" w:color="auto" w:fill="FFFFFF"/>
        <w:tabs>
          <w:tab w:val="clear" w:pos="6804"/>
        </w:tabs>
        <w:spacing w:after="0" w:line="240" w:lineRule="auto"/>
        <w:ind w:left="567" w:hanging="567"/>
        <w:jc w:val="both"/>
        <w:rPr>
          <w:b/>
          <w:sz w:val="24"/>
        </w:rPr>
      </w:pPr>
    </w:p>
    <w:p w14:paraId="6846C1E4" w14:textId="649EB2FA" w:rsidR="00152020" w:rsidRPr="00DB28D9" w:rsidRDefault="00152020" w:rsidP="00A517AC">
      <w:pPr>
        <w:autoSpaceDE w:val="0"/>
        <w:autoSpaceDN w:val="0"/>
        <w:adjustRightInd w:val="0"/>
        <w:ind w:left="567" w:hanging="567"/>
        <w:jc w:val="both"/>
        <w:rPr>
          <w:rFonts w:ascii="Arial" w:hAnsi="Arial" w:cs="Arial"/>
          <w:bCs/>
          <w:sz w:val="24"/>
          <w:szCs w:val="24"/>
        </w:rPr>
      </w:pPr>
      <w:r w:rsidRPr="00DB28D9">
        <w:rPr>
          <w:rFonts w:ascii="Arial" w:hAnsi="Arial" w:cs="Arial"/>
          <w:bCs/>
          <w:sz w:val="24"/>
          <w:szCs w:val="24"/>
        </w:rPr>
        <w:t>56</w:t>
      </w:r>
      <w:r w:rsidR="003B4208" w:rsidRPr="00DB28D9">
        <w:rPr>
          <w:rFonts w:ascii="Arial" w:hAnsi="Arial" w:cs="Arial"/>
          <w:bCs/>
          <w:sz w:val="24"/>
          <w:szCs w:val="24"/>
        </w:rPr>
        <w:t xml:space="preserve"> a</w:t>
      </w:r>
      <w:r w:rsidR="009C6B34" w:rsidRPr="00DB28D9">
        <w:rPr>
          <w:rFonts w:ascii="Arial" w:hAnsi="Arial" w:cs="Arial"/>
          <w:bCs/>
          <w:sz w:val="24"/>
          <w:szCs w:val="24"/>
        </w:rPr>
        <w:t>o</w:t>
      </w:r>
      <w:r w:rsidR="003B4208" w:rsidRPr="00DB28D9">
        <w:rPr>
          <w:rFonts w:ascii="Arial" w:hAnsi="Arial" w:cs="Arial"/>
          <w:bCs/>
          <w:sz w:val="24"/>
          <w:szCs w:val="24"/>
        </w:rPr>
        <w:t xml:space="preserve"> 58</w:t>
      </w:r>
      <w:r w:rsidR="00E027B0" w:rsidRPr="00DB28D9">
        <w:rPr>
          <w:rFonts w:ascii="Arial" w:hAnsi="Arial" w:cs="Arial"/>
          <w:bCs/>
          <w:sz w:val="24"/>
          <w:szCs w:val="24"/>
        </w:rPr>
        <w:t>.</w:t>
      </w:r>
      <w:r w:rsidRPr="00DB28D9">
        <w:rPr>
          <w:rFonts w:ascii="Arial" w:hAnsi="Arial" w:cs="Arial"/>
          <w:bCs/>
          <w:sz w:val="24"/>
          <w:szCs w:val="24"/>
        </w:rPr>
        <w:t xml:space="preserve"> Eliminado</w:t>
      </w:r>
      <w:r w:rsidR="003B4208" w:rsidRPr="00DB28D9">
        <w:rPr>
          <w:rFonts w:ascii="Arial" w:hAnsi="Arial" w:cs="Arial"/>
          <w:bCs/>
          <w:sz w:val="24"/>
          <w:szCs w:val="24"/>
        </w:rPr>
        <w:t>s</w:t>
      </w:r>
      <w:r w:rsidR="009C6B34" w:rsidRPr="00DB28D9">
        <w:rPr>
          <w:rFonts w:ascii="Arial" w:hAnsi="Arial" w:cs="Arial"/>
          <w:bCs/>
          <w:sz w:val="24"/>
          <w:szCs w:val="24"/>
        </w:rPr>
        <w:t>.</w:t>
      </w:r>
    </w:p>
    <w:p w14:paraId="76009A7C" w14:textId="6933A614" w:rsidR="00152020" w:rsidRPr="00DB28D9" w:rsidRDefault="00843B84" w:rsidP="003B4208">
      <w:pPr>
        <w:autoSpaceDE w:val="0"/>
        <w:autoSpaceDN w:val="0"/>
        <w:adjustRightInd w:val="0"/>
        <w:jc w:val="both"/>
        <w:rPr>
          <w:rFonts w:ascii="Arial" w:hAnsi="Arial" w:cs="Arial"/>
          <w:bCs/>
          <w:sz w:val="24"/>
          <w:szCs w:val="24"/>
        </w:rPr>
      </w:pPr>
      <w:r w:rsidRPr="00DB28D9">
        <w:rPr>
          <w:rFonts w:ascii="Arial" w:hAnsi="Arial" w:cs="Arial"/>
          <w:bCs/>
          <w:sz w:val="24"/>
          <w:szCs w:val="24"/>
        </w:rPr>
        <w:t xml:space="preserve">Data de </w:t>
      </w:r>
      <w:r w:rsidR="00CE4FD1" w:rsidRPr="00DB28D9">
        <w:rPr>
          <w:rFonts w:ascii="Arial" w:hAnsi="Arial" w:cs="Arial"/>
          <w:bCs/>
          <w:sz w:val="24"/>
          <w:szCs w:val="24"/>
        </w:rPr>
        <w:t>v</w:t>
      </w:r>
      <w:r w:rsidR="00152020" w:rsidRPr="00DB28D9">
        <w:rPr>
          <w:rFonts w:ascii="Arial" w:hAnsi="Arial" w:cs="Arial"/>
          <w:bCs/>
          <w:sz w:val="24"/>
          <w:szCs w:val="24"/>
        </w:rPr>
        <w:t>igência</w:t>
      </w:r>
    </w:p>
    <w:p w14:paraId="10339111" w14:textId="7D772E98" w:rsidR="00152020" w:rsidRPr="00DA4C02" w:rsidRDefault="00152020" w:rsidP="00A517AC">
      <w:pPr>
        <w:autoSpaceDE w:val="0"/>
        <w:autoSpaceDN w:val="0"/>
        <w:adjustRightInd w:val="0"/>
        <w:ind w:left="567" w:hanging="567"/>
        <w:jc w:val="both"/>
        <w:rPr>
          <w:rFonts w:ascii="Arial" w:hAnsi="Arial" w:cs="Arial"/>
          <w:sz w:val="24"/>
          <w:szCs w:val="24"/>
        </w:rPr>
      </w:pPr>
      <w:r w:rsidRPr="00DB28D9">
        <w:rPr>
          <w:rFonts w:ascii="Arial" w:eastAsia="Times New Roman" w:hAnsi="Arial" w:cs="Arial"/>
          <w:color w:val="000000"/>
          <w:sz w:val="24"/>
          <w:szCs w:val="24"/>
        </w:rPr>
        <w:t xml:space="preserve">59. </w:t>
      </w:r>
      <w:r w:rsidR="00A517AC" w:rsidRPr="00DB28D9">
        <w:rPr>
          <w:rFonts w:ascii="Arial" w:eastAsia="Times New Roman" w:hAnsi="Arial" w:cs="Arial"/>
          <w:color w:val="000000"/>
          <w:sz w:val="24"/>
          <w:szCs w:val="24"/>
        </w:rPr>
        <w:tab/>
      </w:r>
      <w:r w:rsidRPr="00DB28D9">
        <w:rPr>
          <w:rFonts w:ascii="Arial" w:eastAsia="Times New Roman" w:hAnsi="Arial" w:cs="Arial"/>
          <w:color w:val="000000"/>
          <w:sz w:val="24"/>
          <w:szCs w:val="24"/>
        </w:rPr>
        <w:t>Esta Norma deve ser aplicada pelas entidades do setor público a partir de 1º de janeiro de 2024, salvo na existência de algum normativo em âmbito nacional que estabeleça prazos específicos</w:t>
      </w:r>
      <w:r w:rsidR="00A75BE9" w:rsidRPr="00DB28D9">
        <w:rPr>
          <w:rFonts w:ascii="Arial" w:eastAsia="Times New Roman" w:hAnsi="Arial" w:cs="Arial"/>
          <w:color w:val="000000"/>
          <w:sz w:val="24"/>
          <w:szCs w:val="24"/>
        </w:rPr>
        <w:t xml:space="preserve"> </w:t>
      </w:r>
      <w:r w:rsidR="00DA4C02">
        <w:rPr>
          <w:rFonts w:ascii="Arial" w:eastAsia="Times New Roman" w:hAnsi="Arial" w:cs="Arial"/>
          <w:color w:val="000000"/>
          <w:sz w:val="24"/>
          <w:szCs w:val="24"/>
        </w:rPr>
        <w:t>–</w:t>
      </w:r>
      <w:r w:rsidR="003B4208" w:rsidRPr="00DA4C02">
        <w:rPr>
          <w:rFonts w:ascii="Arial" w:eastAsia="Times New Roman" w:hAnsi="Arial" w:cs="Arial"/>
          <w:color w:val="000000"/>
          <w:sz w:val="24"/>
          <w:szCs w:val="24"/>
        </w:rPr>
        <w:t xml:space="preserve"> </w:t>
      </w:r>
      <w:r w:rsidRPr="00DA4C02">
        <w:rPr>
          <w:rFonts w:ascii="Arial" w:eastAsia="Times New Roman" w:hAnsi="Arial" w:cs="Arial"/>
          <w:color w:val="000000"/>
          <w:sz w:val="24"/>
          <w:szCs w:val="24"/>
        </w:rPr>
        <w:t>casos em que estes prevalecem.</w:t>
      </w:r>
    </w:p>
    <w:p w14:paraId="25510322" w14:textId="77777777" w:rsidR="00152020" w:rsidRPr="00DA4C02" w:rsidRDefault="00152020" w:rsidP="003B4208">
      <w:pPr>
        <w:autoSpaceDE w:val="0"/>
        <w:autoSpaceDN w:val="0"/>
        <w:adjustRightInd w:val="0"/>
        <w:jc w:val="both"/>
        <w:rPr>
          <w:rFonts w:ascii="Arial" w:hAnsi="Arial" w:cs="Arial"/>
          <w:sz w:val="24"/>
          <w:szCs w:val="24"/>
        </w:rPr>
      </w:pPr>
    </w:p>
    <w:p w14:paraId="175AD280" w14:textId="77777777" w:rsidR="00843B84" w:rsidRPr="00DB28D9" w:rsidRDefault="00843B84" w:rsidP="00843B84">
      <w:pPr>
        <w:pStyle w:val="PargrafodaLista"/>
        <w:autoSpaceDE w:val="0"/>
        <w:autoSpaceDN w:val="0"/>
        <w:adjustRightInd w:val="0"/>
        <w:spacing w:after="0" w:line="240" w:lineRule="auto"/>
        <w:ind w:left="548"/>
        <w:jc w:val="both"/>
        <w:rPr>
          <w:rFonts w:ascii="Arial" w:hAnsi="Arial" w:cs="Arial"/>
          <w:sz w:val="24"/>
          <w:szCs w:val="24"/>
        </w:rPr>
      </w:pPr>
    </w:p>
    <w:p w14:paraId="124A2CE1" w14:textId="77777777" w:rsidR="00843B84" w:rsidRPr="00DB28D9" w:rsidRDefault="00843B84" w:rsidP="00843B84">
      <w:pPr>
        <w:widowControl w:val="0"/>
        <w:adjustRightInd w:val="0"/>
        <w:spacing w:after="0" w:line="240" w:lineRule="auto"/>
        <w:jc w:val="right"/>
        <w:textAlignment w:val="baseline"/>
        <w:rPr>
          <w:rFonts w:ascii="Arial" w:eastAsia="Times New Roman" w:hAnsi="Arial" w:cs="Arial"/>
          <w:sz w:val="24"/>
          <w:szCs w:val="24"/>
        </w:rPr>
      </w:pPr>
      <w:r w:rsidRPr="00DB28D9">
        <w:rPr>
          <w:rFonts w:ascii="Arial" w:eastAsia="Times New Roman" w:hAnsi="Arial" w:cs="Arial"/>
          <w:sz w:val="24"/>
          <w:szCs w:val="24"/>
        </w:rPr>
        <w:t xml:space="preserve">Brasília, </w:t>
      </w:r>
      <w:proofErr w:type="spellStart"/>
      <w:r w:rsidRPr="00DB28D9">
        <w:rPr>
          <w:rFonts w:ascii="Arial" w:eastAsia="Times New Roman" w:hAnsi="Arial" w:cs="Arial"/>
          <w:sz w:val="24"/>
          <w:szCs w:val="24"/>
        </w:rPr>
        <w:t>xx</w:t>
      </w:r>
      <w:proofErr w:type="spellEnd"/>
      <w:r w:rsidRPr="00DB28D9">
        <w:rPr>
          <w:rFonts w:ascii="Arial" w:eastAsia="Times New Roman" w:hAnsi="Arial" w:cs="Arial"/>
          <w:sz w:val="24"/>
          <w:szCs w:val="24"/>
        </w:rPr>
        <w:t xml:space="preserve"> de </w:t>
      </w:r>
      <w:proofErr w:type="spellStart"/>
      <w:r w:rsidRPr="00DB28D9">
        <w:rPr>
          <w:rFonts w:ascii="Arial" w:eastAsia="Times New Roman" w:hAnsi="Arial" w:cs="Arial"/>
          <w:sz w:val="24"/>
          <w:szCs w:val="24"/>
        </w:rPr>
        <w:t>xxxxx</w:t>
      </w:r>
      <w:proofErr w:type="spellEnd"/>
      <w:r w:rsidRPr="00DB28D9">
        <w:rPr>
          <w:rFonts w:ascii="Arial" w:eastAsia="Times New Roman" w:hAnsi="Arial" w:cs="Arial"/>
          <w:sz w:val="24"/>
          <w:szCs w:val="24"/>
        </w:rPr>
        <w:t xml:space="preserve"> de 2021.</w:t>
      </w:r>
    </w:p>
    <w:p w14:paraId="42A865F1" w14:textId="77777777" w:rsidR="00843B84" w:rsidRPr="00DB28D9" w:rsidRDefault="00843B84" w:rsidP="00843B84">
      <w:pPr>
        <w:widowControl w:val="0"/>
        <w:adjustRightInd w:val="0"/>
        <w:spacing w:after="0" w:line="240" w:lineRule="auto"/>
        <w:jc w:val="center"/>
        <w:textAlignment w:val="baseline"/>
        <w:rPr>
          <w:rFonts w:ascii="Arial" w:eastAsia="Times New Roman" w:hAnsi="Arial" w:cs="Arial"/>
          <w:sz w:val="24"/>
          <w:szCs w:val="24"/>
        </w:rPr>
      </w:pPr>
    </w:p>
    <w:p w14:paraId="515B9CDA" w14:textId="7D269A20" w:rsidR="00843B84" w:rsidRDefault="00843B84" w:rsidP="00843B84">
      <w:pPr>
        <w:widowControl w:val="0"/>
        <w:adjustRightInd w:val="0"/>
        <w:spacing w:after="0" w:line="240" w:lineRule="auto"/>
        <w:jc w:val="center"/>
        <w:textAlignment w:val="baseline"/>
        <w:rPr>
          <w:rFonts w:ascii="Arial" w:eastAsia="Times New Roman" w:hAnsi="Arial" w:cs="Arial"/>
          <w:sz w:val="24"/>
          <w:szCs w:val="24"/>
        </w:rPr>
      </w:pPr>
    </w:p>
    <w:p w14:paraId="4CF3C000" w14:textId="3E199BF0" w:rsidR="00DA4C02" w:rsidRDefault="00DA4C02" w:rsidP="00843B84">
      <w:pPr>
        <w:widowControl w:val="0"/>
        <w:adjustRightInd w:val="0"/>
        <w:spacing w:after="0" w:line="240" w:lineRule="auto"/>
        <w:jc w:val="center"/>
        <w:textAlignment w:val="baseline"/>
        <w:rPr>
          <w:rFonts w:ascii="Arial" w:eastAsia="Times New Roman" w:hAnsi="Arial" w:cs="Arial"/>
          <w:sz w:val="24"/>
          <w:szCs w:val="24"/>
        </w:rPr>
      </w:pPr>
    </w:p>
    <w:p w14:paraId="77801B27" w14:textId="77777777" w:rsidR="00DA4C02" w:rsidRPr="00DA4C02" w:rsidRDefault="00DA4C02" w:rsidP="00843B84">
      <w:pPr>
        <w:widowControl w:val="0"/>
        <w:adjustRightInd w:val="0"/>
        <w:spacing w:after="0" w:line="240" w:lineRule="auto"/>
        <w:jc w:val="center"/>
        <w:textAlignment w:val="baseline"/>
        <w:rPr>
          <w:rFonts w:ascii="Arial" w:eastAsia="Times New Roman" w:hAnsi="Arial" w:cs="Arial"/>
          <w:sz w:val="24"/>
          <w:szCs w:val="24"/>
        </w:rPr>
      </w:pPr>
    </w:p>
    <w:p w14:paraId="429D29EB" w14:textId="77777777" w:rsidR="00843B84" w:rsidRPr="00DA4C02" w:rsidRDefault="00843B84" w:rsidP="00843B84">
      <w:pPr>
        <w:widowControl w:val="0"/>
        <w:adjustRightInd w:val="0"/>
        <w:spacing w:after="0" w:line="240" w:lineRule="auto"/>
        <w:jc w:val="center"/>
        <w:textAlignment w:val="baseline"/>
        <w:rPr>
          <w:rFonts w:ascii="Arial" w:eastAsia="Times New Roman" w:hAnsi="Arial" w:cs="Arial"/>
          <w:sz w:val="24"/>
          <w:szCs w:val="24"/>
        </w:rPr>
      </w:pPr>
      <w:r w:rsidRPr="00DA4C02">
        <w:rPr>
          <w:rFonts w:ascii="Arial" w:eastAsia="Times New Roman" w:hAnsi="Arial" w:cs="Arial"/>
          <w:sz w:val="24"/>
          <w:szCs w:val="24"/>
        </w:rPr>
        <w:t xml:space="preserve">Contador </w:t>
      </w:r>
      <w:proofErr w:type="spellStart"/>
      <w:r w:rsidRPr="00DA4C02">
        <w:rPr>
          <w:rFonts w:ascii="Arial" w:eastAsia="Times New Roman" w:hAnsi="Arial" w:cs="Arial"/>
          <w:sz w:val="24"/>
          <w:szCs w:val="24"/>
        </w:rPr>
        <w:t>Zulmir</w:t>
      </w:r>
      <w:proofErr w:type="spellEnd"/>
      <w:r w:rsidRPr="00DA4C02">
        <w:rPr>
          <w:rFonts w:ascii="Arial" w:eastAsia="Times New Roman" w:hAnsi="Arial" w:cs="Arial"/>
          <w:sz w:val="24"/>
          <w:szCs w:val="24"/>
        </w:rPr>
        <w:t xml:space="preserve"> </w:t>
      </w:r>
      <w:proofErr w:type="spellStart"/>
      <w:r w:rsidRPr="00DA4C02">
        <w:rPr>
          <w:rFonts w:ascii="Arial" w:eastAsia="Times New Roman" w:hAnsi="Arial" w:cs="Arial"/>
          <w:sz w:val="24"/>
          <w:szCs w:val="24"/>
        </w:rPr>
        <w:t>Ivânio</w:t>
      </w:r>
      <w:proofErr w:type="spellEnd"/>
      <w:r w:rsidRPr="00DA4C02">
        <w:rPr>
          <w:rFonts w:ascii="Arial" w:eastAsia="Times New Roman" w:hAnsi="Arial" w:cs="Arial"/>
          <w:sz w:val="24"/>
          <w:szCs w:val="24"/>
        </w:rPr>
        <w:t xml:space="preserve"> Breda</w:t>
      </w:r>
    </w:p>
    <w:p w14:paraId="225DE43B" w14:textId="77777777" w:rsidR="00843B84" w:rsidRPr="00DB28D9" w:rsidRDefault="00843B84" w:rsidP="00843B84">
      <w:pPr>
        <w:widowControl w:val="0"/>
        <w:adjustRightInd w:val="0"/>
        <w:spacing w:after="0" w:line="240" w:lineRule="auto"/>
        <w:jc w:val="center"/>
        <w:textAlignment w:val="baseline"/>
        <w:rPr>
          <w:rFonts w:ascii="Arial" w:eastAsia="Times New Roman" w:hAnsi="Arial" w:cs="Arial"/>
          <w:sz w:val="24"/>
          <w:szCs w:val="24"/>
        </w:rPr>
      </w:pPr>
      <w:r w:rsidRPr="00DB28D9">
        <w:rPr>
          <w:rFonts w:ascii="Arial" w:eastAsia="Times New Roman" w:hAnsi="Arial" w:cs="Arial"/>
          <w:sz w:val="24"/>
          <w:szCs w:val="24"/>
        </w:rPr>
        <w:t>Presidente</w:t>
      </w:r>
    </w:p>
    <w:p w14:paraId="54CBBE7D" w14:textId="3FB4919F" w:rsidR="00D82DA3" w:rsidRPr="00DB28D9" w:rsidRDefault="00843B84" w:rsidP="00843B84">
      <w:pPr>
        <w:autoSpaceDE w:val="0"/>
        <w:autoSpaceDN w:val="0"/>
        <w:adjustRightInd w:val="0"/>
        <w:spacing w:after="0" w:line="240" w:lineRule="auto"/>
        <w:jc w:val="both"/>
        <w:rPr>
          <w:rFonts w:ascii="Arial" w:hAnsi="Arial" w:cs="Arial"/>
          <w:sz w:val="24"/>
          <w:szCs w:val="24"/>
        </w:rPr>
      </w:pPr>
      <w:r w:rsidRPr="00DB28D9">
        <w:rPr>
          <w:rFonts w:ascii="Arial" w:eastAsia="Times New Roman" w:hAnsi="Arial" w:cs="Arial"/>
        </w:rPr>
        <w:t xml:space="preserve">Ata CFC n.º </w:t>
      </w:r>
      <w:proofErr w:type="spellStart"/>
      <w:r w:rsidRPr="00DB28D9">
        <w:rPr>
          <w:rFonts w:ascii="Arial" w:eastAsia="Times New Roman" w:hAnsi="Arial" w:cs="Arial"/>
        </w:rPr>
        <w:t>xxxxx</w:t>
      </w:r>
      <w:proofErr w:type="spellEnd"/>
      <w:r w:rsidRPr="00DB28D9">
        <w:rPr>
          <w:rFonts w:ascii="Arial" w:eastAsia="Times New Roman" w:hAnsi="Arial" w:cs="Arial"/>
        </w:rPr>
        <w:t>.</w:t>
      </w:r>
    </w:p>
    <w:sectPr w:rsidR="00D82DA3" w:rsidRPr="00DB28D9" w:rsidSect="00FE69D6">
      <w:headerReference w:type="even" r:id="rId8"/>
      <w:headerReference w:type="default" r:id="rId9"/>
      <w:footerReference w:type="even" r:id="rId10"/>
      <w:footerReference w:type="default" r:id="rId11"/>
      <w:headerReference w:type="first" r:id="rId12"/>
      <w:footerReference w:type="first" r:id="rId13"/>
      <w:pgSz w:w="11906" w:h="16838"/>
      <w:pgMar w:top="1418" w:right="1133" w:bottom="1418"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CD2A0" w14:textId="77777777" w:rsidR="00054685" w:rsidRDefault="00054685" w:rsidP="008C5A95">
      <w:pPr>
        <w:spacing w:after="0" w:line="240" w:lineRule="auto"/>
      </w:pPr>
      <w:r>
        <w:separator/>
      </w:r>
    </w:p>
  </w:endnote>
  <w:endnote w:type="continuationSeparator" w:id="0">
    <w:p w14:paraId="5E1667C5" w14:textId="77777777" w:rsidR="00054685" w:rsidRDefault="00054685" w:rsidP="008C5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AE642" w14:textId="77777777" w:rsidR="00DA4C02" w:rsidRDefault="00DA4C0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2381F" w14:textId="77777777" w:rsidR="00DA4C02" w:rsidRDefault="00DA4C0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5A0B2" w14:textId="77777777" w:rsidR="00DA4C02" w:rsidRDefault="00DA4C0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0213C" w14:textId="77777777" w:rsidR="00054685" w:rsidRDefault="00054685" w:rsidP="008C5A95">
      <w:pPr>
        <w:spacing w:after="0" w:line="240" w:lineRule="auto"/>
      </w:pPr>
      <w:r>
        <w:separator/>
      </w:r>
    </w:p>
  </w:footnote>
  <w:footnote w:type="continuationSeparator" w:id="0">
    <w:p w14:paraId="7BB0613A" w14:textId="77777777" w:rsidR="00054685" w:rsidRDefault="00054685" w:rsidP="008C5A95">
      <w:pPr>
        <w:spacing w:after="0" w:line="240" w:lineRule="auto"/>
      </w:pPr>
      <w:r>
        <w:continuationSeparator/>
      </w:r>
    </w:p>
  </w:footnote>
  <w:footnote w:id="1">
    <w:p w14:paraId="6B7F84DA" w14:textId="77777777" w:rsidR="00152020" w:rsidRPr="00A44BCA" w:rsidRDefault="00152020">
      <w:pPr>
        <w:pStyle w:val="Textodenotaderodap"/>
        <w:rPr>
          <w:rFonts w:ascii="Arial" w:hAnsi="Arial" w:cs="Arial"/>
          <w:sz w:val="22"/>
          <w:szCs w:val="22"/>
        </w:rPr>
      </w:pPr>
      <w:r w:rsidRPr="00A44BCA">
        <w:rPr>
          <w:rStyle w:val="Refdenotaderodap"/>
          <w:rFonts w:ascii="Arial" w:hAnsi="Arial" w:cs="Arial"/>
          <w:sz w:val="22"/>
          <w:szCs w:val="22"/>
        </w:rPr>
        <w:footnoteRef/>
      </w:r>
      <w:r w:rsidRPr="00A44BCA">
        <w:rPr>
          <w:rFonts w:ascii="Arial" w:hAnsi="Arial" w:cs="Arial"/>
          <w:sz w:val="22"/>
          <w:szCs w:val="22"/>
        </w:rPr>
        <w:t xml:space="preserve"> Para os fins desta Norma, a expressão “norma contábil que trata de contratos de seguro” refere-se à </w:t>
      </w:r>
      <w:r w:rsidRPr="00A44BCA">
        <w:rPr>
          <w:rFonts w:ascii="Arial" w:hAnsi="Arial" w:cs="Arial"/>
          <w:i/>
          <w:sz w:val="22"/>
          <w:szCs w:val="22"/>
        </w:rPr>
        <w:t>NBC TG 11</w:t>
      </w:r>
      <w:r w:rsidRPr="00A44BCA">
        <w:rPr>
          <w:rFonts w:ascii="Arial" w:hAnsi="Arial" w:cs="Arial"/>
          <w:sz w:val="22"/>
          <w:szCs w:val="22"/>
        </w:rPr>
        <w:t xml:space="preserve"> – </w:t>
      </w:r>
      <w:r w:rsidRPr="00A44BCA">
        <w:rPr>
          <w:rFonts w:ascii="Arial" w:hAnsi="Arial" w:cs="Arial"/>
          <w:i/>
          <w:sz w:val="22"/>
          <w:szCs w:val="22"/>
        </w:rPr>
        <w:t>Contratos de Seguro,</w:t>
      </w:r>
      <w:r w:rsidRPr="00A44BCA">
        <w:rPr>
          <w:rFonts w:ascii="Arial" w:hAnsi="Arial" w:cs="Arial"/>
          <w:sz w:val="22"/>
          <w:szCs w:val="22"/>
        </w:rPr>
        <w:t xml:space="preserve"> ou norma que vier a substituí-la.</w:t>
      </w:r>
    </w:p>
  </w:footnote>
  <w:footnote w:id="2">
    <w:p w14:paraId="16188075" w14:textId="77777777" w:rsidR="00152020" w:rsidRPr="00A44BCA" w:rsidRDefault="00152020">
      <w:pPr>
        <w:pStyle w:val="Textodenotaderodap"/>
        <w:rPr>
          <w:rFonts w:ascii="Arial" w:hAnsi="Arial" w:cs="Arial"/>
          <w:sz w:val="22"/>
          <w:szCs w:val="22"/>
        </w:rPr>
      </w:pPr>
      <w:r w:rsidRPr="00A44BCA">
        <w:rPr>
          <w:rStyle w:val="Refdenotaderodap"/>
          <w:rFonts w:ascii="Arial" w:hAnsi="Arial" w:cs="Arial"/>
          <w:sz w:val="22"/>
          <w:szCs w:val="22"/>
        </w:rPr>
        <w:footnoteRef/>
      </w:r>
      <w:r w:rsidRPr="00A44BCA">
        <w:rPr>
          <w:rFonts w:ascii="Arial" w:hAnsi="Arial" w:cs="Arial"/>
          <w:sz w:val="22"/>
          <w:szCs w:val="22"/>
        </w:rPr>
        <w:t xml:space="preserve"> Para os fins desta Norma, a expressão “norma contábil que trata de pagamentos baseados em ações” refere-se à </w:t>
      </w:r>
      <w:r w:rsidRPr="00A44BCA">
        <w:rPr>
          <w:rFonts w:ascii="Arial" w:hAnsi="Arial" w:cs="Arial"/>
          <w:i/>
          <w:sz w:val="22"/>
          <w:szCs w:val="22"/>
        </w:rPr>
        <w:t>NBC TG 10</w:t>
      </w:r>
      <w:r w:rsidRPr="00A44BCA">
        <w:rPr>
          <w:rFonts w:ascii="Arial" w:hAnsi="Arial" w:cs="Arial"/>
          <w:sz w:val="22"/>
          <w:szCs w:val="22"/>
        </w:rPr>
        <w:t xml:space="preserve"> – </w:t>
      </w:r>
      <w:r w:rsidRPr="00A44BCA">
        <w:rPr>
          <w:rFonts w:ascii="Arial" w:hAnsi="Arial" w:cs="Arial"/>
          <w:i/>
          <w:sz w:val="22"/>
          <w:szCs w:val="22"/>
        </w:rPr>
        <w:t>Pagamentos Baseados em Ações,</w:t>
      </w:r>
      <w:r w:rsidRPr="00A44BCA">
        <w:rPr>
          <w:rFonts w:ascii="Arial" w:hAnsi="Arial" w:cs="Arial"/>
          <w:sz w:val="22"/>
          <w:szCs w:val="22"/>
        </w:rPr>
        <w:t xml:space="preserve"> ou norma que vier a substituí-la.</w:t>
      </w:r>
    </w:p>
  </w:footnote>
  <w:footnote w:id="3">
    <w:p w14:paraId="4504B34A" w14:textId="58ADB57B" w:rsidR="00152020" w:rsidRPr="00A44BCA" w:rsidRDefault="00152020" w:rsidP="00A44BCA">
      <w:pPr>
        <w:pStyle w:val="Textodenotaderodap"/>
        <w:jc w:val="both"/>
        <w:rPr>
          <w:rFonts w:ascii="Arial" w:hAnsi="Arial" w:cs="Arial"/>
          <w:sz w:val="22"/>
          <w:szCs w:val="22"/>
        </w:rPr>
      </w:pPr>
      <w:r w:rsidRPr="00A44BCA">
        <w:rPr>
          <w:rStyle w:val="Refdenotaderodap"/>
          <w:rFonts w:ascii="Arial" w:hAnsi="Arial" w:cs="Arial"/>
          <w:sz w:val="22"/>
          <w:szCs w:val="22"/>
        </w:rPr>
        <w:footnoteRef/>
      </w:r>
      <w:r w:rsidRPr="00152020">
        <w:rPr>
          <w:rFonts w:ascii="Arial" w:hAnsi="Arial" w:cs="Arial"/>
          <w:sz w:val="22"/>
          <w:szCs w:val="22"/>
        </w:rPr>
        <w:t xml:space="preserve"> </w:t>
      </w:r>
      <w:r w:rsidRPr="00A44BCA">
        <w:rPr>
          <w:rFonts w:ascii="Arial" w:hAnsi="Arial" w:cs="Arial"/>
          <w:sz w:val="22"/>
          <w:szCs w:val="22"/>
        </w:rPr>
        <w:t xml:space="preserve">Aspectos adicionais sobre a definição de instrumentos financeiros no âmbito do </w:t>
      </w:r>
      <w:r w:rsidR="001B741D">
        <w:rPr>
          <w:rFonts w:ascii="Arial" w:hAnsi="Arial" w:cs="Arial"/>
          <w:sz w:val="22"/>
          <w:szCs w:val="22"/>
        </w:rPr>
        <w:t>s</w:t>
      </w:r>
      <w:r w:rsidRPr="00A44BCA">
        <w:rPr>
          <w:rFonts w:ascii="Arial" w:hAnsi="Arial" w:cs="Arial"/>
          <w:sz w:val="22"/>
          <w:szCs w:val="22"/>
        </w:rPr>
        <w:t xml:space="preserve">etor </w:t>
      </w:r>
      <w:r w:rsidR="00F17B1C">
        <w:rPr>
          <w:rFonts w:ascii="Arial" w:hAnsi="Arial" w:cs="Arial"/>
          <w:sz w:val="22"/>
          <w:szCs w:val="22"/>
        </w:rPr>
        <w:t>p</w:t>
      </w:r>
      <w:r w:rsidRPr="00A44BCA">
        <w:rPr>
          <w:rFonts w:ascii="Arial" w:hAnsi="Arial" w:cs="Arial"/>
          <w:sz w:val="22"/>
          <w:szCs w:val="22"/>
        </w:rPr>
        <w:t>úblico devem ser considerados, tais como contas a receber e contas a pagar decorrentes de compromissos de natureza não contratual que são, na essência, similares e têm o mesmo efeito econômico que instrumentos financeiros.</w:t>
      </w:r>
    </w:p>
  </w:footnote>
  <w:footnote w:id="4">
    <w:p w14:paraId="605EECDB" w14:textId="77777777" w:rsidR="00152020" w:rsidRDefault="00152020" w:rsidP="002F0E84">
      <w:pPr>
        <w:pStyle w:val="Textodenotaderodap"/>
        <w:jc w:val="both"/>
      </w:pPr>
      <w:r w:rsidRPr="00A44BCA">
        <w:rPr>
          <w:rStyle w:val="Refdenotaderodap"/>
          <w:rFonts w:ascii="Arial" w:hAnsi="Arial" w:cs="Arial"/>
          <w:sz w:val="24"/>
          <w:szCs w:val="24"/>
        </w:rPr>
        <w:footnoteRef/>
      </w:r>
      <w:r w:rsidRPr="00A44BCA">
        <w:rPr>
          <w:rFonts w:ascii="Arial" w:hAnsi="Arial" w:cs="Arial"/>
          <w:sz w:val="24"/>
          <w:szCs w:val="24"/>
        </w:rPr>
        <w:t xml:space="preserve"> </w:t>
      </w:r>
      <w:r w:rsidRPr="003B4208">
        <w:rPr>
          <w:rFonts w:ascii="Arial" w:hAnsi="Arial" w:cs="Arial"/>
          <w:sz w:val="24"/>
          <w:szCs w:val="24"/>
        </w:rPr>
        <w:t xml:space="preserve">Para os fins desta Norma, a expressão “norma contábil que trata de tributos sobre o lucro” refere-se à </w:t>
      </w:r>
      <w:r w:rsidRPr="003B4208">
        <w:rPr>
          <w:rFonts w:ascii="Arial" w:hAnsi="Arial" w:cs="Arial"/>
          <w:i/>
          <w:sz w:val="24"/>
          <w:szCs w:val="24"/>
        </w:rPr>
        <w:t>NBC TG 32</w:t>
      </w:r>
      <w:r w:rsidRPr="003B4208">
        <w:rPr>
          <w:rFonts w:ascii="Arial" w:hAnsi="Arial" w:cs="Arial"/>
          <w:sz w:val="24"/>
          <w:szCs w:val="24"/>
        </w:rPr>
        <w:t xml:space="preserve"> – </w:t>
      </w:r>
      <w:r w:rsidRPr="003B4208">
        <w:rPr>
          <w:rFonts w:ascii="Arial" w:hAnsi="Arial" w:cs="Arial"/>
          <w:i/>
          <w:sz w:val="24"/>
          <w:szCs w:val="24"/>
        </w:rPr>
        <w:t>Tributos sobre o Lucro,</w:t>
      </w:r>
      <w:r w:rsidRPr="003B4208">
        <w:rPr>
          <w:rFonts w:ascii="Arial" w:hAnsi="Arial" w:cs="Arial"/>
          <w:sz w:val="24"/>
          <w:szCs w:val="24"/>
        </w:rPr>
        <w:t xml:space="preserve"> ou norma que vier a substituí-la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AFA8D" w14:textId="4D272A63" w:rsidR="00DA4C02" w:rsidRDefault="00054685">
    <w:pPr>
      <w:pStyle w:val="Cabealho"/>
    </w:pPr>
    <w:r>
      <w:rPr>
        <w:noProof/>
      </w:rPr>
      <w:pict w14:anchorId="7291FC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37951" o:spid="_x0000_s2051" type="#_x0000_t136" alt="" style="position:absolute;margin-left:0;margin-top:0;width:509.6pt;height:169.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MINU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10052" w14:textId="63826308" w:rsidR="00DA4C02" w:rsidRDefault="00054685">
    <w:pPr>
      <w:pStyle w:val="Cabealho"/>
    </w:pPr>
    <w:r>
      <w:rPr>
        <w:noProof/>
      </w:rPr>
      <w:pict w14:anchorId="1C1E14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37952" o:spid="_x0000_s2050" type="#_x0000_t136" alt="" style="position:absolute;margin-left:0;margin-top:0;width:509.6pt;height:169.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MINUT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25F42" w14:textId="264F87BA" w:rsidR="00DA4C02" w:rsidRDefault="00054685">
    <w:pPr>
      <w:pStyle w:val="Cabealho"/>
    </w:pPr>
    <w:r>
      <w:rPr>
        <w:noProof/>
      </w:rPr>
      <w:pict w14:anchorId="5416BB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37950" o:spid="_x0000_s2049" type="#_x0000_t136" alt="" style="position:absolute;margin-left:0;margin-top:0;width:509.6pt;height:169.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MINU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D2457"/>
    <w:multiLevelType w:val="hybridMultilevel"/>
    <w:tmpl w:val="7DACAB04"/>
    <w:lvl w:ilvl="0" w:tplc="F2A2E2D4">
      <w:start w:val="1"/>
      <w:numFmt w:val="lowerRoman"/>
      <w:lvlText w:val="(%1) "/>
      <w:lvlJc w:val="left"/>
      <w:pPr>
        <w:tabs>
          <w:tab w:val="num" w:pos="1920"/>
        </w:tabs>
        <w:ind w:left="1920" w:hanging="360"/>
      </w:pPr>
      <w:rPr>
        <w:lang w:val="pt-P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01315110"/>
    <w:multiLevelType w:val="hybridMultilevel"/>
    <w:tmpl w:val="21B69E08"/>
    <w:lvl w:ilvl="0" w:tplc="413266AE">
      <w:start w:val="1"/>
      <w:numFmt w:val="decimal"/>
      <w:lvlText w:val="%1."/>
      <w:lvlJc w:val="left"/>
      <w:pPr>
        <w:ind w:left="847" w:hanging="548"/>
        <w:jc w:val="right"/>
      </w:pPr>
      <w:rPr>
        <w:rFonts w:ascii="Times New Roman" w:eastAsia="Times New Roman" w:hAnsi="Times New Roman" w:cs="Times New Roman" w:hint="default"/>
        <w:spacing w:val="0"/>
        <w:w w:val="99"/>
        <w:sz w:val="20"/>
        <w:szCs w:val="20"/>
        <w:lang w:val="en-US" w:eastAsia="en-US" w:bidi="en-US"/>
      </w:rPr>
    </w:lvl>
    <w:lvl w:ilvl="1" w:tplc="B5F05A26">
      <w:start w:val="1"/>
      <w:numFmt w:val="lowerLetter"/>
      <w:lvlText w:val="(%2)"/>
      <w:lvlJc w:val="left"/>
      <w:pPr>
        <w:ind w:left="1394" w:hanging="548"/>
        <w:jc w:val="right"/>
      </w:pPr>
      <w:rPr>
        <w:rFonts w:ascii="Times New Roman" w:eastAsia="Times New Roman" w:hAnsi="Times New Roman" w:cs="Times New Roman" w:hint="default"/>
        <w:w w:val="99"/>
        <w:sz w:val="20"/>
        <w:szCs w:val="20"/>
        <w:lang w:val="en-US" w:eastAsia="en-US" w:bidi="en-US"/>
      </w:rPr>
    </w:lvl>
    <w:lvl w:ilvl="2" w:tplc="E1564C74">
      <w:start w:val="1"/>
      <w:numFmt w:val="lowerRoman"/>
      <w:lvlText w:val="(%3)"/>
      <w:lvlJc w:val="left"/>
      <w:pPr>
        <w:ind w:left="2099" w:hanging="721"/>
      </w:pPr>
      <w:rPr>
        <w:rFonts w:ascii="Times New Roman" w:eastAsia="Times New Roman" w:hAnsi="Times New Roman" w:cs="Times New Roman" w:hint="default"/>
        <w:spacing w:val="-1"/>
        <w:w w:val="99"/>
        <w:sz w:val="20"/>
        <w:szCs w:val="20"/>
        <w:lang w:val="en-US" w:eastAsia="en-US" w:bidi="en-US"/>
      </w:rPr>
    </w:lvl>
    <w:lvl w:ilvl="3" w:tplc="7BA4B4DC">
      <w:numFmt w:val="bullet"/>
      <w:lvlText w:val="•"/>
      <w:lvlJc w:val="left"/>
      <w:pPr>
        <w:ind w:left="1760" w:hanging="721"/>
      </w:pPr>
      <w:rPr>
        <w:rFonts w:hint="default"/>
        <w:lang w:val="en-US" w:eastAsia="en-US" w:bidi="en-US"/>
      </w:rPr>
    </w:lvl>
    <w:lvl w:ilvl="4" w:tplc="D6224EB6">
      <w:numFmt w:val="bullet"/>
      <w:lvlText w:val="•"/>
      <w:lvlJc w:val="left"/>
      <w:pPr>
        <w:ind w:left="1940" w:hanging="721"/>
      </w:pPr>
      <w:rPr>
        <w:rFonts w:hint="default"/>
        <w:lang w:val="en-US" w:eastAsia="en-US" w:bidi="en-US"/>
      </w:rPr>
    </w:lvl>
    <w:lvl w:ilvl="5" w:tplc="2A124520">
      <w:numFmt w:val="bullet"/>
      <w:lvlText w:val="•"/>
      <w:lvlJc w:val="left"/>
      <w:pPr>
        <w:ind w:left="2100" w:hanging="721"/>
      </w:pPr>
      <w:rPr>
        <w:rFonts w:hint="default"/>
        <w:lang w:val="en-US" w:eastAsia="en-US" w:bidi="en-US"/>
      </w:rPr>
    </w:lvl>
    <w:lvl w:ilvl="6" w:tplc="6EC28E9E">
      <w:numFmt w:val="bullet"/>
      <w:lvlText w:val="•"/>
      <w:lvlJc w:val="left"/>
      <w:pPr>
        <w:ind w:left="2300" w:hanging="721"/>
      </w:pPr>
      <w:rPr>
        <w:rFonts w:hint="default"/>
        <w:lang w:val="en-US" w:eastAsia="en-US" w:bidi="en-US"/>
      </w:rPr>
    </w:lvl>
    <w:lvl w:ilvl="7" w:tplc="E018BD58">
      <w:numFmt w:val="bullet"/>
      <w:lvlText w:val="•"/>
      <w:lvlJc w:val="left"/>
      <w:pPr>
        <w:ind w:left="3780" w:hanging="721"/>
      </w:pPr>
      <w:rPr>
        <w:rFonts w:hint="default"/>
        <w:lang w:val="en-US" w:eastAsia="en-US" w:bidi="en-US"/>
      </w:rPr>
    </w:lvl>
    <w:lvl w:ilvl="8" w:tplc="663C640A">
      <w:numFmt w:val="bullet"/>
      <w:lvlText w:val="•"/>
      <w:lvlJc w:val="left"/>
      <w:pPr>
        <w:ind w:left="5260" w:hanging="721"/>
      </w:pPr>
      <w:rPr>
        <w:rFonts w:hint="default"/>
        <w:lang w:val="en-US" w:eastAsia="en-US" w:bidi="en-US"/>
      </w:rPr>
    </w:lvl>
  </w:abstractNum>
  <w:abstractNum w:abstractNumId="2" w15:restartNumberingAfterBreak="0">
    <w:nsid w:val="02A46EB1"/>
    <w:multiLevelType w:val="hybridMultilevel"/>
    <w:tmpl w:val="2F3C85E6"/>
    <w:lvl w:ilvl="0" w:tplc="6B0416BA">
      <w:start w:val="9"/>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076F60A1"/>
    <w:multiLevelType w:val="hybridMultilevel"/>
    <w:tmpl w:val="6DC8FC8C"/>
    <w:lvl w:ilvl="0" w:tplc="862E2C22">
      <w:start w:val="1"/>
      <w:numFmt w:val="lowerLetter"/>
      <w:lvlText w:val="(%1)"/>
      <w:lvlJc w:val="left"/>
      <w:pPr>
        <w:tabs>
          <w:tab w:val="num" w:pos="1070"/>
        </w:tabs>
        <w:ind w:left="1070" w:hanging="360"/>
      </w:pPr>
      <w:rPr>
        <w:b w:val="0"/>
        <w:i w:val="0"/>
      </w:rPr>
    </w:lvl>
    <w:lvl w:ilvl="1" w:tplc="23D03EEE">
      <w:numFmt w:val="bullet"/>
      <w:lvlText w:val="•"/>
      <w:lvlJc w:val="left"/>
      <w:pPr>
        <w:ind w:left="1815" w:hanging="735"/>
      </w:pPr>
      <w:rPr>
        <w:rFonts w:ascii="Times New Roman" w:eastAsia="Times New Roman" w:hAnsi="Times New Roman" w:cs="Times New Roman" w:hint="default"/>
        <w:color w:val="auto"/>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07D70368"/>
    <w:multiLevelType w:val="hybridMultilevel"/>
    <w:tmpl w:val="7DACAB04"/>
    <w:lvl w:ilvl="0" w:tplc="F2A2E2D4">
      <w:start w:val="1"/>
      <w:numFmt w:val="lowerRoman"/>
      <w:lvlText w:val="(%1) "/>
      <w:lvlJc w:val="left"/>
      <w:pPr>
        <w:tabs>
          <w:tab w:val="num" w:pos="1920"/>
        </w:tabs>
        <w:ind w:left="1920" w:hanging="360"/>
      </w:pPr>
      <w:rPr>
        <w:lang w:val="pt-P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08CC19A9"/>
    <w:multiLevelType w:val="hybridMultilevel"/>
    <w:tmpl w:val="6DC8FC8C"/>
    <w:lvl w:ilvl="0" w:tplc="862E2C22">
      <w:start w:val="1"/>
      <w:numFmt w:val="lowerLetter"/>
      <w:lvlText w:val="(%1)"/>
      <w:lvlJc w:val="left"/>
      <w:pPr>
        <w:tabs>
          <w:tab w:val="num" w:pos="1070"/>
        </w:tabs>
        <w:ind w:left="1070" w:hanging="360"/>
      </w:pPr>
      <w:rPr>
        <w:b w:val="0"/>
        <w:i w:val="0"/>
      </w:rPr>
    </w:lvl>
    <w:lvl w:ilvl="1" w:tplc="23D03EEE">
      <w:numFmt w:val="bullet"/>
      <w:lvlText w:val="•"/>
      <w:lvlJc w:val="left"/>
      <w:pPr>
        <w:ind w:left="1815" w:hanging="735"/>
      </w:pPr>
      <w:rPr>
        <w:rFonts w:ascii="Times New Roman" w:eastAsia="Times New Roman" w:hAnsi="Times New Roman" w:cs="Times New Roman" w:hint="default"/>
        <w:color w:val="auto"/>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10913B3E"/>
    <w:multiLevelType w:val="hybridMultilevel"/>
    <w:tmpl w:val="77824FFC"/>
    <w:lvl w:ilvl="0" w:tplc="EE002692">
      <w:start w:val="1"/>
      <w:numFmt w:val="lowerRoman"/>
      <w:lvlText w:val="(%1) "/>
      <w:lvlJc w:val="left"/>
      <w:pPr>
        <w:tabs>
          <w:tab w:val="num" w:pos="785"/>
        </w:tabs>
        <w:ind w:left="785" w:hanging="360"/>
      </w:pPr>
      <w:rPr>
        <w:lang w:val="pt-BR"/>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12DA5D30"/>
    <w:multiLevelType w:val="hybridMultilevel"/>
    <w:tmpl w:val="7DACAB04"/>
    <w:lvl w:ilvl="0" w:tplc="F2A2E2D4">
      <w:start w:val="1"/>
      <w:numFmt w:val="lowerRoman"/>
      <w:lvlText w:val="(%1) "/>
      <w:lvlJc w:val="left"/>
      <w:pPr>
        <w:tabs>
          <w:tab w:val="num" w:pos="1920"/>
        </w:tabs>
        <w:ind w:left="1920" w:hanging="360"/>
      </w:pPr>
      <w:rPr>
        <w:lang w:val="pt-P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144D05C2"/>
    <w:multiLevelType w:val="hybridMultilevel"/>
    <w:tmpl w:val="7DACAB04"/>
    <w:lvl w:ilvl="0" w:tplc="F2A2E2D4">
      <w:start w:val="1"/>
      <w:numFmt w:val="lowerRoman"/>
      <w:lvlText w:val="(%1) "/>
      <w:lvlJc w:val="left"/>
      <w:pPr>
        <w:tabs>
          <w:tab w:val="num" w:pos="1920"/>
        </w:tabs>
        <w:ind w:left="1920" w:hanging="360"/>
      </w:pPr>
      <w:rPr>
        <w:lang w:val="pt-P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5730DD8"/>
    <w:multiLevelType w:val="hybridMultilevel"/>
    <w:tmpl w:val="B134C97C"/>
    <w:lvl w:ilvl="0" w:tplc="7BA4B4DC">
      <w:numFmt w:val="bullet"/>
      <w:lvlText w:val="•"/>
      <w:lvlJc w:val="left"/>
      <w:pPr>
        <w:ind w:left="720" w:hanging="360"/>
      </w:pPr>
      <w:rPr>
        <w:rFonts w:hint="default"/>
        <w:lang w:val="en-US" w:eastAsia="en-US" w:bidi="en-U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6B375B3"/>
    <w:multiLevelType w:val="hybridMultilevel"/>
    <w:tmpl w:val="E7CABF0E"/>
    <w:lvl w:ilvl="0" w:tplc="723499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27614B"/>
    <w:multiLevelType w:val="hybridMultilevel"/>
    <w:tmpl w:val="260AA46A"/>
    <w:lvl w:ilvl="0" w:tplc="01F432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700380"/>
    <w:multiLevelType w:val="hybridMultilevel"/>
    <w:tmpl w:val="7DACAB04"/>
    <w:lvl w:ilvl="0" w:tplc="F2A2E2D4">
      <w:start w:val="1"/>
      <w:numFmt w:val="lowerRoman"/>
      <w:lvlText w:val="(%1) "/>
      <w:lvlJc w:val="left"/>
      <w:pPr>
        <w:tabs>
          <w:tab w:val="num" w:pos="1920"/>
        </w:tabs>
        <w:ind w:left="1920" w:hanging="360"/>
      </w:pPr>
      <w:rPr>
        <w:lang w:val="pt-P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1C5E0A8A"/>
    <w:multiLevelType w:val="hybridMultilevel"/>
    <w:tmpl w:val="77824FFC"/>
    <w:lvl w:ilvl="0" w:tplc="EE002692">
      <w:start w:val="1"/>
      <w:numFmt w:val="lowerRoman"/>
      <w:lvlText w:val="(%1) "/>
      <w:lvlJc w:val="left"/>
      <w:pPr>
        <w:tabs>
          <w:tab w:val="num" w:pos="1920"/>
        </w:tabs>
        <w:ind w:left="1920" w:hanging="360"/>
      </w:pPr>
      <w:rPr>
        <w:lang w:val="pt-BR"/>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15:restartNumberingAfterBreak="0">
    <w:nsid w:val="216729DF"/>
    <w:multiLevelType w:val="hybridMultilevel"/>
    <w:tmpl w:val="45FC4934"/>
    <w:lvl w:ilvl="0" w:tplc="1ED4F700">
      <w:start w:val="9"/>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21A313D7"/>
    <w:multiLevelType w:val="hybridMultilevel"/>
    <w:tmpl w:val="6DC8FC8C"/>
    <w:lvl w:ilvl="0" w:tplc="862E2C22">
      <w:start w:val="1"/>
      <w:numFmt w:val="lowerLetter"/>
      <w:lvlText w:val="(%1)"/>
      <w:lvlJc w:val="left"/>
      <w:pPr>
        <w:tabs>
          <w:tab w:val="num" w:pos="1070"/>
        </w:tabs>
        <w:ind w:left="1070" w:hanging="360"/>
      </w:pPr>
      <w:rPr>
        <w:b w:val="0"/>
        <w:i w:val="0"/>
      </w:rPr>
    </w:lvl>
    <w:lvl w:ilvl="1" w:tplc="23D03EEE">
      <w:numFmt w:val="bullet"/>
      <w:lvlText w:val="•"/>
      <w:lvlJc w:val="left"/>
      <w:pPr>
        <w:ind w:left="1815" w:hanging="735"/>
      </w:pPr>
      <w:rPr>
        <w:rFonts w:ascii="Times New Roman" w:eastAsia="Times New Roman" w:hAnsi="Times New Roman" w:cs="Times New Roman" w:hint="default"/>
        <w:color w:val="auto"/>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15:restartNumberingAfterBreak="0">
    <w:nsid w:val="21AE3876"/>
    <w:multiLevelType w:val="hybridMultilevel"/>
    <w:tmpl w:val="CA629018"/>
    <w:lvl w:ilvl="0" w:tplc="7D1645A2">
      <w:start w:val="1"/>
      <w:numFmt w:val="low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7" w15:restartNumberingAfterBreak="0">
    <w:nsid w:val="24C710DD"/>
    <w:multiLevelType w:val="hybridMultilevel"/>
    <w:tmpl w:val="3E56BC32"/>
    <w:lvl w:ilvl="0" w:tplc="7D00CBAE">
      <w:start w:val="1"/>
      <w:numFmt w:val="lowerLetter"/>
      <w:lvlText w:val="(%1)"/>
      <w:lvlJc w:val="left"/>
      <w:pPr>
        <w:ind w:left="1754" w:hanging="548"/>
      </w:pPr>
      <w:rPr>
        <w:rFonts w:ascii="Times New Roman" w:eastAsia="Times New Roman" w:hAnsi="Times New Roman" w:cs="Times New Roman" w:hint="default"/>
        <w:w w:val="99"/>
        <w:sz w:val="20"/>
        <w:szCs w:val="20"/>
        <w:lang w:val="en-US" w:eastAsia="en-US" w:bidi="en-US"/>
      </w:rPr>
    </w:lvl>
    <w:lvl w:ilvl="1" w:tplc="7150A776">
      <w:start w:val="1"/>
      <w:numFmt w:val="lowerRoman"/>
      <w:lvlText w:val="(%2)"/>
      <w:lvlJc w:val="left"/>
      <w:pPr>
        <w:ind w:left="2301" w:hanging="548"/>
      </w:pPr>
      <w:rPr>
        <w:rFonts w:ascii="Times New Roman" w:eastAsia="Times New Roman" w:hAnsi="Times New Roman" w:cs="Times New Roman" w:hint="default"/>
        <w:spacing w:val="-1"/>
        <w:w w:val="99"/>
        <w:sz w:val="20"/>
        <w:szCs w:val="20"/>
        <w:lang w:val="en-US" w:eastAsia="en-US" w:bidi="en-US"/>
      </w:rPr>
    </w:lvl>
    <w:lvl w:ilvl="2" w:tplc="C2C0FAFA">
      <w:numFmt w:val="bullet"/>
      <w:lvlText w:val="•"/>
      <w:lvlJc w:val="left"/>
      <w:pPr>
        <w:ind w:left="2957" w:hanging="548"/>
      </w:pPr>
      <w:rPr>
        <w:rFonts w:hint="default"/>
        <w:lang w:val="en-US" w:eastAsia="en-US" w:bidi="en-US"/>
      </w:rPr>
    </w:lvl>
    <w:lvl w:ilvl="3" w:tplc="D706C108">
      <w:numFmt w:val="bullet"/>
      <w:lvlText w:val="•"/>
      <w:lvlJc w:val="left"/>
      <w:pPr>
        <w:ind w:left="3615" w:hanging="548"/>
      </w:pPr>
      <w:rPr>
        <w:rFonts w:hint="default"/>
        <w:lang w:val="en-US" w:eastAsia="en-US" w:bidi="en-US"/>
      </w:rPr>
    </w:lvl>
    <w:lvl w:ilvl="4" w:tplc="099627C0">
      <w:numFmt w:val="bullet"/>
      <w:lvlText w:val="•"/>
      <w:lvlJc w:val="left"/>
      <w:pPr>
        <w:ind w:left="4273" w:hanging="548"/>
      </w:pPr>
      <w:rPr>
        <w:rFonts w:hint="default"/>
        <w:lang w:val="en-US" w:eastAsia="en-US" w:bidi="en-US"/>
      </w:rPr>
    </w:lvl>
    <w:lvl w:ilvl="5" w:tplc="4EDA6CD8">
      <w:numFmt w:val="bullet"/>
      <w:lvlText w:val="•"/>
      <w:lvlJc w:val="left"/>
      <w:pPr>
        <w:ind w:left="4931" w:hanging="548"/>
      </w:pPr>
      <w:rPr>
        <w:rFonts w:hint="default"/>
        <w:lang w:val="en-US" w:eastAsia="en-US" w:bidi="en-US"/>
      </w:rPr>
    </w:lvl>
    <w:lvl w:ilvl="6" w:tplc="353CC1B8">
      <w:numFmt w:val="bullet"/>
      <w:lvlText w:val="•"/>
      <w:lvlJc w:val="left"/>
      <w:pPr>
        <w:ind w:left="5588" w:hanging="548"/>
      </w:pPr>
      <w:rPr>
        <w:rFonts w:hint="default"/>
        <w:lang w:val="en-US" w:eastAsia="en-US" w:bidi="en-US"/>
      </w:rPr>
    </w:lvl>
    <w:lvl w:ilvl="7" w:tplc="40DA7FB8">
      <w:numFmt w:val="bullet"/>
      <w:lvlText w:val="•"/>
      <w:lvlJc w:val="left"/>
      <w:pPr>
        <w:ind w:left="6246" w:hanging="548"/>
      </w:pPr>
      <w:rPr>
        <w:rFonts w:hint="default"/>
        <w:lang w:val="en-US" w:eastAsia="en-US" w:bidi="en-US"/>
      </w:rPr>
    </w:lvl>
    <w:lvl w:ilvl="8" w:tplc="503A4BC0">
      <w:numFmt w:val="bullet"/>
      <w:lvlText w:val="•"/>
      <w:lvlJc w:val="left"/>
      <w:pPr>
        <w:ind w:left="6904" w:hanging="548"/>
      </w:pPr>
      <w:rPr>
        <w:rFonts w:hint="default"/>
        <w:lang w:val="en-US" w:eastAsia="en-US" w:bidi="en-US"/>
      </w:rPr>
    </w:lvl>
  </w:abstractNum>
  <w:abstractNum w:abstractNumId="18" w15:restartNumberingAfterBreak="0">
    <w:nsid w:val="26C639A2"/>
    <w:multiLevelType w:val="hybridMultilevel"/>
    <w:tmpl w:val="48B24A3A"/>
    <w:lvl w:ilvl="0" w:tplc="A3162A0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6D574F0"/>
    <w:multiLevelType w:val="hybridMultilevel"/>
    <w:tmpl w:val="3350138E"/>
    <w:lvl w:ilvl="0" w:tplc="7F541F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B982C1B"/>
    <w:multiLevelType w:val="hybridMultilevel"/>
    <w:tmpl w:val="21B69E08"/>
    <w:lvl w:ilvl="0" w:tplc="413266AE">
      <w:start w:val="1"/>
      <w:numFmt w:val="decimal"/>
      <w:lvlText w:val="%1."/>
      <w:lvlJc w:val="left"/>
      <w:pPr>
        <w:ind w:left="847" w:hanging="548"/>
        <w:jc w:val="right"/>
      </w:pPr>
      <w:rPr>
        <w:rFonts w:ascii="Times New Roman" w:eastAsia="Times New Roman" w:hAnsi="Times New Roman" w:cs="Times New Roman" w:hint="default"/>
        <w:spacing w:val="0"/>
        <w:w w:val="99"/>
        <w:sz w:val="20"/>
        <w:szCs w:val="20"/>
        <w:lang w:val="en-US" w:eastAsia="en-US" w:bidi="en-US"/>
      </w:rPr>
    </w:lvl>
    <w:lvl w:ilvl="1" w:tplc="B5F05A26">
      <w:start w:val="1"/>
      <w:numFmt w:val="lowerLetter"/>
      <w:lvlText w:val="(%2)"/>
      <w:lvlJc w:val="left"/>
      <w:pPr>
        <w:ind w:left="1394" w:hanging="548"/>
        <w:jc w:val="right"/>
      </w:pPr>
      <w:rPr>
        <w:rFonts w:ascii="Times New Roman" w:eastAsia="Times New Roman" w:hAnsi="Times New Roman" w:cs="Times New Roman" w:hint="default"/>
        <w:w w:val="99"/>
        <w:sz w:val="20"/>
        <w:szCs w:val="20"/>
        <w:lang w:val="en-US" w:eastAsia="en-US" w:bidi="en-US"/>
      </w:rPr>
    </w:lvl>
    <w:lvl w:ilvl="2" w:tplc="E1564C74">
      <w:start w:val="1"/>
      <w:numFmt w:val="lowerRoman"/>
      <w:lvlText w:val="(%3)"/>
      <w:lvlJc w:val="left"/>
      <w:pPr>
        <w:ind w:left="2099" w:hanging="721"/>
      </w:pPr>
      <w:rPr>
        <w:rFonts w:ascii="Times New Roman" w:eastAsia="Times New Roman" w:hAnsi="Times New Roman" w:cs="Times New Roman" w:hint="default"/>
        <w:spacing w:val="-1"/>
        <w:w w:val="99"/>
        <w:sz w:val="20"/>
        <w:szCs w:val="20"/>
        <w:lang w:val="en-US" w:eastAsia="en-US" w:bidi="en-US"/>
      </w:rPr>
    </w:lvl>
    <w:lvl w:ilvl="3" w:tplc="7BA4B4DC">
      <w:numFmt w:val="bullet"/>
      <w:lvlText w:val="•"/>
      <w:lvlJc w:val="left"/>
      <w:pPr>
        <w:ind w:left="1760" w:hanging="721"/>
      </w:pPr>
      <w:rPr>
        <w:rFonts w:hint="default"/>
        <w:lang w:val="en-US" w:eastAsia="en-US" w:bidi="en-US"/>
      </w:rPr>
    </w:lvl>
    <w:lvl w:ilvl="4" w:tplc="D6224EB6">
      <w:numFmt w:val="bullet"/>
      <w:lvlText w:val="•"/>
      <w:lvlJc w:val="left"/>
      <w:pPr>
        <w:ind w:left="1940" w:hanging="721"/>
      </w:pPr>
      <w:rPr>
        <w:rFonts w:hint="default"/>
        <w:lang w:val="en-US" w:eastAsia="en-US" w:bidi="en-US"/>
      </w:rPr>
    </w:lvl>
    <w:lvl w:ilvl="5" w:tplc="2A124520">
      <w:numFmt w:val="bullet"/>
      <w:lvlText w:val="•"/>
      <w:lvlJc w:val="left"/>
      <w:pPr>
        <w:ind w:left="2100" w:hanging="721"/>
      </w:pPr>
      <w:rPr>
        <w:rFonts w:hint="default"/>
        <w:lang w:val="en-US" w:eastAsia="en-US" w:bidi="en-US"/>
      </w:rPr>
    </w:lvl>
    <w:lvl w:ilvl="6" w:tplc="6EC28E9E">
      <w:numFmt w:val="bullet"/>
      <w:lvlText w:val="•"/>
      <w:lvlJc w:val="left"/>
      <w:pPr>
        <w:ind w:left="2300" w:hanging="721"/>
      </w:pPr>
      <w:rPr>
        <w:rFonts w:hint="default"/>
        <w:lang w:val="en-US" w:eastAsia="en-US" w:bidi="en-US"/>
      </w:rPr>
    </w:lvl>
    <w:lvl w:ilvl="7" w:tplc="E018BD58">
      <w:numFmt w:val="bullet"/>
      <w:lvlText w:val="•"/>
      <w:lvlJc w:val="left"/>
      <w:pPr>
        <w:ind w:left="3780" w:hanging="721"/>
      </w:pPr>
      <w:rPr>
        <w:rFonts w:hint="default"/>
        <w:lang w:val="en-US" w:eastAsia="en-US" w:bidi="en-US"/>
      </w:rPr>
    </w:lvl>
    <w:lvl w:ilvl="8" w:tplc="663C640A">
      <w:numFmt w:val="bullet"/>
      <w:lvlText w:val="•"/>
      <w:lvlJc w:val="left"/>
      <w:pPr>
        <w:ind w:left="5260" w:hanging="721"/>
      </w:pPr>
      <w:rPr>
        <w:rFonts w:hint="default"/>
        <w:lang w:val="en-US" w:eastAsia="en-US" w:bidi="en-US"/>
      </w:rPr>
    </w:lvl>
  </w:abstractNum>
  <w:abstractNum w:abstractNumId="21" w15:restartNumberingAfterBreak="0">
    <w:nsid w:val="2DAE260E"/>
    <w:multiLevelType w:val="hybridMultilevel"/>
    <w:tmpl w:val="7DACAB04"/>
    <w:lvl w:ilvl="0" w:tplc="F2A2E2D4">
      <w:start w:val="1"/>
      <w:numFmt w:val="lowerRoman"/>
      <w:lvlText w:val="(%1) "/>
      <w:lvlJc w:val="left"/>
      <w:pPr>
        <w:tabs>
          <w:tab w:val="num" w:pos="1920"/>
        </w:tabs>
        <w:ind w:left="1920" w:hanging="360"/>
      </w:pPr>
      <w:rPr>
        <w:rFonts w:hint="default"/>
        <w:lang w:val="pt-P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FB613BC"/>
    <w:multiLevelType w:val="hybridMultilevel"/>
    <w:tmpl w:val="CBEE14E0"/>
    <w:lvl w:ilvl="0" w:tplc="AF6A29C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3627103"/>
    <w:multiLevelType w:val="hybridMultilevel"/>
    <w:tmpl w:val="CCD6E278"/>
    <w:lvl w:ilvl="0" w:tplc="223E1B12">
      <w:start w:val="1"/>
      <w:numFmt w:val="low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4" w15:restartNumberingAfterBreak="0">
    <w:nsid w:val="337A7DCD"/>
    <w:multiLevelType w:val="hybridMultilevel"/>
    <w:tmpl w:val="7898EE10"/>
    <w:lvl w:ilvl="0" w:tplc="4AB43A3C">
      <w:start w:val="9"/>
      <w:numFmt w:val="lowerLetter"/>
      <w:lvlText w:val="(%1)"/>
      <w:lvlJc w:val="left"/>
      <w:pPr>
        <w:ind w:left="1790" w:hanging="360"/>
      </w:pPr>
      <w:rPr>
        <w:rFonts w:hint="default"/>
      </w:rPr>
    </w:lvl>
    <w:lvl w:ilvl="1" w:tplc="04160019">
      <w:start w:val="1"/>
      <w:numFmt w:val="lowerLetter"/>
      <w:lvlText w:val="%2."/>
      <w:lvlJc w:val="left"/>
      <w:pPr>
        <w:ind w:left="2510" w:hanging="360"/>
      </w:pPr>
    </w:lvl>
    <w:lvl w:ilvl="2" w:tplc="0416001B" w:tentative="1">
      <w:start w:val="1"/>
      <w:numFmt w:val="lowerRoman"/>
      <w:lvlText w:val="%3."/>
      <w:lvlJc w:val="right"/>
      <w:pPr>
        <w:ind w:left="3230" w:hanging="180"/>
      </w:pPr>
    </w:lvl>
    <w:lvl w:ilvl="3" w:tplc="0416000F" w:tentative="1">
      <w:start w:val="1"/>
      <w:numFmt w:val="decimal"/>
      <w:lvlText w:val="%4."/>
      <w:lvlJc w:val="left"/>
      <w:pPr>
        <w:ind w:left="3950" w:hanging="360"/>
      </w:pPr>
    </w:lvl>
    <w:lvl w:ilvl="4" w:tplc="04160019" w:tentative="1">
      <w:start w:val="1"/>
      <w:numFmt w:val="lowerLetter"/>
      <w:lvlText w:val="%5."/>
      <w:lvlJc w:val="left"/>
      <w:pPr>
        <w:ind w:left="4670" w:hanging="360"/>
      </w:pPr>
    </w:lvl>
    <w:lvl w:ilvl="5" w:tplc="0416001B" w:tentative="1">
      <w:start w:val="1"/>
      <w:numFmt w:val="lowerRoman"/>
      <w:lvlText w:val="%6."/>
      <w:lvlJc w:val="right"/>
      <w:pPr>
        <w:ind w:left="5390" w:hanging="180"/>
      </w:pPr>
    </w:lvl>
    <w:lvl w:ilvl="6" w:tplc="0416000F" w:tentative="1">
      <w:start w:val="1"/>
      <w:numFmt w:val="decimal"/>
      <w:lvlText w:val="%7."/>
      <w:lvlJc w:val="left"/>
      <w:pPr>
        <w:ind w:left="6110" w:hanging="360"/>
      </w:pPr>
    </w:lvl>
    <w:lvl w:ilvl="7" w:tplc="04160019" w:tentative="1">
      <w:start w:val="1"/>
      <w:numFmt w:val="lowerLetter"/>
      <w:lvlText w:val="%8."/>
      <w:lvlJc w:val="left"/>
      <w:pPr>
        <w:ind w:left="6830" w:hanging="360"/>
      </w:pPr>
    </w:lvl>
    <w:lvl w:ilvl="8" w:tplc="0416001B" w:tentative="1">
      <w:start w:val="1"/>
      <w:numFmt w:val="lowerRoman"/>
      <w:lvlText w:val="%9."/>
      <w:lvlJc w:val="right"/>
      <w:pPr>
        <w:ind w:left="7550" w:hanging="180"/>
      </w:pPr>
    </w:lvl>
  </w:abstractNum>
  <w:abstractNum w:abstractNumId="25" w15:restartNumberingAfterBreak="0">
    <w:nsid w:val="34A00957"/>
    <w:multiLevelType w:val="hybridMultilevel"/>
    <w:tmpl w:val="7DACAB04"/>
    <w:lvl w:ilvl="0" w:tplc="F2A2E2D4">
      <w:start w:val="1"/>
      <w:numFmt w:val="lowerRoman"/>
      <w:lvlText w:val="(%1) "/>
      <w:lvlJc w:val="left"/>
      <w:pPr>
        <w:tabs>
          <w:tab w:val="num" w:pos="1920"/>
        </w:tabs>
        <w:ind w:left="1920" w:hanging="360"/>
      </w:pPr>
      <w:rPr>
        <w:lang w:val="pt-P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3A284E03"/>
    <w:multiLevelType w:val="hybridMultilevel"/>
    <w:tmpl w:val="1D0E1D14"/>
    <w:lvl w:ilvl="0" w:tplc="3D1496DC">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3B5742E4"/>
    <w:multiLevelType w:val="hybridMultilevel"/>
    <w:tmpl w:val="3F52BA2E"/>
    <w:lvl w:ilvl="0" w:tplc="FE42F49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C332A7A"/>
    <w:multiLevelType w:val="hybridMultilevel"/>
    <w:tmpl w:val="FB9E68AA"/>
    <w:lvl w:ilvl="0" w:tplc="13F63D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D8565D9"/>
    <w:multiLevelType w:val="hybridMultilevel"/>
    <w:tmpl w:val="6DC8FC8C"/>
    <w:lvl w:ilvl="0" w:tplc="862E2C22">
      <w:start w:val="1"/>
      <w:numFmt w:val="lowerLetter"/>
      <w:lvlText w:val="(%1)"/>
      <w:lvlJc w:val="left"/>
      <w:pPr>
        <w:tabs>
          <w:tab w:val="num" w:pos="928"/>
        </w:tabs>
        <w:ind w:left="928" w:hanging="360"/>
      </w:pPr>
      <w:rPr>
        <w:b w:val="0"/>
        <w:i w:val="0"/>
      </w:rPr>
    </w:lvl>
    <w:lvl w:ilvl="1" w:tplc="23D03EEE">
      <w:numFmt w:val="bullet"/>
      <w:lvlText w:val="•"/>
      <w:lvlJc w:val="left"/>
      <w:pPr>
        <w:ind w:left="1673" w:hanging="735"/>
      </w:pPr>
      <w:rPr>
        <w:rFonts w:ascii="Times New Roman" w:eastAsia="Times New Roman" w:hAnsi="Times New Roman" w:cs="Times New Roman" w:hint="default"/>
        <w:color w:val="auto"/>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15:restartNumberingAfterBreak="0">
    <w:nsid w:val="3FBC5201"/>
    <w:multiLevelType w:val="hybridMultilevel"/>
    <w:tmpl w:val="6FDA730C"/>
    <w:lvl w:ilvl="0" w:tplc="2A3A52AE">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1" w15:restartNumberingAfterBreak="0">
    <w:nsid w:val="4188519C"/>
    <w:multiLevelType w:val="hybridMultilevel"/>
    <w:tmpl w:val="8E3ABF7A"/>
    <w:lvl w:ilvl="0" w:tplc="39B2CC6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21F557B"/>
    <w:multiLevelType w:val="hybridMultilevel"/>
    <w:tmpl w:val="6DC8FC8C"/>
    <w:lvl w:ilvl="0" w:tplc="862E2C22">
      <w:start w:val="1"/>
      <w:numFmt w:val="lowerLetter"/>
      <w:lvlText w:val="(%1)"/>
      <w:lvlJc w:val="left"/>
      <w:pPr>
        <w:tabs>
          <w:tab w:val="num" w:pos="1070"/>
        </w:tabs>
        <w:ind w:left="1070" w:hanging="360"/>
      </w:pPr>
      <w:rPr>
        <w:b w:val="0"/>
        <w:i w:val="0"/>
      </w:rPr>
    </w:lvl>
    <w:lvl w:ilvl="1" w:tplc="23D03EEE">
      <w:numFmt w:val="bullet"/>
      <w:lvlText w:val="•"/>
      <w:lvlJc w:val="left"/>
      <w:pPr>
        <w:ind w:left="1815" w:hanging="735"/>
      </w:pPr>
      <w:rPr>
        <w:rFonts w:ascii="Times New Roman" w:eastAsia="Times New Roman" w:hAnsi="Times New Roman" w:cs="Times New Roman" w:hint="default"/>
        <w:color w:val="auto"/>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2236A06"/>
    <w:multiLevelType w:val="hybridMultilevel"/>
    <w:tmpl w:val="D8248D7E"/>
    <w:lvl w:ilvl="0" w:tplc="E114780C">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15:restartNumberingAfterBreak="0">
    <w:nsid w:val="43961F36"/>
    <w:multiLevelType w:val="hybridMultilevel"/>
    <w:tmpl w:val="21B69E08"/>
    <w:lvl w:ilvl="0" w:tplc="413266AE">
      <w:start w:val="1"/>
      <w:numFmt w:val="decimal"/>
      <w:lvlText w:val="%1."/>
      <w:lvlJc w:val="left"/>
      <w:pPr>
        <w:ind w:left="847" w:hanging="548"/>
        <w:jc w:val="right"/>
      </w:pPr>
      <w:rPr>
        <w:rFonts w:ascii="Times New Roman" w:eastAsia="Times New Roman" w:hAnsi="Times New Roman" w:cs="Times New Roman" w:hint="default"/>
        <w:spacing w:val="0"/>
        <w:w w:val="99"/>
        <w:sz w:val="20"/>
        <w:szCs w:val="20"/>
        <w:lang w:val="en-US" w:eastAsia="en-US" w:bidi="en-US"/>
      </w:rPr>
    </w:lvl>
    <w:lvl w:ilvl="1" w:tplc="B5F05A26">
      <w:start w:val="1"/>
      <w:numFmt w:val="lowerLetter"/>
      <w:lvlText w:val="(%2)"/>
      <w:lvlJc w:val="left"/>
      <w:pPr>
        <w:ind w:left="1394" w:hanging="548"/>
        <w:jc w:val="right"/>
      </w:pPr>
      <w:rPr>
        <w:rFonts w:ascii="Times New Roman" w:eastAsia="Times New Roman" w:hAnsi="Times New Roman" w:cs="Times New Roman" w:hint="default"/>
        <w:w w:val="99"/>
        <w:sz w:val="20"/>
        <w:szCs w:val="20"/>
        <w:lang w:val="en-US" w:eastAsia="en-US" w:bidi="en-US"/>
      </w:rPr>
    </w:lvl>
    <w:lvl w:ilvl="2" w:tplc="E1564C74">
      <w:start w:val="1"/>
      <w:numFmt w:val="lowerRoman"/>
      <w:lvlText w:val="(%3)"/>
      <w:lvlJc w:val="left"/>
      <w:pPr>
        <w:ind w:left="2099" w:hanging="721"/>
      </w:pPr>
      <w:rPr>
        <w:rFonts w:ascii="Times New Roman" w:eastAsia="Times New Roman" w:hAnsi="Times New Roman" w:cs="Times New Roman" w:hint="default"/>
        <w:spacing w:val="-1"/>
        <w:w w:val="99"/>
        <w:sz w:val="20"/>
        <w:szCs w:val="20"/>
        <w:lang w:val="en-US" w:eastAsia="en-US" w:bidi="en-US"/>
      </w:rPr>
    </w:lvl>
    <w:lvl w:ilvl="3" w:tplc="7BA4B4DC">
      <w:numFmt w:val="bullet"/>
      <w:lvlText w:val="•"/>
      <w:lvlJc w:val="left"/>
      <w:pPr>
        <w:ind w:left="1760" w:hanging="721"/>
      </w:pPr>
      <w:rPr>
        <w:rFonts w:hint="default"/>
        <w:lang w:val="en-US" w:eastAsia="en-US" w:bidi="en-US"/>
      </w:rPr>
    </w:lvl>
    <w:lvl w:ilvl="4" w:tplc="D6224EB6">
      <w:numFmt w:val="bullet"/>
      <w:lvlText w:val="•"/>
      <w:lvlJc w:val="left"/>
      <w:pPr>
        <w:ind w:left="1940" w:hanging="721"/>
      </w:pPr>
      <w:rPr>
        <w:rFonts w:hint="default"/>
        <w:lang w:val="en-US" w:eastAsia="en-US" w:bidi="en-US"/>
      </w:rPr>
    </w:lvl>
    <w:lvl w:ilvl="5" w:tplc="2A124520">
      <w:numFmt w:val="bullet"/>
      <w:lvlText w:val="•"/>
      <w:lvlJc w:val="left"/>
      <w:pPr>
        <w:ind w:left="2100" w:hanging="721"/>
      </w:pPr>
      <w:rPr>
        <w:rFonts w:hint="default"/>
        <w:lang w:val="en-US" w:eastAsia="en-US" w:bidi="en-US"/>
      </w:rPr>
    </w:lvl>
    <w:lvl w:ilvl="6" w:tplc="6EC28E9E">
      <w:numFmt w:val="bullet"/>
      <w:lvlText w:val="•"/>
      <w:lvlJc w:val="left"/>
      <w:pPr>
        <w:ind w:left="2300" w:hanging="721"/>
      </w:pPr>
      <w:rPr>
        <w:rFonts w:hint="default"/>
        <w:lang w:val="en-US" w:eastAsia="en-US" w:bidi="en-US"/>
      </w:rPr>
    </w:lvl>
    <w:lvl w:ilvl="7" w:tplc="E018BD58">
      <w:numFmt w:val="bullet"/>
      <w:lvlText w:val="•"/>
      <w:lvlJc w:val="left"/>
      <w:pPr>
        <w:ind w:left="3780" w:hanging="721"/>
      </w:pPr>
      <w:rPr>
        <w:rFonts w:hint="default"/>
        <w:lang w:val="en-US" w:eastAsia="en-US" w:bidi="en-US"/>
      </w:rPr>
    </w:lvl>
    <w:lvl w:ilvl="8" w:tplc="663C640A">
      <w:numFmt w:val="bullet"/>
      <w:lvlText w:val="•"/>
      <w:lvlJc w:val="left"/>
      <w:pPr>
        <w:ind w:left="5260" w:hanging="721"/>
      </w:pPr>
      <w:rPr>
        <w:rFonts w:hint="default"/>
        <w:lang w:val="en-US" w:eastAsia="en-US" w:bidi="en-US"/>
      </w:rPr>
    </w:lvl>
  </w:abstractNum>
  <w:abstractNum w:abstractNumId="35" w15:restartNumberingAfterBreak="0">
    <w:nsid w:val="47042587"/>
    <w:multiLevelType w:val="hybridMultilevel"/>
    <w:tmpl w:val="EC8A0232"/>
    <w:lvl w:ilvl="0" w:tplc="8654D600">
      <w:numFmt w:val="bullet"/>
      <w:lvlText w:val=""/>
      <w:lvlJc w:val="left"/>
      <w:pPr>
        <w:ind w:left="1394" w:hanging="548"/>
      </w:pPr>
      <w:rPr>
        <w:rFonts w:ascii="Symbol" w:eastAsia="Symbol" w:hAnsi="Symbol" w:cs="Symbol" w:hint="default"/>
        <w:w w:val="99"/>
        <w:sz w:val="20"/>
        <w:szCs w:val="20"/>
        <w:lang w:val="en-US" w:eastAsia="en-US" w:bidi="en-US"/>
      </w:rPr>
    </w:lvl>
    <w:lvl w:ilvl="1" w:tplc="402A1614">
      <w:numFmt w:val="bullet"/>
      <w:lvlText w:val=""/>
      <w:lvlJc w:val="left"/>
      <w:pPr>
        <w:ind w:left="1754" w:hanging="548"/>
      </w:pPr>
      <w:rPr>
        <w:rFonts w:ascii="Symbol" w:eastAsia="Symbol" w:hAnsi="Symbol" w:cs="Symbol" w:hint="default"/>
        <w:w w:val="99"/>
        <w:sz w:val="20"/>
        <w:szCs w:val="20"/>
        <w:lang w:val="en-US" w:eastAsia="en-US" w:bidi="en-US"/>
      </w:rPr>
    </w:lvl>
    <w:lvl w:ilvl="2" w:tplc="5CF6CAF2">
      <w:numFmt w:val="bullet"/>
      <w:lvlText w:val="•"/>
      <w:lvlJc w:val="left"/>
      <w:pPr>
        <w:ind w:left="2477" w:hanging="548"/>
      </w:pPr>
      <w:rPr>
        <w:rFonts w:hint="default"/>
        <w:lang w:val="en-US" w:eastAsia="en-US" w:bidi="en-US"/>
      </w:rPr>
    </w:lvl>
    <w:lvl w:ilvl="3" w:tplc="42E01E2A">
      <w:numFmt w:val="bullet"/>
      <w:lvlText w:val="•"/>
      <w:lvlJc w:val="left"/>
      <w:pPr>
        <w:ind w:left="3195" w:hanging="548"/>
      </w:pPr>
      <w:rPr>
        <w:rFonts w:hint="default"/>
        <w:lang w:val="en-US" w:eastAsia="en-US" w:bidi="en-US"/>
      </w:rPr>
    </w:lvl>
    <w:lvl w:ilvl="4" w:tplc="89C2644E">
      <w:numFmt w:val="bullet"/>
      <w:lvlText w:val="•"/>
      <w:lvlJc w:val="left"/>
      <w:pPr>
        <w:ind w:left="3913" w:hanging="548"/>
      </w:pPr>
      <w:rPr>
        <w:rFonts w:hint="default"/>
        <w:lang w:val="en-US" w:eastAsia="en-US" w:bidi="en-US"/>
      </w:rPr>
    </w:lvl>
    <w:lvl w:ilvl="5" w:tplc="98C0A468">
      <w:numFmt w:val="bullet"/>
      <w:lvlText w:val="•"/>
      <w:lvlJc w:val="left"/>
      <w:pPr>
        <w:ind w:left="4631" w:hanging="548"/>
      </w:pPr>
      <w:rPr>
        <w:rFonts w:hint="default"/>
        <w:lang w:val="en-US" w:eastAsia="en-US" w:bidi="en-US"/>
      </w:rPr>
    </w:lvl>
    <w:lvl w:ilvl="6" w:tplc="98AEC7EE">
      <w:numFmt w:val="bullet"/>
      <w:lvlText w:val="•"/>
      <w:lvlJc w:val="left"/>
      <w:pPr>
        <w:ind w:left="5348" w:hanging="548"/>
      </w:pPr>
      <w:rPr>
        <w:rFonts w:hint="default"/>
        <w:lang w:val="en-US" w:eastAsia="en-US" w:bidi="en-US"/>
      </w:rPr>
    </w:lvl>
    <w:lvl w:ilvl="7" w:tplc="AB28B14A">
      <w:numFmt w:val="bullet"/>
      <w:lvlText w:val="•"/>
      <w:lvlJc w:val="left"/>
      <w:pPr>
        <w:ind w:left="6066" w:hanging="548"/>
      </w:pPr>
      <w:rPr>
        <w:rFonts w:hint="default"/>
        <w:lang w:val="en-US" w:eastAsia="en-US" w:bidi="en-US"/>
      </w:rPr>
    </w:lvl>
    <w:lvl w:ilvl="8" w:tplc="E0FA6F6A">
      <w:numFmt w:val="bullet"/>
      <w:lvlText w:val="•"/>
      <w:lvlJc w:val="left"/>
      <w:pPr>
        <w:ind w:left="6784" w:hanging="548"/>
      </w:pPr>
      <w:rPr>
        <w:rFonts w:hint="default"/>
        <w:lang w:val="en-US" w:eastAsia="en-US" w:bidi="en-US"/>
      </w:rPr>
    </w:lvl>
  </w:abstractNum>
  <w:abstractNum w:abstractNumId="36" w15:restartNumberingAfterBreak="0">
    <w:nsid w:val="490D3AAB"/>
    <w:multiLevelType w:val="hybridMultilevel"/>
    <w:tmpl w:val="A1BE9D48"/>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493F3337"/>
    <w:multiLevelType w:val="hybridMultilevel"/>
    <w:tmpl w:val="7DACAB04"/>
    <w:lvl w:ilvl="0" w:tplc="F2A2E2D4">
      <w:start w:val="1"/>
      <w:numFmt w:val="lowerRoman"/>
      <w:lvlText w:val="(%1) "/>
      <w:lvlJc w:val="left"/>
      <w:pPr>
        <w:tabs>
          <w:tab w:val="num" w:pos="1920"/>
        </w:tabs>
        <w:ind w:left="1920" w:hanging="360"/>
      </w:pPr>
      <w:rPr>
        <w:lang w:val="pt-P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4E611BF0"/>
    <w:multiLevelType w:val="hybridMultilevel"/>
    <w:tmpl w:val="6DC8FC8C"/>
    <w:lvl w:ilvl="0" w:tplc="862E2C22">
      <w:start w:val="1"/>
      <w:numFmt w:val="lowerLetter"/>
      <w:lvlText w:val="(%1)"/>
      <w:lvlJc w:val="left"/>
      <w:pPr>
        <w:tabs>
          <w:tab w:val="num" w:pos="1070"/>
        </w:tabs>
        <w:ind w:left="1070" w:hanging="360"/>
      </w:pPr>
      <w:rPr>
        <w:b w:val="0"/>
        <w:i w:val="0"/>
      </w:rPr>
    </w:lvl>
    <w:lvl w:ilvl="1" w:tplc="23D03EEE">
      <w:numFmt w:val="bullet"/>
      <w:lvlText w:val="•"/>
      <w:lvlJc w:val="left"/>
      <w:pPr>
        <w:ind w:left="1815" w:hanging="735"/>
      </w:pPr>
      <w:rPr>
        <w:rFonts w:ascii="Times New Roman" w:eastAsia="Times New Roman" w:hAnsi="Times New Roman" w:cs="Times New Roman" w:hint="default"/>
        <w:color w:val="auto"/>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518B13B4"/>
    <w:multiLevelType w:val="hybridMultilevel"/>
    <w:tmpl w:val="21B69E08"/>
    <w:lvl w:ilvl="0" w:tplc="413266AE">
      <w:start w:val="1"/>
      <w:numFmt w:val="decimal"/>
      <w:lvlText w:val="%1."/>
      <w:lvlJc w:val="left"/>
      <w:pPr>
        <w:ind w:left="847" w:hanging="548"/>
        <w:jc w:val="right"/>
      </w:pPr>
      <w:rPr>
        <w:rFonts w:ascii="Times New Roman" w:eastAsia="Times New Roman" w:hAnsi="Times New Roman" w:cs="Times New Roman" w:hint="default"/>
        <w:spacing w:val="0"/>
        <w:w w:val="99"/>
        <w:sz w:val="20"/>
        <w:szCs w:val="20"/>
        <w:lang w:val="en-US" w:eastAsia="en-US" w:bidi="en-US"/>
      </w:rPr>
    </w:lvl>
    <w:lvl w:ilvl="1" w:tplc="B5F05A26">
      <w:start w:val="1"/>
      <w:numFmt w:val="lowerLetter"/>
      <w:lvlText w:val="(%2)"/>
      <w:lvlJc w:val="left"/>
      <w:pPr>
        <w:ind w:left="1394" w:hanging="548"/>
        <w:jc w:val="right"/>
      </w:pPr>
      <w:rPr>
        <w:rFonts w:ascii="Times New Roman" w:eastAsia="Times New Roman" w:hAnsi="Times New Roman" w:cs="Times New Roman" w:hint="default"/>
        <w:w w:val="99"/>
        <w:sz w:val="20"/>
        <w:szCs w:val="20"/>
        <w:lang w:val="en-US" w:eastAsia="en-US" w:bidi="en-US"/>
      </w:rPr>
    </w:lvl>
    <w:lvl w:ilvl="2" w:tplc="E1564C74">
      <w:start w:val="1"/>
      <w:numFmt w:val="lowerRoman"/>
      <w:lvlText w:val="(%3)"/>
      <w:lvlJc w:val="left"/>
      <w:pPr>
        <w:ind w:left="2099" w:hanging="721"/>
      </w:pPr>
      <w:rPr>
        <w:rFonts w:ascii="Times New Roman" w:eastAsia="Times New Roman" w:hAnsi="Times New Roman" w:cs="Times New Roman" w:hint="default"/>
        <w:spacing w:val="-1"/>
        <w:w w:val="99"/>
        <w:sz w:val="20"/>
        <w:szCs w:val="20"/>
        <w:lang w:val="en-US" w:eastAsia="en-US" w:bidi="en-US"/>
      </w:rPr>
    </w:lvl>
    <w:lvl w:ilvl="3" w:tplc="7BA4B4DC">
      <w:numFmt w:val="bullet"/>
      <w:lvlText w:val="•"/>
      <w:lvlJc w:val="left"/>
      <w:pPr>
        <w:ind w:left="1760" w:hanging="721"/>
      </w:pPr>
      <w:rPr>
        <w:rFonts w:hint="default"/>
        <w:lang w:val="en-US" w:eastAsia="en-US" w:bidi="en-US"/>
      </w:rPr>
    </w:lvl>
    <w:lvl w:ilvl="4" w:tplc="D6224EB6">
      <w:numFmt w:val="bullet"/>
      <w:lvlText w:val="•"/>
      <w:lvlJc w:val="left"/>
      <w:pPr>
        <w:ind w:left="1940" w:hanging="721"/>
      </w:pPr>
      <w:rPr>
        <w:rFonts w:hint="default"/>
        <w:lang w:val="en-US" w:eastAsia="en-US" w:bidi="en-US"/>
      </w:rPr>
    </w:lvl>
    <w:lvl w:ilvl="5" w:tplc="2A124520">
      <w:numFmt w:val="bullet"/>
      <w:lvlText w:val="•"/>
      <w:lvlJc w:val="left"/>
      <w:pPr>
        <w:ind w:left="2100" w:hanging="721"/>
      </w:pPr>
      <w:rPr>
        <w:rFonts w:hint="default"/>
        <w:lang w:val="en-US" w:eastAsia="en-US" w:bidi="en-US"/>
      </w:rPr>
    </w:lvl>
    <w:lvl w:ilvl="6" w:tplc="6EC28E9E">
      <w:numFmt w:val="bullet"/>
      <w:lvlText w:val="•"/>
      <w:lvlJc w:val="left"/>
      <w:pPr>
        <w:ind w:left="2300" w:hanging="721"/>
      </w:pPr>
      <w:rPr>
        <w:rFonts w:hint="default"/>
        <w:lang w:val="en-US" w:eastAsia="en-US" w:bidi="en-US"/>
      </w:rPr>
    </w:lvl>
    <w:lvl w:ilvl="7" w:tplc="E018BD58">
      <w:numFmt w:val="bullet"/>
      <w:lvlText w:val="•"/>
      <w:lvlJc w:val="left"/>
      <w:pPr>
        <w:ind w:left="3780" w:hanging="721"/>
      </w:pPr>
      <w:rPr>
        <w:rFonts w:hint="default"/>
        <w:lang w:val="en-US" w:eastAsia="en-US" w:bidi="en-US"/>
      </w:rPr>
    </w:lvl>
    <w:lvl w:ilvl="8" w:tplc="663C640A">
      <w:numFmt w:val="bullet"/>
      <w:lvlText w:val="•"/>
      <w:lvlJc w:val="left"/>
      <w:pPr>
        <w:ind w:left="5260" w:hanging="721"/>
      </w:pPr>
      <w:rPr>
        <w:rFonts w:hint="default"/>
        <w:lang w:val="en-US" w:eastAsia="en-US" w:bidi="en-US"/>
      </w:rPr>
    </w:lvl>
  </w:abstractNum>
  <w:abstractNum w:abstractNumId="40" w15:restartNumberingAfterBreak="0">
    <w:nsid w:val="52206B68"/>
    <w:multiLevelType w:val="hybridMultilevel"/>
    <w:tmpl w:val="7B8AD304"/>
    <w:lvl w:ilvl="0" w:tplc="B5F05A26">
      <w:start w:val="1"/>
      <w:numFmt w:val="lowerLetter"/>
      <w:lvlText w:val="(%1)"/>
      <w:lvlJc w:val="left"/>
      <w:pPr>
        <w:ind w:left="1394" w:hanging="548"/>
        <w:jc w:val="right"/>
      </w:pPr>
      <w:rPr>
        <w:rFonts w:ascii="Times New Roman" w:eastAsia="Times New Roman" w:hAnsi="Times New Roman" w:cs="Times New Roman" w:hint="default"/>
        <w:w w:val="99"/>
        <w:sz w:val="20"/>
        <w:szCs w:val="20"/>
        <w:lang w:val="en-US" w:eastAsia="en-US" w:bidi="en-U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2416003"/>
    <w:multiLevelType w:val="hybridMultilevel"/>
    <w:tmpl w:val="620257EA"/>
    <w:lvl w:ilvl="0" w:tplc="862E2C22">
      <w:start w:val="1"/>
      <w:numFmt w:val="lowerLetter"/>
      <w:lvlText w:val="(%1)"/>
      <w:lvlJc w:val="left"/>
      <w:pPr>
        <w:tabs>
          <w:tab w:val="num" w:pos="360"/>
        </w:tabs>
        <w:ind w:left="360" w:hanging="360"/>
      </w:pPr>
      <w:rPr>
        <w:rFonts w:hint="default"/>
        <w:b w:val="0"/>
        <w:i w:val="0"/>
      </w:rPr>
    </w:lvl>
    <w:lvl w:ilvl="1" w:tplc="F2A2E2D4">
      <w:start w:val="1"/>
      <w:numFmt w:val="lowerRoman"/>
      <w:lvlText w:val="(%2) "/>
      <w:lvlJc w:val="left"/>
      <w:pPr>
        <w:tabs>
          <w:tab w:val="num" w:pos="1440"/>
        </w:tabs>
        <w:ind w:left="1440" w:hanging="360"/>
      </w:pPr>
      <w:rPr>
        <w:rFonts w:hint="default"/>
        <w:lang w:val="pt-P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3844370"/>
    <w:multiLevelType w:val="hybridMultilevel"/>
    <w:tmpl w:val="3650FC28"/>
    <w:lvl w:ilvl="0" w:tplc="C63EBA04">
      <w:start w:val="9"/>
      <w:numFmt w:val="lowerLetter"/>
      <w:lvlText w:val="(%1)"/>
      <w:lvlJc w:val="left"/>
      <w:pPr>
        <w:ind w:left="720" w:hanging="360"/>
      </w:pPr>
      <w:rPr>
        <w:rFonts w:hint="default"/>
        <w:color w:val="000000"/>
      </w:rPr>
    </w:lvl>
    <w:lvl w:ilvl="1" w:tplc="04160019">
      <w:start w:val="1"/>
      <w:numFmt w:val="lowerLetter"/>
      <w:lvlText w:val="%2."/>
      <w:lvlJc w:val="left"/>
      <w:pPr>
        <w:ind w:left="1440" w:hanging="360"/>
      </w:pPr>
    </w:lvl>
    <w:lvl w:ilvl="2" w:tplc="17A0BA72">
      <w:start w:val="1"/>
      <w:numFmt w:val="upperRoman"/>
      <w:lvlText w:val="(%3)"/>
      <w:lvlJc w:val="left"/>
      <w:pPr>
        <w:ind w:left="2700" w:hanging="720"/>
      </w:pPr>
      <w:rPr>
        <w:rFonts w:hint="default"/>
      </w:rPr>
    </w:lvl>
    <w:lvl w:ilvl="3" w:tplc="2AF68118">
      <w:start w:val="2"/>
      <w:numFmt w:val="upperLetter"/>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9B13573"/>
    <w:multiLevelType w:val="hybridMultilevel"/>
    <w:tmpl w:val="D182E7A2"/>
    <w:lvl w:ilvl="0" w:tplc="7660A8A8">
      <w:start w:val="1"/>
      <w:numFmt w:val="lowerLetter"/>
      <w:lvlText w:val="(%1)"/>
      <w:lvlJc w:val="left"/>
      <w:pPr>
        <w:ind w:left="360" w:hanging="360"/>
      </w:pPr>
      <w:rPr>
        <w:rFonts w:ascii="Arial" w:hAnsi="Arial" w:cs="Arial" w:hint="default"/>
        <w:b/>
        <w:color w:val="000000"/>
        <w:sz w:val="22"/>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4" w15:restartNumberingAfterBreak="0">
    <w:nsid w:val="5A071555"/>
    <w:multiLevelType w:val="hybridMultilevel"/>
    <w:tmpl w:val="6DC8FC8C"/>
    <w:lvl w:ilvl="0" w:tplc="862E2C22">
      <w:start w:val="1"/>
      <w:numFmt w:val="lowerLetter"/>
      <w:lvlText w:val="(%1)"/>
      <w:lvlJc w:val="left"/>
      <w:pPr>
        <w:tabs>
          <w:tab w:val="num" w:pos="1070"/>
        </w:tabs>
        <w:ind w:left="1070" w:hanging="360"/>
      </w:pPr>
      <w:rPr>
        <w:b w:val="0"/>
        <w:i w:val="0"/>
      </w:rPr>
    </w:lvl>
    <w:lvl w:ilvl="1" w:tplc="23D03EEE">
      <w:numFmt w:val="bullet"/>
      <w:lvlText w:val="•"/>
      <w:lvlJc w:val="left"/>
      <w:pPr>
        <w:ind w:left="1815" w:hanging="735"/>
      </w:pPr>
      <w:rPr>
        <w:rFonts w:ascii="Times New Roman" w:eastAsia="Times New Roman" w:hAnsi="Times New Roman" w:cs="Times New Roman" w:hint="default"/>
        <w:color w:val="auto"/>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5" w15:restartNumberingAfterBreak="0">
    <w:nsid w:val="5A5D714A"/>
    <w:multiLevelType w:val="hybridMultilevel"/>
    <w:tmpl w:val="6DC8FC8C"/>
    <w:lvl w:ilvl="0" w:tplc="862E2C22">
      <w:start w:val="1"/>
      <w:numFmt w:val="lowerLetter"/>
      <w:lvlText w:val="(%1)"/>
      <w:lvlJc w:val="left"/>
      <w:pPr>
        <w:tabs>
          <w:tab w:val="num" w:pos="1070"/>
        </w:tabs>
        <w:ind w:left="1070" w:hanging="360"/>
      </w:pPr>
      <w:rPr>
        <w:b w:val="0"/>
        <w:i w:val="0"/>
      </w:rPr>
    </w:lvl>
    <w:lvl w:ilvl="1" w:tplc="23D03EEE">
      <w:numFmt w:val="bullet"/>
      <w:lvlText w:val="•"/>
      <w:lvlJc w:val="left"/>
      <w:pPr>
        <w:ind w:left="1815" w:hanging="735"/>
      </w:pPr>
      <w:rPr>
        <w:rFonts w:ascii="Times New Roman" w:eastAsia="Times New Roman" w:hAnsi="Times New Roman" w:cs="Times New Roman" w:hint="default"/>
        <w:color w:val="auto"/>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6" w15:restartNumberingAfterBreak="0">
    <w:nsid w:val="5C550132"/>
    <w:multiLevelType w:val="hybridMultilevel"/>
    <w:tmpl w:val="057840FA"/>
    <w:lvl w:ilvl="0" w:tplc="D30AD7B0">
      <w:start w:val="1"/>
      <w:numFmt w:val="lowerLetter"/>
      <w:lvlText w:val="(%1)"/>
      <w:lvlJc w:val="left"/>
      <w:pPr>
        <w:ind w:left="1070" w:hanging="360"/>
      </w:pPr>
      <w:rPr>
        <w:rFonts w:hint="default"/>
      </w:r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7" w15:restartNumberingAfterBreak="0">
    <w:nsid w:val="5CCB1F70"/>
    <w:multiLevelType w:val="hybridMultilevel"/>
    <w:tmpl w:val="519AEA88"/>
    <w:lvl w:ilvl="0" w:tplc="94F4B7F2">
      <w:start w:val="1"/>
      <w:numFmt w:val="low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48" w15:restartNumberingAfterBreak="0">
    <w:nsid w:val="5E9D686A"/>
    <w:multiLevelType w:val="hybridMultilevel"/>
    <w:tmpl w:val="A1BE9D48"/>
    <w:lvl w:ilvl="0" w:tplc="862E2C22">
      <w:start w:val="1"/>
      <w:numFmt w:val="lowerLetter"/>
      <w:lvlText w:val="(%1)"/>
      <w:lvlJc w:val="left"/>
      <w:pPr>
        <w:tabs>
          <w:tab w:val="num" w:pos="1070"/>
        </w:tabs>
        <w:ind w:left="1070" w:hanging="360"/>
      </w:pPr>
      <w:rPr>
        <w:b w:val="0"/>
        <w:i w:val="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9" w15:restartNumberingAfterBreak="0">
    <w:nsid w:val="5FCD79FA"/>
    <w:multiLevelType w:val="hybridMultilevel"/>
    <w:tmpl w:val="6DC8FC8C"/>
    <w:lvl w:ilvl="0" w:tplc="862E2C22">
      <w:start w:val="1"/>
      <w:numFmt w:val="lowerLetter"/>
      <w:lvlText w:val="(%1)"/>
      <w:lvlJc w:val="left"/>
      <w:pPr>
        <w:tabs>
          <w:tab w:val="num" w:pos="928"/>
        </w:tabs>
        <w:ind w:left="928" w:hanging="360"/>
      </w:pPr>
      <w:rPr>
        <w:b w:val="0"/>
        <w:i w:val="0"/>
      </w:rPr>
    </w:lvl>
    <w:lvl w:ilvl="1" w:tplc="23D03EEE">
      <w:numFmt w:val="bullet"/>
      <w:lvlText w:val="•"/>
      <w:lvlJc w:val="left"/>
      <w:pPr>
        <w:ind w:left="1815" w:hanging="735"/>
      </w:pPr>
      <w:rPr>
        <w:rFonts w:ascii="Times New Roman" w:eastAsia="Times New Roman" w:hAnsi="Times New Roman" w:cs="Times New Roman" w:hint="default"/>
        <w:color w:val="auto"/>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0" w15:restartNumberingAfterBreak="0">
    <w:nsid w:val="6048023E"/>
    <w:multiLevelType w:val="hybridMultilevel"/>
    <w:tmpl w:val="7DACAB04"/>
    <w:lvl w:ilvl="0" w:tplc="F2A2E2D4">
      <w:start w:val="1"/>
      <w:numFmt w:val="lowerRoman"/>
      <w:lvlText w:val="(%1) "/>
      <w:lvlJc w:val="left"/>
      <w:pPr>
        <w:tabs>
          <w:tab w:val="num" w:pos="1920"/>
        </w:tabs>
        <w:ind w:left="1920" w:hanging="360"/>
      </w:pPr>
      <w:rPr>
        <w:lang w:val="pt-P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1" w15:restartNumberingAfterBreak="0">
    <w:nsid w:val="6353400A"/>
    <w:multiLevelType w:val="hybridMultilevel"/>
    <w:tmpl w:val="C0C4D5B0"/>
    <w:lvl w:ilvl="0" w:tplc="99E205F4">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2" w15:restartNumberingAfterBreak="0">
    <w:nsid w:val="63545C94"/>
    <w:multiLevelType w:val="hybridMultilevel"/>
    <w:tmpl w:val="B5B6822A"/>
    <w:lvl w:ilvl="0" w:tplc="0D6896CA">
      <w:start w:val="47"/>
      <w:numFmt w:val="decimal"/>
      <w:lvlText w:val="%1."/>
      <w:lvlJc w:val="left"/>
      <w:pPr>
        <w:ind w:left="2160" w:hanging="721"/>
      </w:pPr>
      <w:rPr>
        <w:rFonts w:ascii="Arial" w:eastAsia="Arial" w:hAnsi="Arial" w:cs="Arial" w:hint="default"/>
        <w:spacing w:val="-1"/>
        <w:w w:val="99"/>
        <w:sz w:val="20"/>
        <w:szCs w:val="20"/>
        <w:lang w:val="en-US" w:eastAsia="en-US" w:bidi="en-US"/>
      </w:rPr>
    </w:lvl>
    <w:lvl w:ilvl="1" w:tplc="5DC484B6">
      <w:start w:val="1"/>
      <w:numFmt w:val="lowerLetter"/>
      <w:lvlText w:val="(%2)"/>
      <w:lvlJc w:val="left"/>
      <w:pPr>
        <w:ind w:left="2880" w:hanging="721"/>
      </w:pPr>
      <w:rPr>
        <w:rFonts w:ascii="Arial" w:eastAsia="Arial" w:hAnsi="Arial" w:cs="Arial" w:hint="default"/>
        <w:spacing w:val="-1"/>
        <w:w w:val="99"/>
        <w:sz w:val="20"/>
        <w:szCs w:val="20"/>
        <w:lang w:val="en-US" w:eastAsia="en-US" w:bidi="en-US"/>
      </w:rPr>
    </w:lvl>
    <w:lvl w:ilvl="2" w:tplc="C65C64F8">
      <w:numFmt w:val="bullet"/>
      <w:lvlText w:val="•"/>
      <w:lvlJc w:val="left"/>
      <w:pPr>
        <w:ind w:left="3000" w:hanging="721"/>
      </w:pPr>
      <w:rPr>
        <w:lang w:val="en-US" w:eastAsia="en-US" w:bidi="en-US"/>
      </w:rPr>
    </w:lvl>
    <w:lvl w:ilvl="3" w:tplc="08B2F860">
      <w:numFmt w:val="bullet"/>
      <w:lvlText w:val="•"/>
      <w:lvlJc w:val="left"/>
      <w:pPr>
        <w:ind w:left="4105" w:hanging="721"/>
      </w:pPr>
      <w:rPr>
        <w:lang w:val="en-US" w:eastAsia="en-US" w:bidi="en-US"/>
      </w:rPr>
    </w:lvl>
    <w:lvl w:ilvl="4" w:tplc="FB7EDC88">
      <w:numFmt w:val="bullet"/>
      <w:lvlText w:val="•"/>
      <w:lvlJc w:val="left"/>
      <w:pPr>
        <w:ind w:left="5210" w:hanging="721"/>
      </w:pPr>
      <w:rPr>
        <w:lang w:val="en-US" w:eastAsia="en-US" w:bidi="en-US"/>
      </w:rPr>
    </w:lvl>
    <w:lvl w:ilvl="5" w:tplc="DFCE8114">
      <w:numFmt w:val="bullet"/>
      <w:lvlText w:val="•"/>
      <w:lvlJc w:val="left"/>
      <w:pPr>
        <w:ind w:left="6315" w:hanging="721"/>
      </w:pPr>
      <w:rPr>
        <w:lang w:val="en-US" w:eastAsia="en-US" w:bidi="en-US"/>
      </w:rPr>
    </w:lvl>
    <w:lvl w:ilvl="6" w:tplc="52C0FD10">
      <w:numFmt w:val="bullet"/>
      <w:lvlText w:val="•"/>
      <w:lvlJc w:val="left"/>
      <w:pPr>
        <w:ind w:left="7420" w:hanging="721"/>
      </w:pPr>
      <w:rPr>
        <w:lang w:val="en-US" w:eastAsia="en-US" w:bidi="en-US"/>
      </w:rPr>
    </w:lvl>
    <w:lvl w:ilvl="7" w:tplc="1A00E390">
      <w:numFmt w:val="bullet"/>
      <w:lvlText w:val="•"/>
      <w:lvlJc w:val="left"/>
      <w:pPr>
        <w:ind w:left="8525" w:hanging="721"/>
      </w:pPr>
      <w:rPr>
        <w:lang w:val="en-US" w:eastAsia="en-US" w:bidi="en-US"/>
      </w:rPr>
    </w:lvl>
    <w:lvl w:ilvl="8" w:tplc="A9803A72">
      <w:numFmt w:val="bullet"/>
      <w:lvlText w:val="•"/>
      <w:lvlJc w:val="left"/>
      <w:pPr>
        <w:ind w:left="9630" w:hanging="721"/>
      </w:pPr>
      <w:rPr>
        <w:lang w:val="en-US" w:eastAsia="en-US" w:bidi="en-US"/>
      </w:rPr>
    </w:lvl>
  </w:abstractNum>
  <w:abstractNum w:abstractNumId="53" w15:restartNumberingAfterBreak="0">
    <w:nsid w:val="63C84D49"/>
    <w:multiLevelType w:val="hybridMultilevel"/>
    <w:tmpl w:val="D4D0CFC2"/>
    <w:lvl w:ilvl="0" w:tplc="22A46CA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48B6FE2"/>
    <w:multiLevelType w:val="hybridMultilevel"/>
    <w:tmpl w:val="D56AEFE0"/>
    <w:lvl w:ilvl="0" w:tplc="862E2C22">
      <w:start w:val="1"/>
      <w:numFmt w:val="lowerLetter"/>
      <w:lvlText w:val="(%1)"/>
      <w:lvlJc w:val="left"/>
      <w:pPr>
        <w:tabs>
          <w:tab w:val="num" w:pos="1070"/>
        </w:tabs>
        <w:ind w:left="1070" w:hanging="360"/>
      </w:pPr>
      <w:rPr>
        <w:b w:val="0"/>
        <w:i w:val="0"/>
      </w:rPr>
    </w:lvl>
    <w:lvl w:ilvl="1" w:tplc="23D03EEE">
      <w:numFmt w:val="bullet"/>
      <w:lvlText w:val="•"/>
      <w:lvlJc w:val="left"/>
      <w:pPr>
        <w:ind w:left="1815" w:hanging="735"/>
      </w:pPr>
      <w:rPr>
        <w:rFonts w:ascii="Times New Roman" w:eastAsia="Times New Roman" w:hAnsi="Times New Roman" w:cs="Times New Roman" w:hint="default"/>
        <w:color w:val="auto"/>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5" w15:restartNumberingAfterBreak="0">
    <w:nsid w:val="657E544E"/>
    <w:multiLevelType w:val="hybridMultilevel"/>
    <w:tmpl w:val="6DC8FC8C"/>
    <w:lvl w:ilvl="0" w:tplc="862E2C22">
      <w:start w:val="1"/>
      <w:numFmt w:val="lowerLetter"/>
      <w:lvlText w:val="(%1)"/>
      <w:lvlJc w:val="left"/>
      <w:pPr>
        <w:tabs>
          <w:tab w:val="num" w:pos="360"/>
        </w:tabs>
        <w:ind w:left="360" w:hanging="360"/>
      </w:pPr>
      <w:rPr>
        <w:b w:val="0"/>
        <w:i w:val="0"/>
      </w:rPr>
    </w:lvl>
    <w:lvl w:ilvl="1" w:tplc="23D03EEE">
      <w:numFmt w:val="bullet"/>
      <w:lvlText w:val="•"/>
      <w:lvlJc w:val="left"/>
      <w:pPr>
        <w:ind w:left="1105" w:hanging="735"/>
      </w:pPr>
      <w:rPr>
        <w:rFonts w:ascii="Times New Roman" w:eastAsia="Times New Roman" w:hAnsi="Times New Roman" w:cs="Times New Roman" w:hint="default"/>
        <w:color w:val="auto"/>
      </w:rPr>
    </w:lvl>
    <w:lvl w:ilvl="2" w:tplc="0416001B">
      <w:start w:val="1"/>
      <w:numFmt w:val="decimal"/>
      <w:lvlText w:val="%3."/>
      <w:lvlJc w:val="left"/>
      <w:pPr>
        <w:tabs>
          <w:tab w:val="num" w:pos="1450"/>
        </w:tabs>
        <w:ind w:left="1450" w:hanging="360"/>
      </w:pPr>
    </w:lvl>
    <w:lvl w:ilvl="3" w:tplc="0416000F">
      <w:start w:val="1"/>
      <w:numFmt w:val="decimal"/>
      <w:lvlText w:val="%4."/>
      <w:lvlJc w:val="left"/>
      <w:pPr>
        <w:tabs>
          <w:tab w:val="num" w:pos="2170"/>
        </w:tabs>
        <w:ind w:left="2170" w:hanging="360"/>
      </w:pPr>
    </w:lvl>
    <w:lvl w:ilvl="4" w:tplc="04160019">
      <w:start w:val="1"/>
      <w:numFmt w:val="decimal"/>
      <w:lvlText w:val="%5."/>
      <w:lvlJc w:val="left"/>
      <w:pPr>
        <w:tabs>
          <w:tab w:val="num" w:pos="2890"/>
        </w:tabs>
        <w:ind w:left="2890" w:hanging="360"/>
      </w:pPr>
    </w:lvl>
    <w:lvl w:ilvl="5" w:tplc="0416001B">
      <w:start w:val="1"/>
      <w:numFmt w:val="decimal"/>
      <w:lvlText w:val="%6."/>
      <w:lvlJc w:val="left"/>
      <w:pPr>
        <w:tabs>
          <w:tab w:val="num" w:pos="3610"/>
        </w:tabs>
        <w:ind w:left="3610" w:hanging="360"/>
      </w:pPr>
    </w:lvl>
    <w:lvl w:ilvl="6" w:tplc="0416000F">
      <w:start w:val="1"/>
      <w:numFmt w:val="decimal"/>
      <w:lvlText w:val="%7."/>
      <w:lvlJc w:val="left"/>
      <w:pPr>
        <w:tabs>
          <w:tab w:val="num" w:pos="4330"/>
        </w:tabs>
        <w:ind w:left="4330" w:hanging="360"/>
      </w:pPr>
    </w:lvl>
    <w:lvl w:ilvl="7" w:tplc="04160019">
      <w:start w:val="1"/>
      <w:numFmt w:val="decimal"/>
      <w:lvlText w:val="%8."/>
      <w:lvlJc w:val="left"/>
      <w:pPr>
        <w:tabs>
          <w:tab w:val="num" w:pos="5050"/>
        </w:tabs>
        <w:ind w:left="5050" w:hanging="360"/>
      </w:pPr>
    </w:lvl>
    <w:lvl w:ilvl="8" w:tplc="0416001B">
      <w:start w:val="1"/>
      <w:numFmt w:val="decimal"/>
      <w:lvlText w:val="%9."/>
      <w:lvlJc w:val="left"/>
      <w:pPr>
        <w:tabs>
          <w:tab w:val="num" w:pos="5770"/>
        </w:tabs>
        <w:ind w:left="5770" w:hanging="360"/>
      </w:pPr>
    </w:lvl>
  </w:abstractNum>
  <w:abstractNum w:abstractNumId="56" w15:restartNumberingAfterBreak="0">
    <w:nsid w:val="65E42D72"/>
    <w:multiLevelType w:val="hybridMultilevel"/>
    <w:tmpl w:val="4D70219A"/>
    <w:lvl w:ilvl="0" w:tplc="75C448EE">
      <w:start w:val="4"/>
      <w:numFmt w:val="lowerLetter"/>
      <w:lvlText w:val="(%1)"/>
      <w:lvlJc w:val="left"/>
      <w:pPr>
        <w:ind w:left="1019" w:hanging="720"/>
      </w:pPr>
      <w:rPr>
        <w:rFonts w:ascii="Arial" w:eastAsia="Times New Roman" w:hAnsi="Arial" w:cs="Arial" w:hint="default"/>
        <w:w w:val="99"/>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99B2EB7"/>
    <w:multiLevelType w:val="hybridMultilevel"/>
    <w:tmpl w:val="FD2AF07A"/>
    <w:lvl w:ilvl="0" w:tplc="1CBE08B2">
      <w:start w:val="9"/>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8" w15:restartNumberingAfterBreak="0">
    <w:nsid w:val="6B6E35EC"/>
    <w:multiLevelType w:val="hybridMultilevel"/>
    <w:tmpl w:val="21B69E08"/>
    <w:lvl w:ilvl="0" w:tplc="413266AE">
      <w:start w:val="1"/>
      <w:numFmt w:val="decimal"/>
      <w:lvlText w:val="%1."/>
      <w:lvlJc w:val="left"/>
      <w:pPr>
        <w:ind w:left="847" w:hanging="548"/>
        <w:jc w:val="right"/>
      </w:pPr>
      <w:rPr>
        <w:rFonts w:ascii="Times New Roman" w:eastAsia="Times New Roman" w:hAnsi="Times New Roman" w:cs="Times New Roman" w:hint="default"/>
        <w:spacing w:val="0"/>
        <w:w w:val="99"/>
        <w:sz w:val="20"/>
        <w:szCs w:val="20"/>
        <w:lang w:val="en-US" w:eastAsia="en-US" w:bidi="en-US"/>
      </w:rPr>
    </w:lvl>
    <w:lvl w:ilvl="1" w:tplc="B5F05A26">
      <w:start w:val="1"/>
      <w:numFmt w:val="lowerLetter"/>
      <w:lvlText w:val="(%2)"/>
      <w:lvlJc w:val="left"/>
      <w:pPr>
        <w:ind w:left="1394" w:hanging="548"/>
        <w:jc w:val="right"/>
      </w:pPr>
      <w:rPr>
        <w:rFonts w:ascii="Times New Roman" w:eastAsia="Times New Roman" w:hAnsi="Times New Roman" w:cs="Times New Roman" w:hint="default"/>
        <w:w w:val="99"/>
        <w:sz w:val="20"/>
        <w:szCs w:val="20"/>
        <w:lang w:val="en-US" w:eastAsia="en-US" w:bidi="en-US"/>
      </w:rPr>
    </w:lvl>
    <w:lvl w:ilvl="2" w:tplc="E1564C74">
      <w:start w:val="1"/>
      <w:numFmt w:val="lowerRoman"/>
      <w:lvlText w:val="(%3)"/>
      <w:lvlJc w:val="left"/>
      <w:pPr>
        <w:ind w:left="2099" w:hanging="721"/>
      </w:pPr>
      <w:rPr>
        <w:rFonts w:ascii="Times New Roman" w:eastAsia="Times New Roman" w:hAnsi="Times New Roman" w:cs="Times New Roman" w:hint="default"/>
        <w:spacing w:val="-1"/>
        <w:w w:val="99"/>
        <w:sz w:val="20"/>
        <w:szCs w:val="20"/>
        <w:lang w:val="en-US" w:eastAsia="en-US" w:bidi="en-US"/>
      </w:rPr>
    </w:lvl>
    <w:lvl w:ilvl="3" w:tplc="7BA4B4DC">
      <w:numFmt w:val="bullet"/>
      <w:lvlText w:val="•"/>
      <w:lvlJc w:val="left"/>
      <w:pPr>
        <w:ind w:left="1760" w:hanging="721"/>
      </w:pPr>
      <w:rPr>
        <w:rFonts w:hint="default"/>
        <w:lang w:val="en-US" w:eastAsia="en-US" w:bidi="en-US"/>
      </w:rPr>
    </w:lvl>
    <w:lvl w:ilvl="4" w:tplc="D6224EB6">
      <w:numFmt w:val="bullet"/>
      <w:lvlText w:val="•"/>
      <w:lvlJc w:val="left"/>
      <w:pPr>
        <w:ind w:left="1940" w:hanging="721"/>
      </w:pPr>
      <w:rPr>
        <w:rFonts w:hint="default"/>
        <w:lang w:val="en-US" w:eastAsia="en-US" w:bidi="en-US"/>
      </w:rPr>
    </w:lvl>
    <w:lvl w:ilvl="5" w:tplc="2A124520">
      <w:numFmt w:val="bullet"/>
      <w:lvlText w:val="•"/>
      <w:lvlJc w:val="left"/>
      <w:pPr>
        <w:ind w:left="2100" w:hanging="721"/>
      </w:pPr>
      <w:rPr>
        <w:rFonts w:hint="default"/>
        <w:lang w:val="en-US" w:eastAsia="en-US" w:bidi="en-US"/>
      </w:rPr>
    </w:lvl>
    <w:lvl w:ilvl="6" w:tplc="6EC28E9E">
      <w:numFmt w:val="bullet"/>
      <w:lvlText w:val="•"/>
      <w:lvlJc w:val="left"/>
      <w:pPr>
        <w:ind w:left="2300" w:hanging="721"/>
      </w:pPr>
      <w:rPr>
        <w:rFonts w:hint="default"/>
        <w:lang w:val="en-US" w:eastAsia="en-US" w:bidi="en-US"/>
      </w:rPr>
    </w:lvl>
    <w:lvl w:ilvl="7" w:tplc="E018BD58">
      <w:numFmt w:val="bullet"/>
      <w:lvlText w:val="•"/>
      <w:lvlJc w:val="left"/>
      <w:pPr>
        <w:ind w:left="3780" w:hanging="721"/>
      </w:pPr>
      <w:rPr>
        <w:rFonts w:hint="default"/>
        <w:lang w:val="en-US" w:eastAsia="en-US" w:bidi="en-US"/>
      </w:rPr>
    </w:lvl>
    <w:lvl w:ilvl="8" w:tplc="663C640A">
      <w:numFmt w:val="bullet"/>
      <w:lvlText w:val="•"/>
      <w:lvlJc w:val="left"/>
      <w:pPr>
        <w:ind w:left="5260" w:hanging="721"/>
      </w:pPr>
      <w:rPr>
        <w:rFonts w:hint="default"/>
        <w:lang w:val="en-US" w:eastAsia="en-US" w:bidi="en-US"/>
      </w:rPr>
    </w:lvl>
  </w:abstractNum>
  <w:abstractNum w:abstractNumId="59" w15:restartNumberingAfterBreak="0">
    <w:nsid w:val="6B9B7A27"/>
    <w:multiLevelType w:val="hybridMultilevel"/>
    <w:tmpl w:val="DDFE159E"/>
    <w:lvl w:ilvl="0" w:tplc="B07CFC0E">
      <w:start w:val="1"/>
      <w:numFmt w:val="lowerLetter"/>
      <w:lvlText w:val="(%1)"/>
      <w:lvlJc w:val="left"/>
      <w:pPr>
        <w:ind w:left="1754" w:hanging="548"/>
      </w:pPr>
      <w:rPr>
        <w:rFonts w:ascii="Times New Roman" w:eastAsia="Times New Roman" w:hAnsi="Times New Roman" w:cs="Times New Roman" w:hint="default"/>
        <w:w w:val="99"/>
        <w:sz w:val="20"/>
        <w:szCs w:val="20"/>
        <w:lang w:val="en-US" w:eastAsia="en-US" w:bidi="en-US"/>
      </w:rPr>
    </w:lvl>
    <w:lvl w:ilvl="1" w:tplc="3ED861AE">
      <w:start w:val="1"/>
      <w:numFmt w:val="lowerRoman"/>
      <w:lvlText w:val="(%2)"/>
      <w:lvlJc w:val="left"/>
      <w:pPr>
        <w:ind w:left="2301" w:hanging="548"/>
      </w:pPr>
      <w:rPr>
        <w:rFonts w:ascii="Times New Roman" w:eastAsia="Times New Roman" w:hAnsi="Times New Roman" w:cs="Times New Roman" w:hint="default"/>
        <w:spacing w:val="-1"/>
        <w:w w:val="99"/>
        <w:sz w:val="20"/>
        <w:szCs w:val="20"/>
        <w:lang w:val="en-US" w:eastAsia="en-US" w:bidi="en-US"/>
      </w:rPr>
    </w:lvl>
    <w:lvl w:ilvl="2" w:tplc="AA26209C">
      <w:numFmt w:val="bullet"/>
      <w:lvlText w:val="•"/>
      <w:lvlJc w:val="left"/>
      <w:pPr>
        <w:ind w:left="2957" w:hanging="548"/>
      </w:pPr>
      <w:rPr>
        <w:rFonts w:hint="default"/>
        <w:lang w:val="en-US" w:eastAsia="en-US" w:bidi="en-US"/>
      </w:rPr>
    </w:lvl>
    <w:lvl w:ilvl="3" w:tplc="445AB628">
      <w:numFmt w:val="bullet"/>
      <w:lvlText w:val="•"/>
      <w:lvlJc w:val="left"/>
      <w:pPr>
        <w:ind w:left="3615" w:hanging="548"/>
      </w:pPr>
      <w:rPr>
        <w:rFonts w:hint="default"/>
        <w:lang w:val="en-US" w:eastAsia="en-US" w:bidi="en-US"/>
      </w:rPr>
    </w:lvl>
    <w:lvl w:ilvl="4" w:tplc="AC98D3BC">
      <w:numFmt w:val="bullet"/>
      <w:lvlText w:val="•"/>
      <w:lvlJc w:val="left"/>
      <w:pPr>
        <w:ind w:left="4273" w:hanging="548"/>
      </w:pPr>
      <w:rPr>
        <w:rFonts w:hint="default"/>
        <w:lang w:val="en-US" w:eastAsia="en-US" w:bidi="en-US"/>
      </w:rPr>
    </w:lvl>
    <w:lvl w:ilvl="5" w:tplc="8582459E">
      <w:numFmt w:val="bullet"/>
      <w:lvlText w:val="•"/>
      <w:lvlJc w:val="left"/>
      <w:pPr>
        <w:ind w:left="4931" w:hanging="548"/>
      </w:pPr>
      <w:rPr>
        <w:rFonts w:hint="default"/>
        <w:lang w:val="en-US" w:eastAsia="en-US" w:bidi="en-US"/>
      </w:rPr>
    </w:lvl>
    <w:lvl w:ilvl="6" w:tplc="1FA8C462">
      <w:numFmt w:val="bullet"/>
      <w:lvlText w:val="•"/>
      <w:lvlJc w:val="left"/>
      <w:pPr>
        <w:ind w:left="5588" w:hanging="548"/>
      </w:pPr>
      <w:rPr>
        <w:rFonts w:hint="default"/>
        <w:lang w:val="en-US" w:eastAsia="en-US" w:bidi="en-US"/>
      </w:rPr>
    </w:lvl>
    <w:lvl w:ilvl="7" w:tplc="5F7440D2">
      <w:numFmt w:val="bullet"/>
      <w:lvlText w:val="•"/>
      <w:lvlJc w:val="left"/>
      <w:pPr>
        <w:ind w:left="6246" w:hanging="548"/>
      </w:pPr>
      <w:rPr>
        <w:rFonts w:hint="default"/>
        <w:lang w:val="en-US" w:eastAsia="en-US" w:bidi="en-US"/>
      </w:rPr>
    </w:lvl>
    <w:lvl w:ilvl="8" w:tplc="4AEEFB9A">
      <w:numFmt w:val="bullet"/>
      <w:lvlText w:val="•"/>
      <w:lvlJc w:val="left"/>
      <w:pPr>
        <w:ind w:left="6904" w:hanging="548"/>
      </w:pPr>
      <w:rPr>
        <w:rFonts w:hint="default"/>
        <w:lang w:val="en-US" w:eastAsia="en-US" w:bidi="en-US"/>
      </w:rPr>
    </w:lvl>
  </w:abstractNum>
  <w:abstractNum w:abstractNumId="60" w15:restartNumberingAfterBreak="0">
    <w:nsid w:val="732D6857"/>
    <w:multiLevelType w:val="hybridMultilevel"/>
    <w:tmpl w:val="607AB8D8"/>
    <w:lvl w:ilvl="0" w:tplc="F2A2E2D4">
      <w:start w:val="1"/>
      <w:numFmt w:val="lowerRoman"/>
      <w:lvlText w:val="(%1) "/>
      <w:lvlJc w:val="left"/>
      <w:pPr>
        <w:tabs>
          <w:tab w:val="num" w:pos="2202"/>
        </w:tabs>
        <w:ind w:left="2202" w:hanging="360"/>
      </w:pPr>
      <w:rPr>
        <w:lang w:val="pt-P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1" w15:restartNumberingAfterBreak="0">
    <w:nsid w:val="75A2085D"/>
    <w:multiLevelType w:val="hybridMultilevel"/>
    <w:tmpl w:val="EA9A9340"/>
    <w:lvl w:ilvl="0" w:tplc="966ADE40">
      <w:start w:val="1"/>
      <w:numFmt w:val="low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62" w15:restartNumberingAfterBreak="0">
    <w:nsid w:val="77B51DC2"/>
    <w:multiLevelType w:val="hybridMultilevel"/>
    <w:tmpl w:val="CC1264C2"/>
    <w:lvl w:ilvl="0" w:tplc="135038C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810435D"/>
    <w:multiLevelType w:val="hybridMultilevel"/>
    <w:tmpl w:val="6DC8FC8C"/>
    <w:lvl w:ilvl="0" w:tplc="862E2C22">
      <w:start w:val="1"/>
      <w:numFmt w:val="lowerLetter"/>
      <w:lvlText w:val="(%1)"/>
      <w:lvlJc w:val="left"/>
      <w:pPr>
        <w:tabs>
          <w:tab w:val="num" w:pos="1070"/>
        </w:tabs>
        <w:ind w:left="1070" w:hanging="360"/>
      </w:pPr>
      <w:rPr>
        <w:b w:val="0"/>
        <w:i w:val="0"/>
      </w:rPr>
    </w:lvl>
    <w:lvl w:ilvl="1" w:tplc="23D03EEE">
      <w:numFmt w:val="bullet"/>
      <w:lvlText w:val="•"/>
      <w:lvlJc w:val="left"/>
      <w:pPr>
        <w:ind w:left="1815" w:hanging="735"/>
      </w:pPr>
      <w:rPr>
        <w:rFonts w:ascii="Times New Roman" w:eastAsia="Times New Roman" w:hAnsi="Times New Roman" w:cs="Times New Roman" w:hint="default"/>
        <w:color w:val="auto"/>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4" w15:restartNumberingAfterBreak="0">
    <w:nsid w:val="7A7E15D8"/>
    <w:multiLevelType w:val="hybridMultilevel"/>
    <w:tmpl w:val="6DC8FC8C"/>
    <w:lvl w:ilvl="0" w:tplc="862E2C22">
      <w:start w:val="1"/>
      <w:numFmt w:val="lowerLetter"/>
      <w:lvlText w:val="(%1)"/>
      <w:lvlJc w:val="left"/>
      <w:pPr>
        <w:tabs>
          <w:tab w:val="num" w:pos="1070"/>
        </w:tabs>
        <w:ind w:left="1070" w:hanging="360"/>
      </w:pPr>
      <w:rPr>
        <w:b w:val="0"/>
        <w:i w:val="0"/>
      </w:rPr>
    </w:lvl>
    <w:lvl w:ilvl="1" w:tplc="23D03EEE">
      <w:numFmt w:val="bullet"/>
      <w:lvlText w:val="•"/>
      <w:lvlJc w:val="left"/>
      <w:pPr>
        <w:ind w:left="1815" w:hanging="735"/>
      </w:pPr>
      <w:rPr>
        <w:rFonts w:ascii="Times New Roman" w:eastAsia="Times New Roman" w:hAnsi="Times New Roman" w:cs="Times New Roman" w:hint="default"/>
        <w:color w:val="auto"/>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5" w15:restartNumberingAfterBreak="0">
    <w:nsid w:val="7D05040C"/>
    <w:multiLevelType w:val="hybridMultilevel"/>
    <w:tmpl w:val="01A67A42"/>
    <w:lvl w:ilvl="0" w:tplc="1446210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EAD7BE7"/>
    <w:multiLevelType w:val="hybridMultilevel"/>
    <w:tmpl w:val="C3CAC0D0"/>
    <w:lvl w:ilvl="0" w:tplc="EF60D0E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7" w15:restartNumberingAfterBreak="0">
    <w:nsid w:val="7F0127F2"/>
    <w:multiLevelType w:val="hybridMultilevel"/>
    <w:tmpl w:val="F8C42378"/>
    <w:lvl w:ilvl="0" w:tplc="34E80686">
      <w:start w:val="1"/>
      <w:numFmt w:val="lowerLetter"/>
      <w:lvlText w:val="(%1)"/>
      <w:lvlJc w:val="left"/>
      <w:pPr>
        <w:ind w:left="1080" w:hanging="720"/>
      </w:pPr>
      <w:rPr>
        <w:rFonts w:ascii="Times New Roman" w:eastAsia="Times New Roman" w:hAnsi="Times New Roman" w:cs="Times New Roman" w:hint="default"/>
        <w:w w:val="99"/>
        <w:sz w:val="20"/>
        <w:szCs w:val="20"/>
        <w:lang w:val="en-US" w:eastAsia="en-US" w:bidi="en-US"/>
      </w:rPr>
    </w:lvl>
    <w:lvl w:ilvl="1" w:tplc="04160019">
      <w:start w:val="1"/>
      <w:numFmt w:val="lowerLetter"/>
      <w:lvlText w:val="%2."/>
      <w:lvlJc w:val="left"/>
      <w:pPr>
        <w:ind w:left="1440" w:hanging="360"/>
      </w:pPr>
    </w:lvl>
    <w:lvl w:ilvl="2" w:tplc="A52AD5FC">
      <w:start w:val="6"/>
      <w:numFmt w:val="lowerLetter"/>
      <w:lvlText w:val="(%3)"/>
      <w:lvlJc w:val="left"/>
      <w:pPr>
        <w:ind w:left="2340" w:hanging="360"/>
      </w:pPr>
      <w:rPr>
        <w:rFonts w:hint="default"/>
      </w:rPr>
    </w:lvl>
    <w:lvl w:ilvl="3" w:tplc="7F2679C4">
      <w:start w:val="2"/>
      <w:numFmt w:val="upperRoman"/>
      <w:lvlText w:val="(%4)"/>
      <w:lvlJc w:val="left"/>
      <w:pPr>
        <w:ind w:left="3240" w:hanging="72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F1175F4"/>
    <w:multiLevelType w:val="hybridMultilevel"/>
    <w:tmpl w:val="76C4D74E"/>
    <w:lvl w:ilvl="0" w:tplc="A336D1E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59"/>
  </w:num>
  <w:num w:numId="3">
    <w:abstractNumId w:val="35"/>
  </w:num>
  <w:num w:numId="4">
    <w:abstractNumId w:val="17"/>
  </w:num>
  <w:num w:numId="5">
    <w:abstractNumId w:val="41"/>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0"/>
  </w:num>
  <w:num w:numId="23">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3">
    <w:abstractNumId w:val="58"/>
  </w:num>
  <w:num w:numId="34">
    <w:abstractNumId w:val="20"/>
  </w:num>
  <w:num w:numId="35">
    <w:abstractNumId w:val="0"/>
  </w:num>
  <w:num w:numId="36">
    <w:abstractNumId w:val="39"/>
  </w:num>
  <w:num w:numId="37">
    <w:abstractNumId w:val="34"/>
  </w:num>
  <w:num w:numId="38">
    <w:abstractNumId w:val="40"/>
  </w:num>
  <w:num w:numId="39">
    <w:abstractNumId w:val="52"/>
    <w:lvlOverride w:ilvl="0">
      <w:startOverride w:val="47"/>
    </w:lvlOverride>
    <w:lvlOverride w:ilvl="1">
      <w:startOverride w:val="1"/>
    </w:lvlOverride>
    <w:lvlOverride w:ilvl="2"/>
    <w:lvlOverride w:ilvl="3"/>
    <w:lvlOverride w:ilvl="4"/>
    <w:lvlOverride w:ilvl="5"/>
    <w:lvlOverride w:ilvl="6"/>
    <w:lvlOverride w:ilvl="7"/>
    <w:lvlOverride w:ilvl="8"/>
  </w:num>
  <w:num w:numId="40">
    <w:abstractNumId w:val="21"/>
  </w:num>
  <w:num w:numId="41">
    <w:abstractNumId w:val="5"/>
  </w:num>
  <w:num w:numId="42">
    <w:abstractNumId w:val="43"/>
  </w:num>
  <w:num w:numId="43">
    <w:abstractNumId w:val="33"/>
  </w:num>
  <w:num w:numId="44">
    <w:abstractNumId w:val="18"/>
  </w:num>
  <w:num w:numId="45">
    <w:abstractNumId w:val="57"/>
  </w:num>
  <w:num w:numId="46">
    <w:abstractNumId w:val="26"/>
  </w:num>
  <w:num w:numId="47">
    <w:abstractNumId w:val="51"/>
  </w:num>
  <w:num w:numId="48">
    <w:abstractNumId w:val="46"/>
  </w:num>
  <w:num w:numId="49">
    <w:abstractNumId w:val="65"/>
  </w:num>
  <w:num w:numId="50">
    <w:abstractNumId w:val="61"/>
  </w:num>
  <w:num w:numId="51">
    <w:abstractNumId w:val="19"/>
  </w:num>
  <w:num w:numId="52">
    <w:abstractNumId w:val="22"/>
  </w:num>
  <w:num w:numId="53">
    <w:abstractNumId w:val="24"/>
  </w:num>
  <w:num w:numId="54">
    <w:abstractNumId w:val="67"/>
  </w:num>
  <w:num w:numId="55">
    <w:abstractNumId w:val="42"/>
  </w:num>
  <w:num w:numId="56">
    <w:abstractNumId w:val="30"/>
  </w:num>
  <w:num w:numId="57">
    <w:abstractNumId w:val="62"/>
  </w:num>
  <w:num w:numId="58">
    <w:abstractNumId w:val="31"/>
  </w:num>
  <w:num w:numId="59">
    <w:abstractNumId w:val="16"/>
  </w:num>
  <w:num w:numId="60">
    <w:abstractNumId w:val="27"/>
  </w:num>
  <w:num w:numId="61">
    <w:abstractNumId w:val="53"/>
  </w:num>
  <w:num w:numId="62">
    <w:abstractNumId w:val="47"/>
  </w:num>
  <w:num w:numId="63">
    <w:abstractNumId w:val="28"/>
  </w:num>
  <w:num w:numId="64">
    <w:abstractNumId w:val="68"/>
  </w:num>
  <w:num w:numId="65">
    <w:abstractNumId w:val="23"/>
  </w:num>
  <w:num w:numId="66">
    <w:abstractNumId w:val="10"/>
  </w:num>
  <w:num w:numId="67">
    <w:abstractNumId w:val="11"/>
  </w:num>
  <w:num w:numId="68">
    <w:abstractNumId w:val="56"/>
  </w:num>
  <w:num w:numId="69">
    <w:abstractNumId w:val="9"/>
  </w:num>
  <w:num w:numId="70">
    <w:abstractNumId w:val="66"/>
  </w:num>
  <w:num w:numId="71">
    <w:abstractNumId w:val="14"/>
  </w:num>
  <w:num w:numId="72">
    <w:abstractNumId w:val="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efaultTabStop w:val="709"/>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A42"/>
    <w:rsid w:val="00000469"/>
    <w:rsid w:val="000007B3"/>
    <w:rsid w:val="00001DF2"/>
    <w:rsid w:val="00002389"/>
    <w:rsid w:val="000032CE"/>
    <w:rsid w:val="00003427"/>
    <w:rsid w:val="00006440"/>
    <w:rsid w:val="00006748"/>
    <w:rsid w:val="00007599"/>
    <w:rsid w:val="000075AD"/>
    <w:rsid w:val="00010FDB"/>
    <w:rsid w:val="0001456F"/>
    <w:rsid w:val="00021555"/>
    <w:rsid w:val="00027E49"/>
    <w:rsid w:val="00030997"/>
    <w:rsid w:val="00030AC1"/>
    <w:rsid w:val="0003293A"/>
    <w:rsid w:val="00032A11"/>
    <w:rsid w:val="000347C5"/>
    <w:rsid w:val="00037AC3"/>
    <w:rsid w:val="000420D9"/>
    <w:rsid w:val="000430A9"/>
    <w:rsid w:val="000451D1"/>
    <w:rsid w:val="00046660"/>
    <w:rsid w:val="00046C10"/>
    <w:rsid w:val="00052413"/>
    <w:rsid w:val="0005312D"/>
    <w:rsid w:val="00053428"/>
    <w:rsid w:val="00054685"/>
    <w:rsid w:val="00057173"/>
    <w:rsid w:val="00057A4F"/>
    <w:rsid w:val="000605C6"/>
    <w:rsid w:val="00063EC5"/>
    <w:rsid w:val="0007221B"/>
    <w:rsid w:val="000726DE"/>
    <w:rsid w:val="00072DD0"/>
    <w:rsid w:val="000805E8"/>
    <w:rsid w:val="00080CFF"/>
    <w:rsid w:val="00081942"/>
    <w:rsid w:val="00081E7F"/>
    <w:rsid w:val="0008320E"/>
    <w:rsid w:val="0009454D"/>
    <w:rsid w:val="000945D8"/>
    <w:rsid w:val="00094BB7"/>
    <w:rsid w:val="0009565C"/>
    <w:rsid w:val="0009666A"/>
    <w:rsid w:val="00097398"/>
    <w:rsid w:val="00097A42"/>
    <w:rsid w:val="00097FED"/>
    <w:rsid w:val="000A0F62"/>
    <w:rsid w:val="000A1A23"/>
    <w:rsid w:val="000B22C8"/>
    <w:rsid w:val="000B2FEC"/>
    <w:rsid w:val="000B647F"/>
    <w:rsid w:val="000B6A7C"/>
    <w:rsid w:val="000C17B3"/>
    <w:rsid w:val="000C32FF"/>
    <w:rsid w:val="000C47FB"/>
    <w:rsid w:val="000C494D"/>
    <w:rsid w:val="000C4D57"/>
    <w:rsid w:val="000C4D5D"/>
    <w:rsid w:val="000C521B"/>
    <w:rsid w:val="000C635E"/>
    <w:rsid w:val="000C63C6"/>
    <w:rsid w:val="000C684F"/>
    <w:rsid w:val="000D05C2"/>
    <w:rsid w:val="000D2E68"/>
    <w:rsid w:val="000D310A"/>
    <w:rsid w:val="000D7881"/>
    <w:rsid w:val="000D7FE6"/>
    <w:rsid w:val="000E5FDE"/>
    <w:rsid w:val="000F144C"/>
    <w:rsid w:val="000F6331"/>
    <w:rsid w:val="000F6541"/>
    <w:rsid w:val="000F67CA"/>
    <w:rsid w:val="000F7F35"/>
    <w:rsid w:val="00100664"/>
    <w:rsid w:val="00102995"/>
    <w:rsid w:val="00103CE8"/>
    <w:rsid w:val="00105B75"/>
    <w:rsid w:val="00107590"/>
    <w:rsid w:val="0011596C"/>
    <w:rsid w:val="00123BB4"/>
    <w:rsid w:val="00123EB0"/>
    <w:rsid w:val="001253D1"/>
    <w:rsid w:val="00126198"/>
    <w:rsid w:val="001273CF"/>
    <w:rsid w:val="0012762C"/>
    <w:rsid w:val="00127B33"/>
    <w:rsid w:val="00130614"/>
    <w:rsid w:val="001321DC"/>
    <w:rsid w:val="001332C5"/>
    <w:rsid w:val="0013649F"/>
    <w:rsid w:val="0014111B"/>
    <w:rsid w:val="00141E17"/>
    <w:rsid w:val="001425BE"/>
    <w:rsid w:val="00145CF0"/>
    <w:rsid w:val="00146823"/>
    <w:rsid w:val="00146C13"/>
    <w:rsid w:val="0014763D"/>
    <w:rsid w:val="00147FE1"/>
    <w:rsid w:val="00152020"/>
    <w:rsid w:val="001523B4"/>
    <w:rsid w:val="001535A0"/>
    <w:rsid w:val="00154AE1"/>
    <w:rsid w:val="00156733"/>
    <w:rsid w:val="001569FF"/>
    <w:rsid w:val="00157693"/>
    <w:rsid w:val="001606A8"/>
    <w:rsid w:val="001659BB"/>
    <w:rsid w:val="00165AE5"/>
    <w:rsid w:val="00165B22"/>
    <w:rsid w:val="00166262"/>
    <w:rsid w:val="00166F20"/>
    <w:rsid w:val="001672D2"/>
    <w:rsid w:val="001676FA"/>
    <w:rsid w:val="0017076F"/>
    <w:rsid w:val="00170DD0"/>
    <w:rsid w:val="0017544E"/>
    <w:rsid w:val="001816BD"/>
    <w:rsid w:val="0018448B"/>
    <w:rsid w:val="00184873"/>
    <w:rsid w:val="0018564A"/>
    <w:rsid w:val="00190458"/>
    <w:rsid w:val="00191E15"/>
    <w:rsid w:val="00192D66"/>
    <w:rsid w:val="00194E1B"/>
    <w:rsid w:val="00194F7A"/>
    <w:rsid w:val="001956BF"/>
    <w:rsid w:val="00195BFD"/>
    <w:rsid w:val="001961AF"/>
    <w:rsid w:val="001977A2"/>
    <w:rsid w:val="001A082D"/>
    <w:rsid w:val="001A23AE"/>
    <w:rsid w:val="001A24C2"/>
    <w:rsid w:val="001A2590"/>
    <w:rsid w:val="001A3E0E"/>
    <w:rsid w:val="001A4A23"/>
    <w:rsid w:val="001A6AA2"/>
    <w:rsid w:val="001B090A"/>
    <w:rsid w:val="001B2C27"/>
    <w:rsid w:val="001B3E5F"/>
    <w:rsid w:val="001B4298"/>
    <w:rsid w:val="001B4D27"/>
    <w:rsid w:val="001B741D"/>
    <w:rsid w:val="001C05EB"/>
    <w:rsid w:val="001C1F5C"/>
    <w:rsid w:val="001C283A"/>
    <w:rsid w:val="001C683B"/>
    <w:rsid w:val="001C7AFC"/>
    <w:rsid w:val="001D29C2"/>
    <w:rsid w:val="001D29DD"/>
    <w:rsid w:val="001D3A34"/>
    <w:rsid w:val="001D3E3C"/>
    <w:rsid w:val="001D46F0"/>
    <w:rsid w:val="001E3D2B"/>
    <w:rsid w:val="001E484D"/>
    <w:rsid w:val="001E55A3"/>
    <w:rsid w:val="001E771B"/>
    <w:rsid w:val="001E7830"/>
    <w:rsid w:val="001F0871"/>
    <w:rsid w:val="001F0D36"/>
    <w:rsid w:val="001F0F64"/>
    <w:rsid w:val="001F193E"/>
    <w:rsid w:val="001F25DD"/>
    <w:rsid w:val="001F33E3"/>
    <w:rsid w:val="001F341B"/>
    <w:rsid w:val="001F37B6"/>
    <w:rsid w:val="001F526B"/>
    <w:rsid w:val="001F694F"/>
    <w:rsid w:val="00201070"/>
    <w:rsid w:val="0020131A"/>
    <w:rsid w:val="00201BC8"/>
    <w:rsid w:val="00203F9C"/>
    <w:rsid w:val="00204A1C"/>
    <w:rsid w:val="00206E36"/>
    <w:rsid w:val="0021051F"/>
    <w:rsid w:val="00210B2D"/>
    <w:rsid w:val="00212315"/>
    <w:rsid w:val="0021276F"/>
    <w:rsid w:val="0021476F"/>
    <w:rsid w:val="00214971"/>
    <w:rsid w:val="0022270D"/>
    <w:rsid w:val="00223047"/>
    <w:rsid w:val="0022420A"/>
    <w:rsid w:val="00226A3D"/>
    <w:rsid w:val="00230719"/>
    <w:rsid w:val="002320EB"/>
    <w:rsid w:val="00236095"/>
    <w:rsid w:val="00236487"/>
    <w:rsid w:val="00237F18"/>
    <w:rsid w:val="0024109B"/>
    <w:rsid w:val="00242894"/>
    <w:rsid w:val="0024357C"/>
    <w:rsid w:val="00244958"/>
    <w:rsid w:val="00250835"/>
    <w:rsid w:val="00251552"/>
    <w:rsid w:val="00255206"/>
    <w:rsid w:val="00255AE9"/>
    <w:rsid w:val="002617D0"/>
    <w:rsid w:val="00262044"/>
    <w:rsid w:val="00263E9E"/>
    <w:rsid w:val="00264E3B"/>
    <w:rsid w:val="00265074"/>
    <w:rsid w:val="002650C0"/>
    <w:rsid w:val="002654D4"/>
    <w:rsid w:val="002655EB"/>
    <w:rsid w:val="0026694D"/>
    <w:rsid w:val="00271D8E"/>
    <w:rsid w:val="00273542"/>
    <w:rsid w:val="0027489C"/>
    <w:rsid w:val="00275AFC"/>
    <w:rsid w:val="00282EBD"/>
    <w:rsid w:val="00284165"/>
    <w:rsid w:val="00286022"/>
    <w:rsid w:val="002863D6"/>
    <w:rsid w:val="00287031"/>
    <w:rsid w:val="002933A3"/>
    <w:rsid w:val="0029618B"/>
    <w:rsid w:val="002970BC"/>
    <w:rsid w:val="00297877"/>
    <w:rsid w:val="00297BD6"/>
    <w:rsid w:val="002A2288"/>
    <w:rsid w:val="002A3E93"/>
    <w:rsid w:val="002B0E7C"/>
    <w:rsid w:val="002B2DF8"/>
    <w:rsid w:val="002B6DCE"/>
    <w:rsid w:val="002B7419"/>
    <w:rsid w:val="002B7916"/>
    <w:rsid w:val="002C1039"/>
    <w:rsid w:val="002C1508"/>
    <w:rsid w:val="002C2AB5"/>
    <w:rsid w:val="002C633B"/>
    <w:rsid w:val="002C6E07"/>
    <w:rsid w:val="002C7677"/>
    <w:rsid w:val="002C78BC"/>
    <w:rsid w:val="002D1BC3"/>
    <w:rsid w:val="002D45FC"/>
    <w:rsid w:val="002D73F2"/>
    <w:rsid w:val="002D77E9"/>
    <w:rsid w:val="002E06DD"/>
    <w:rsid w:val="002E2FEE"/>
    <w:rsid w:val="002E453E"/>
    <w:rsid w:val="002F0E5A"/>
    <w:rsid w:val="002F0E84"/>
    <w:rsid w:val="002F2583"/>
    <w:rsid w:val="002F4547"/>
    <w:rsid w:val="002F4E53"/>
    <w:rsid w:val="002F557C"/>
    <w:rsid w:val="002F65C2"/>
    <w:rsid w:val="002F717B"/>
    <w:rsid w:val="0030037F"/>
    <w:rsid w:val="00303B90"/>
    <w:rsid w:val="00303C77"/>
    <w:rsid w:val="00305D20"/>
    <w:rsid w:val="0030704E"/>
    <w:rsid w:val="00310C82"/>
    <w:rsid w:val="00311569"/>
    <w:rsid w:val="00311AC0"/>
    <w:rsid w:val="00312716"/>
    <w:rsid w:val="003170CE"/>
    <w:rsid w:val="003201B3"/>
    <w:rsid w:val="003208CB"/>
    <w:rsid w:val="00321410"/>
    <w:rsid w:val="00321674"/>
    <w:rsid w:val="00322571"/>
    <w:rsid w:val="00323AF1"/>
    <w:rsid w:val="003247A3"/>
    <w:rsid w:val="00325298"/>
    <w:rsid w:val="00327E80"/>
    <w:rsid w:val="00334E37"/>
    <w:rsid w:val="00336478"/>
    <w:rsid w:val="0033689E"/>
    <w:rsid w:val="00336A1F"/>
    <w:rsid w:val="003402E9"/>
    <w:rsid w:val="0034214E"/>
    <w:rsid w:val="00343398"/>
    <w:rsid w:val="00343B21"/>
    <w:rsid w:val="00344C53"/>
    <w:rsid w:val="0034504C"/>
    <w:rsid w:val="00347036"/>
    <w:rsid w:val="0035048D"/>
    <w:rsid w:val="00351E81"/>
    <w:rsid w:val="00352922"/>
    <w:rsid w:val="00353897"/>
    <w:rsid w:val="003560FE"/>
    <w:rsid w:val="00360F39"/>
    <w:rsid w:val="00364870"/>
    <w:rsid w:val="00367986"/>
    <w:rsid w:val="0037021C"/>
    <w:rsid w:val="00372596"/>
    <w:rsid w:val="003744E1"/>
    <w:rsid w:val="00374E1E"/>
    <w:rsid w:val="00376B4F"/>
    <w:rsid w:val="0037733A"/>
    <w:rsid w:val="00377964"/>
    <w:rsid w:val="00381A2E"/>
    <w:rsid w:val="00384FBA"/>
    <w:rsid w:val="003854D8"/>
    <w:rsid w:val="00387397"/>
    <w:rsid w:val="003874B8"/>
    <w:rsid w:val="00387A1B"/>
    <w:rsid w:val="00391EED"/>
    <w:rsid w:val="003956DE"/>
    <w:rsid w:val="00395DDC"/>
    <w:rsid w:val="003968F8"/>
    <w:rsid w:val="003A1239"/>
    <w:rsid w:val="003A1627"/>
    <w:rsid w:val="003A1D15"/>
    <w:rsid w:val="003A22F7"/>
    <w:rsid w:val="003A4B26"/>
    <w:rsid w:val="003A5601"/>
    <w:rsid w:val="003A6863"/>
    <w:rsid w:val="003A782F"/>
    <w:rsid w:val="003A7B6E"/>
    <w:rsid w:val="003B06B0"/>
    <w:rsid w:val="003B1A0E"/>
    <w:rsid w:val="003B353F"/>
    <w:rsid w:val="003B4208"/>
    <w:rsid w:val="003B4DE4"/>
    <w:rsid w:val="003B5A6F"/>
    <w:rsid w:val="003B6A39"/>
    <w:rsid w:val="003C066E"/>
    <w:rsid w:val="003C0C95"/>
    <w:rsid w:val="003C5048"/>
    <w:rsid w:val="003C5152"/>
    <w:rsid w:val="003C5695"/>
    <w:rsid w:val="003C5B8B"/>
    <w:rsid w:val="003C62A4"/>
    <w:rsid w:val="003D049B"/>
    <w:rsid w:val="003D3D21"/>
    <w:rsid w:val="003D5109"/>
    <w:rsid w:val="003D5EBF"/>
    <w:rsid w:val="003D6FF1"/>
    <w:rsid w:val="003E0DED"/>
    <w:rsid w:val="003E0E3C"/>
    <w:rsid w:val="003E1B3B"/>
    <w:rsid w:val="003E2DBA"/>
    <w:rsid w:val="003E3012"/>
    <w:rsid w:val="003E43AD"/>
    <w:rsid w:val="003E46DB"/>
    <w:rsid w:val="003E4824"/>
    <w:rsid w:val="003E4FDA"/>
    <w:rsid w:val="003E586B"/>
    <w:rsid w:val="003E5F5E"/>
    <w:rsid w:val="003E636D"/>
    <w:rsid w:val="003E6AA6"/>
    <w:rsid w:val="003E7E3F"/>
    <w:rsid w:val="003E7EF9"/>
    <w:rsid w:val="003F2BD2"/>
    <w:rsid w:val="003F5613"/>
    <w:rsid w:val="003F5AB7"/>
    <w:rsid w:val="003F7B2A"/>
    <w:rsid w:val="00400863"/>
    <w:rsid w:val="00403734"/>
    <w:rsid w:val="004055CC"/>
    <w:rsid w:val="00406BD6"/>
    <w:rsid w:val="00407795"/>
    <w:rsid w:val="00407D33"/>
    <w:rsid w:val="00410C53"/>
    <w:rsid w:val="00411634"/>
    <w:rsid w:val="004130FB"/>
    <w:rsid w:val="00414276"/>
    <w:rsid w:val="00416686"/>
    <w:rsid w:val="00416BD8"/>
    <w:rsid w:val="00417425"/>
    <w:rsid w:val="004178E1"/>
    <w:rsid w:val="004216E1"/>
    <w:rsid w:val="00421FEA"/>
    <w:rsid w:val="00423AD6"/>
    <w:rsid w:val="004245A5"/>
    <w:rsid w:val="00426617"/>
    <w:rsid w:val="00426CC2"/>
    <w:rsid w:val="00427CD7"/>
    <w:rsid w:val="00427FA8"/>
    <w:rsid w:val="00435969"/>
    <w:rsid w:val="00436878"/>
    <w:rsid w:val="004401E4"/>
    <w:rsid w:val="00440AD8"/>
    <w:rsid w:val="00444082"/>
    <w:rsid w:val="0044747D"/>
    <w:rsid w:val="004509FB"/>
    <w:rsid w:val="00454D14"/>
    <w:rsid w:val="00455B2B"/>
    <w:rsid w:val="00456345"/>
    <w:rsid w:val="004617C0"/>
    <w:rsid w:val="00463819"/>
    <w:rsid w:val="00463C26"/>
    <w:rsid w:val="00466D4F"/>
    <w:rsid w:val="004720F5"/>
    <w:rsid w:val="0047329A"/>
    <w:rsid w:val="00473D96"/>
    <w:rsid w:val="004764FD"/>
    <w:rsid w:val="0048037B"/>
    <w:rsid w:val="00480EAD"/>
    <w:rsid w:val="00480F4F"/>
    <w:rsid w:val="00480FF9"/>
    <w:rsid w:val="00487D8B"/>
    <w:rsid w:val="00492784"/>
    <w:rsid w:val="00493899"/>
    <w:rsid w:val="0049499B"/>
    <w:rsid w:val="00495341"/>
    <w:rsid w:val="00496062"/>
    <w:rsid w:val="00497616"/>
    <w:rsid w:val="004A148B"/>
    <w:rsid w:val="004A1B92"/>
    <w:rsid w:val="004A4A3D"/>
    <w:rsid w:val="004A6F0C"/>
    <w:rsid w:val="004A79BF"/>
    <w:rsid w:val="004B0C17"/>
    <w:rsid w:val="004B19DA"/>
    <w:rsid w:val="004B2DF0"/>
    <w:rsid w:val="004B4C36"/>
    <w:rsid w:val="004B4DBB"/>
    <w:rsid w:val="004B5204"/>
    <w:rsid w:val="004B5F6A"/>
    <w:rsid w:val="004B6ED1"/>
    <w:rsid w:val="004C12C0"/>
    <w:rsid w:val="004C184E"/>
    <w:rsid w:val="004C1E01"/>
    <w:rsid w:val="004C2D87"/>
    <w:rsid w:val="004C7182"/>
    <w:rsid w:val="004D0B57"/>
    <w:rsid w:val="004D6222"/>
    <w:rsid w:val="004D7A41"/>
    <w:rsid w:val="004E4080"/>
    <w:rsid w:val="004E5224"/>
    <w:rsid w:val="004E5C9B"/>
    <w:rsid w:val="004E6458"/>
    <w:rsid w:val="004E7878"/>
    <w:rsid w:val="004F0D4A"/>
    <w:rsid w:val="004F3389"/>
    <w:rsid w:val="004F36E5"/>
    <w:rsid w:val="004F3A6E"/>
    <w:rsid w:val="004F4A10"/>
    <w:rsid w:val="004F4CC6"/>
    <w:rsid w:val="004F5B75"/>
    <w:rsid w:val="004F651E"/>
    <w:rsid w:val="005008C2"/>
    <w:rsid w:val="00500C51"/>
    <w:rsid w:val="00501558"/>
    <w:rsid w:val="00502036"/>
    <w:rsid w:val="005032D3"/>
    <w:rsid w:val="005040AB"/>
    <w:rsid w:val="00504B63"/>
    <w:rsid w:val="005102A7"/>
    <w:rsid w:val="005113E8"/>
    <w:rsid w:val="00512F90"/>
    <w:rsid w:val="005139CA"/>
    <w:rsid w:val="00513E4A"/>
    <w:rsid w:val="0051496D"/>
    <w:rsid w:val="00514B51"/>
    <w:rsid w:val="0051656D"/>
    <w:rsid w:val="00516B4E"/>
    <w:rsid w:val="00517D93"/>
    <w:rsid w:val="00520822"/>
    <w:rsid w:val="005209A4"/>
    <w:rsid w:val="00521989"/>
    <w:rsid w:val="00521CA7"/>
    <w:rsid w:val="00522052"/>
    <w:rsid w:val="00522787"/>
    <w:rsid w:val="00525721"/>
    <w:rsid w:val="005261B2"/>
    <w:rsid w:val="00530FE9"/>
    <w:rsid w:val="00535C7D"/>
    <w:rsid w:val="00535EE6"/>
    <w:rsid w:val="00535F0B"/>
    <w:rsid w:val="005375C7"/>
    <w:rsid w:val="00537D6D"/>
    <w:rsid w:val="00537E71"/>
    <w:rsid w:val="00540AB6"/>
    <w:rsid w:val="00542635"/>
    <w:rsid w:val="00542C23"/>
    <w:rsid w:val="00545AF6"/>
    <w:rsid w:val="00547DE6"/>
    <w:rsid w:val="00551518"/>
    <w:rsid w:val="0055205F"/>
    <w:rsid w:val="00552BCC"/>
    <w:rsid w:val="00552EB3"/>
    <w:rsid w:val="00553E92"/>
    <w:rsid w:val="00555DC4"/>
    <w:rsid w:val="00556142"/>
    <w:rsid w:val="00556147"/>
    <w:rsid w:val="00561E24"/>
    <w:rsid w:val="00563F83"/>
    <w:rsid w:val="005641B3"/>
    <w:rsid w:val="00570A28"/>
    <w:rsid w:val="00570B90"/>
    <w:rsid w:val="005759E9"/>
    <w:rsid w:val="00575DDC"/>
    <w:rsid w:val="00576C18"/>
    <w:rsid w:val="0057772E"/>
    <w:rsid w:val="00577A1F"/>
    <w:rsid w:val="005820FB"/>
    <w:rsid w:val="00584495"/>
    <w:rsid w:val="00584C12"/>
    <w:rsid w:val="00586053"/>
    <w:rsid w:val="0058644A"/>
    <w:rsid w:val="00587ACD"/>
    <w:rsid w:val="00587B5A"/>
    <w:rsid w:val="00587D86"/>
    <w:rsid w:val="00591268"/>
    <w:rsid w:val="00594960"/>
    <w:rsid w:val="00595534"/>
    <w:rsid w:val="00596E3D"/>
    <w:rsid w:val="0059728C"/>
    <w:rsid w:val="005A3D9B"/>
    <w:rsid w:val="005A4975"/>
    <w:rsid w:val="005A4BFE"/>
    <w:rsid w:val="005A4C97"/>
    <w:rsid w:val="005A4E08"/>
    <w:rsid w:val="005A5A2A"/>
    <w:rsid w:val="005B0BFB"/>
    <w:rsid w:val="005B3407"/>
    <w:rsid w:val="005B4403"/>
    <w:rsid w:val="005B5476"/>
    <w:rsid w:val="005B7FAB"/>
    <w:rsid w:val="005C1E1C"/>
    <w:rsid w:val="005C3B30"/>
    <w:rsid w:val="005C4E9A"/>
    <w:rsid w:val="005C627F"/>
    <w:rsid w:val="005C699A"/>
    <w:rsid w:val="005D353A"/>
    <w:rsid w:val="005D739B"/>
    <w:rsid w:val="005D7466"/>
    <w:rsid w:val="005D7CA4"/>
    <w:rsid w:val="005E033F"/>
    <w:rsid w:val="005E0773"/>
    <w:rsid w:val="005E1957"/>
    <w:rsid w:val="005E5D1E"/>
    <w:rsid w:val="005E65C3"/>
    <w:rsid w:val="005E7276"/>
    <w:rsid w:val="005E7562"/>
    <w:rsid w:val="005F01DA"/>
    <w:rsid w:val="005F2773"/>
    <w:rsid w:val="005F3044"/>
    <w:rsid w:val="00600A7D"/>
    <w:rsid w:val="00603C31"/>
    <w:rsid w:val="00604135"/>
    <w:rsid w:val="00605CD7"/>
    <w:rsid w:val="006071A0"/>
    <w:rsid w:val="00611B5C"/>
    <w:rsid w:val="00612344"/>
    <w:rsid w:val="00615FFE"/>
    <w:rsid w:val="00616880"/>
    <w:rsid w:val="00617DC0"/>
    <w:rsid w:val="00617FE0"/>
    <w:rsid w:val="0062035D"/>
    <w:rsid w:val="006213EA"/>
    <w:rsid w:val="0062159D"/>
    <w:rsid w:val="00625017"/>
    <w:rsid w:val="00625F2C"/>
    <w:rsid w:val="00626432"/>
    <w:rsid w:val="00631E9C"/>
    <w:rsid w:val="00632897"/>
    <w:rsid w:val="006343BC"/>
    <w:rsid w:val="00637D2D"/>
    <w:rsid w:val="00640D55"/>
    <w:rsid w:val="00642D58"/>
    <w:rsid w:val="00644725"/>
    <w:rsid w:val="00645261"/>
    <w:rsid w:val="006458B9"/>
    <w:rsid w:val="0064765F"/>
    <w:rsid w:val="006478EA"/>
    <w:rsid w:val="00651BEA"/>
    <w:rsid w:val="006527AC"/>
    <w:rsid w:val="00653019"/>
    <w:rsid w:val="00653BB6"/>
    <w:rsid w:val="00656604"/>
    <w:rsid w:val="006572E4"/>
    <w:rsid w:val="0066420E"/>
    <w:rsid w:val="0066678C"/>
    <w:rsid w:val="00670335"/>
    <w:rsid w:val="00673F70"/>
    <w:rsid w:val="00674A19"/>
    <w:rsid w:val="00674CFF"/>
    <w:rsid w:val="00676D7C"/>
    <w:rsid w:val="00681962"/>
    <w:rsid w:val="00682EC8"/>
    <w:rsid w:val="00683E2A"/>
    <w:rsid w:val="006864BA"/>
    <w:rsid w:val="00687628"/>
    <w:rsid w:val="0069013D"/>
    <w:rsid w:val="00690582"/>
    <w:rsid w:val="00696035"/>
    <w:rsid w:val="006A1883"/>
    <w:rsid w:val="006A2A50"/>
    <w:rsid w:val="006A2FE2"/>
    <w:rsid w:val="006A6285"/>
    <w:rsid w:val="006A6694"/>
    <w:rsid w:val="006B0048"/>
    <w:rsid w:val="006B05EF"/>
    <w:rsid w:val="006B0A52"/>
    <w:rsid w:val="006B0FC7"/>
    <w:rsid w:val="006B1383"/>
    <w:rsid w:val="006B1516"/>
    <w:rsid w:val="006B2017"/>
    <w:rsid w:val="006B2ED7"/>
    <w:rsid w:val="006B3300"/>
    <w:rsid w:val="006B4EB0"/>
    <w:rsid w:val="006B59E1"/>
    <w:rsid w:val="006B66C9"/>
    <w:rsid w:val="006B7294"/>
    <w:rsid w:val="006C0C93"/>
    <w:rsid w:val="006C46CA"/>
    <w:rsid w:val="006C48AE"/>
    <w:rsid w:val="006C55BD"/>
    <w:rsid w:val="006C5AB5"/>
    <w:rsid w:val="006C69D2"/>
    <w:rsid w:val="006D201E"/>
    <w:rsid w:val="006D3169"/>
    <w:rsid w:val="006D6BFA"/>
    <w:rsid w:val="006E270A"/>
    <w:rsid w:val="006E3177"/>
    <w:rsid w:val="006E3660"/>
    <w:rsid w:val="006E69DB"/>
    <w:rsid w:val="006E777E"/>
    <w:rsid w:val="006F398B"/>
    <w:rsid w:val="00700423"/>
    <w:rsid w:val="00702B7A"/>
    <w:rsid w:val="00703C4D"/>
    <w:rsid w:val="00707AF3"/>
    <w:rsid w:val="00707B39"/>
    <w:rsid w:val="007116C0"/>
    <w:rsid w:val="00712CB2"/>
    <w:rsid w:val="0071678B"/>
    <w:rsid w:val="007168AD"/>
    <w:rsid w:val="00717357"/>
    <w:rsid w:val="00720C52"/>
    <w:rsid w:val="007218A7"/>
    <w:rsid w:val="00721B00"/>
    <w:rsid w:val="00721B6B"/>
    <w:rsid w:val="00724550"/>
    <w:rsid w:val="0072777C"/>
    <w:rsid w:val="007308AD"/>
    <w:rsid w:val="00733290"/>
    <w:rsid w:val="00733D10"/>
    <w:rsid w:val="00733FF5"/>
    <w:rsid w:val="00734037"/>
    <w:rsid w:val="00734111"/>
    <w:rsid w:val="0073556C"/>
    <w:rsid w:val="007379D6"/>
    <w:rsid w:val="00737B54"/>
    <w:rsid w:val="00743EF6"/>
    <w:rsid w:val="00744792"/>
    <w:rsid w:val="007469FE"/>
    <w:rsid w:val="00746BA6"/>
    <w:rsid w:val="00750E03"/>
    <w:rsid w:val="007516D6"/>
    <w:rsid w:val="00755DC5"/>
    <w:rsid w:val="0076306E"/>
    <w:rsid w:val="00763E5C"/>
    <w:rsid w:val="007642DB"/>
    <w:rsid w:val="0076515D"/>
    <w:rsid w:val="00766D96"/>
    <w:rsid w:val="00767AD8"/>
    <w:rsid w:val="00771A2B"/>
    <w:rsid w:val="0077354C"/>
    <w:rsid w:val="00775B29"/>
    <w:rsid w:val="00775E87"/>
    <w:rsid w:val="00776714"/>
    <w:rsid w:val="00777936"/>
    <w:rsid w:val="00780104"/>
    <w:rsid w:val="0078336A"/>
    <w:rsid w:val="00784FDA"/>
    <w:rsid w:val="007855C5"/>
    <w:rsid w:val="007864EA"/>
    <w:rsid w:val="007867E9"/>
    <w:rsid w:val="00787284"/>
    <w:rsid w:val="00787C89"/>
    <w:rsid w:val="00790484"/>
    <w:rsid w:val="007913EA"/>
    <w:rsid w:val="00791630"/>
    <w:rsid w:val="00791B65"/>
    <w:rsid w:val="007947BF"/>
    <w:rsid w:val="007968A2"/>
    <w:rsid w:val="007A089B"/>
    <w:rsid w:val="007A2349"/>
    <w:rsid w:val="007A2F58"/>
    <w:rsid w:val="007A3BB2"/>
    <w:rsid w:val="007A6CE4"/>
    <w:rsid w:val="007B2023"/>
    <w:rsid w:val="007B4A93"/>
    <w:rsid w:val="007B4CFD"/>
    <w:rsid w:val="007B4D7E"/>
    <w:rsid w:val="007B7040"/>
    <w:rsid w:val="007C3842"/>
    <w:rsid w:val="007C4D14"/>
    <w:rsid w:val="007C693A"/>
    <w:rsid w:val="007D0619"/>
    <w:rsid w:val="007D3872"/>
    <w:rsid w:val="007D3F30"/>
    <w:rsid w:val="007D4D67"/>
    <w:rsid w:val="007D6720"/>
    <w:rsid w:val="007D69C5"/>
    <w:rsid w:val="007D7953"/>
    <w:rsid w:val="007D7FBE"/>
    <w:rsid w:val="007E0581"/>
    <w:rsid w:val="007E1AAE"/>
    <w:rsid w:val="007E2D53"/>
    <w:rsid w:val="007E343C"/>
    <w:rsid w:val="007E5A83"/>
    <w:rsid w:val="007F050C"/>
    <w:rsid w:val="007F143D"/>
    <w:rsid w:val="007F27F6"/>
    <w:rsid w:val="007F295F"/>
    <w:rsid w:val="007F3018"/>
    <w:rsid w:val="007F5CE8"/>
    <w:rsid w:val="0080011B"/>
    <w:rsid w:val="008015FB"/>
    <w:rsid w:val="008022D7"/>
    <w:rsid w:val="00802854"/>
    <w:rsid w:val="00806AEF"/>
    <w:rsid w:val="00807AE3"/>
    <w:rsid w:val="00807C1B"/>
    <w:rsid w:val="00807F65"/>
    <w:rsid w:val="008107AC"/>
    <w:rsid w:val="008107C4"/>
    <w:rsid w:val="00810A18"/>
    <w:rsid w:val="00811439"/>
    <w:rsid w:val="00811BAC"/>
    <w:rsid w:val="00812E14"/>
    <w:rsid w:val="00815BF4"/>
    <w:rsid w:val="00817D4F"/>
    <w:rsid w:val="00817E89"/>
    <w:rsid w:val="008205E7"/>
    <w:rsid w:val="00821085"/>
    <w:rsid w:val="0082313F"/>
    <w:rsid w:val="00823512"/>
    <w:rsid w:val="008238CD"/>
    <w:rsid w:val="00826AC6"/>
    <w:rsid w:val="00827113"/>
    <w:rsid w:val="0082770E"/>
    <w:rsid w:val="00827DB9"/>
    <w:rsid w:val="0083112D"/>
    <w:rsid w:val="00835C77"/>
    <w:rsid w:val="008362C4"/>
    <w:rsid w:val="0084294D"/>
    <w:rsid w:val="00843397"/>
    <w:rsid w:val="00843B84"/>
    <w:rsid w:val="00843E7B"/>
    <w:rsid w:val="0084684E"/>
    <w:rsid w:val="008526A4"/>
    <w:rsid w:val="0085404D"/>
    <w:rsid w:val="00856ED5"/>
    <w:rsid w:val="00857271"/>
    <w:rsid w:val="00857B1E"/>
    <w:rsid w:val="008604DE"/>
    <w:rsid w:val="0086063E"/>
    <w:rsid w:val="00861362"/>
    <w:rsid w:val="00862B53"/>
    <w:rsid w:val="00862F5E"/>
    <w:rsid w:val="0086338B"/>
    <w:rsid w:val="00864C7E"/>
    <w:rsid w:val="00865B10"/>
    <w:rsid w:val="00866345"/>
    <w:rsid w:val="008664BC"/>
    <w:rsid w:val="008672EF"/>
    <w:rsid w:val="00867942"/>
    <w:rsid w:val="008717E9"/>
    <w:rsid w:val="008722B9"/>
    <w:rsid w:val="00872C1A"/>
    <w:rsid w:val="00873FB3"/>
    <w:rsid w:val="00874B8A"/>
    <w:rsid w:val="008773A7"/>
    <w:rsid w:val="00881324"/>
    <w:rsid w:val="00882330"/>
    <w:rsid w:val="008848D5"/>
    <w:rsid w:val="00890AA2"/>
    <w:rsid w:val="00891CBD"/>
    <w:rsid w:val="00892756"/>
    <w:rsid w:val="008961F8"/>
    <w:rsid w:val="008A0650"/>
    <w:rsid w:val="008A1B84"/>
    <w:rsid w:val="008A2FA6"/>
    <w:rsid w:val="008A3D0A"/>
    <w:rsid w:val="008A3DDC"/>
    <w:rsid w:val="008A666B"/>
    <w:rsid w:val="008A7F26"/>
    <w:rsid w:val="008B0934"/>
    <w:rsid w:val="008B0BB2"/>
    <w:rsid w:val="008B2D88"/>
    <w:rsid w:val="008B5263"/>
    <w:rsid w:val="008B617D"/>
    <w:rsid w:val="008B710C"/>
    <w:rsid w:val="008C0589"/>
    <w:rsid w:val="008C172D"/>
    <w:rsid w:val="008C1AF9"/>
    <w:rsid w:val="008C37DE"/>
    <w:rsid w:val="008C3D42"/>
    <w:rsid w:val="008C4558"/>
    <w:rsid w:val="008C5A95"/>
    <w:rsid w:val="008C6BB9"/>
    <w:rsid w:val="008C787D"/>
    <w:rsid w:val="008C7EA1"/>
    <w:rsid w:val="008D57B6"/>
    <w:rsid w:val="008E16A3"/>
    <w:rsid w:val="008E1CB5"/>
    <w:rsid w:val="008E4AA2"/>
    <w:rsid w:val="008E62E5"/>
    <w:rsid w:val="008E7E76"/>
    <w:rsid w:val="008F0B4C"/>
    <w:rsid w:val="008F41E2"/>
    <w:rsid w:val="00902B82"/>
    <w:rsid w:val="00902DA6"/>
    <w:rsid w:val="009040EB"/>
    <w:rsid w:val="009064EB"/>
    <w:rsid w:val="00907E9A"/>
    <w:rsid w:val="009123F0"/>
    <w:rsid w:val="00912E4A"/>
    <w:rsid w:val="0091721C"/>
    <w:rsid w:val="00921010"/>
    <w:rsid w:val="009238D5"/>
    <w:rsid w:val="00923D6D"/>
    <w:rsid w:val="00925DFA"/>
    <w:rsid w:val="00927BF8"/>
    <w:rsid w:val="00927FC3"/>
    <w:rsid w:val="00937787"/>
    <w:rsid w:val="00937893"/>
    <w:rsid w:val="009401C2"/>
    <w:rsid w:val="00942AC5"/>
    <w:rsid w:val="00943EC2"/>
    <w:rsid w:val="0094513E"/>
    <w:rsid w:val="009477D3"/>
    <w:rsid w:val="00950CCF"/>
    <w:rsid w:val="00952B2C"/>
    <w:rsid w:val="00952EDE"/>
    <w:rsid w:val="009531CC"/>
    <w:rsid w:val="00954B8F"/>
    <w:rsid w:val="00955909"/>
    <w:rsid w:val="0096075D"/>
    <w:rsid w:val="00960F34"/>
    <w:rsid w:val="00961457"/>
    <w:rsid w:val="00961833"/>
    <w:rsid w:val="00961BCC"/>
    <w:rsid w:val="00963055"/>
    <w:rsid w:val="00963089"/>
    <w:rsid w:val="00963702"/>
    <w:rsid w:val="0096587D"/>
    <w:rsid w:val="00966807"/>
    <w:rsid w:val="00966C1A"/>
    <w:rsid w:val="00967DC6"/>
    <w:rsid w:val="00973115"/>
    <w:rsid w:val="00973595"/>
    <w:rsid w:val="00973CA8"/>
    <w:rsid w:val="00974427"/>
    <w:rsid w:val="00974B94"/>
    <w:rsid w:val="00975468"/>
    <w:rsid w:val="00976223"/>
    <w:rsid w:val="0097691D"/>
    <w:rsid w:val="009778A4"/>
    <w:rsid w:val="00977AF5"/>
    <w:rsid w:val="0098009C"/>
    <w:rsid w:val="00980BDF"/>
    <w:rsid w:val="00980FCB"/>
    <w:rsid w:val="00981FB7"/>
    <w:rsid w:val="00983FF5"/>
    <w:rsid w:val="00987EE7"/>
    <w:rsid w:val="009922D6"/>
    <w:rsid w:val="00993C1F"/>
    <w:rsid w:val="00995F66"/>
    <w:rsid w:val="00996DD5"/>
    <w:rsid w:val="009973E8"/>
    <w:rsid w:val="009A1B27"/>
    <w:rsid w:val="009A2326"/>
    <w:rsid w:val="009A4ED6"/>
    <w:rsid w:val="009A5282"/>
    <w:rsid w:val="009A6D6B"/>
    <w:rsid w:val="009A7B74"/>
    <w:rsid w:val="009B313A"/>
    <w:rsid w:val="009B356E"/>
    <w:rsid w:val="009B444A"/>
    <w:rsid w:val="009B4C19"/>
    <w:rsid w:val="009B51EF"/>
    <w:rsid w:val="009C077F"/>
    <w:rsid w:val="009C1B18"/>
    <w:rsid w:val="009C1DB5"/>
    <w:rsid w:val="009C2C9C"/>
    <w:rsid w:val="009C348A"/>
    <w:rsid w:val="009C489A"/>
    <w:rsid w:val="009C4CED"/>
    <w:rsid w:val="009C5128"/>
    <w:rsid w:val="009C6B34"/>
    <w:rsid w:val="009C71CD"/>
    <w:rsid w:val="009C752A"/>
    <w:rsid w:val="009D0A81"/>
    <w:rsid w:val="009D1954"/>
    <w:rsid w:val="009D2D81"/>
    <w:rsid w:val="009D3068"/>
    <w:rsid w:val="009D3C24"/>
    <w:rsid w:val="009D4058"/>
    <w:rsid w:val="009D4D4B"/>
    <w:rsid w:val="009D4F5D"/>
    <w:rsid w:val="009E1891"/>
    <w:rsid w:val="009E3202"/>
    <w:rsid w:val="009E4484"/>
    <w:rsid w:val="009E57F2"/>
    <w:rsid w:val="009E652D"/>
    <w:rsid w:val="009E7D93"/>
    <w:rsid w:val="009F5B0D"/>
    <w:rsid w:val="009F6468"/>
    <w:rsid w:val="009F6EF0"/>
    <w:rsid w:val="00A00260"/>
    <w:rsid w:val="00A00783"/>
    <w:rsid w:val="00A0134C"/>
    <w:rsid w:val="00A01B6F"/>
    <w:rsid w:val="00A02C5E"/>
    <w:rsid w:val="00A0662C"/>
    <w:rsid w:val="00A104A5"/>
    <w:rsid w:val="00A10738"/>
    <w:rsid w:val="00A107A8"/>
    <w:rsid w:val="00A11D25"/>
    <w:rsid w:val="00A13C8B"/>
    <w:rsid w:val="00A1447D"/>
    <w:rsid w:val="00A144FB"/>
    <w:rsid w:val="00A146DD"/>
    <w:rsid w:val="00A15C81"/>
    <w:rsid w:val="00A22EAE"/>
    <w:rsid w:val="00A26524"/>
    <w:rsid w:val="00A300DD"/>
    <w:rsid w:val="00A304B9"/>
    <w:rsid w:val="00A32A44"/>
    <w:rsid w:val="00A334B2"/>
    <w:rsid w:val="00A37408"/>
    <w:rsid w:val="00A40082"/>
    <w:rsid w:val="00A42B3B"/>
    <w:rsid w:val="00A44BCA"/>
    <w:rsid w:val="00A4555F"/>
    <w:rsid w:val="00A45668"/>
    <w:rsid w:val="00A476E5"/>
    <w:rsid w:val="00A510CA"/>
    <w:rsid w:val="00A512CC"/>
    <w:rsid w:val="00A51701"/>
    <w:rsid w:val="00A517AC"/>
    <w:rsid w:val="00A52B85"/>
    <w:rsid w:val="00A52C9F"/>
    <w:rsid w:val="00A52DD6"/>
    <w:rsid w:val="00A535EB"/>
    <w:rsid w:val="00A55644"/>
    <w:rsid w:val="00A5607F"/>
    <w:rsid w:val="00A561DB"/>
    <w:rsid w:val="00A57516"/>
    <w:rsid w:val="00A609FE"/>
    <w:rsid w:val="00A61971"/>
    <w:rsid w:val="00A63265"/>
    <w:rsid w:val="00A65BCC"/>
    <w:rsid w:val="00A65CBF"/>
    <w:rsid w:val="00A66845"/>
    <w:rsid w:val="00A6745E"/>
    <w:rsid w:val="00A73675"/>
    <w:rsid w:val="00A73DAB"/>
    <w:rsid w:val="00A7430F"/>
    <w:rsid w:val="00A74BE7"/>
    <w:rsid w:val="00A758E0"/>
    <w:rsid w:val="00A75BE9"/>
    <w:rsid w:val="00A76256"/>
    <w:rsid w:val="00A76C58"/>
    <w:rsid w:val="00A773E3"/>
    <w:rsid w:val="00A8041E"/>
    <w:rsid w:val="00A8154E"/>
    <w:rsid w:val="00A83678"/>
    <w:rsid w:val="00A83A5A"/>
    <w:rsid w:val="00A850BE"/>
    <w:rsid w:val="00A86083"/>
    <w:rsid w:val="00A9261E"/>
    <w:rsid w:val="00A94A25"/>
    <w:rsid w:val="00A95389"/>
    <w:rsid w:val="00A973AE"/>
    <w:rsid w:val="00A97E8D"/>
    <w:rsid w:val="00AA044C"/>
    <w:rsid w:val="00AA053C"/>
    <w:rsid w:val="00AA258D"/>
    <w:rsid w:val="00AA3900"/>
    <w:rsid w:val="00AA3916"/>
    <w:rsid w:val="00AA3A24"/>
    <w:rsid w:val="00AA3D89"/>
    <w:rsid w:val="00AA3E31"/>
    <w:rsid w:val="00AA4E4D"/>
    <w:rsid w:val="00AA607E"/>
    <w:rsid w:val="00AA6E70"/>
    <w:rsid w:val="00AB52D6"/>
    <w:rsid w:val="00AB53C1"/>
    <w:rsid w:val="00AB76C8"/>
    <w:rsid w:val="00AB7CC1"/>
    <w:rsid w:val="00AC04A5"/>
    <w:rsid w:val="00AC04E6"/>
    <w:rsid w:val="00AC1A5E"/>
    <w:rsid w:val="00AC1F42"/>
    <w:rsid w:val="00AC2548"/>
    <w:rsid w:val="00AC3065"/>
    <w:rsid w:val="00AC4ACE"/>
    <w:rsid w:val="00AC572A"/>
    <w:rsid w:val="00AC5A7C"/>
    <w:rsid w:val="00AC67E1"/>
    <w:rsid w:val="00AC6821"/>
    <w:rsid w:val="00AC77C5"/>
    <w:rsid w:val="00AD039D"/>
    <w:rsid w:val="00AD2027"/>
    <w:rsid w:val="00AD2477"/>
    <w:rsid w:val="00AD48A4"/>
    <w:rsid w:val="00AD68F3"/>
    <w:rsid w:val="00AD696F"/>
    <w:rsid w:val="00AE5822"/>
    <w:rsid w:val="00AF25C3"/>
    <w:rsid w:val="00AF3025"/>
    <w:rsid w:val="00AF3270"/>
    <w:rsid w:val="00AF35B1"/>
    <w:rsid w:val="00AF4E31"/>
    <w:rsid w:val="00AF4FFD"/>
    <w:rsid w:val="00AF6739"/>
    <w:rsid w:val="00AF700C"/>
    <w:rsid w:val="00B002D1"/>
    <w:rsid w:val="00B0039F"/>
    <w:rsid w:val="00B0174A"/>
    <w:rsid w:val="00B02921"/>
    <w:rsid w:val="00B04950"/>
    <w:rsid w:val="00B049D3"/>
    <w:rsid w:val="00B04EAD"/>
    <w:rsid w:val="00B11384"/>
    <w:rsid w:val="00B119B3"/>
    <w:rsid w:val="00B124F5"/>
    <w:rsid w:val="00B14AE5"/>
    <w:rsid w:val="00B16A6D"/>
    <w:rsid w:val="00B1763D"/>
    <w:rsid w:val="00B208BE"/>
    <w:rsid w:val="00B23E61"/>
    <w:rsid w:val="00B2449E"/>
    <w:rsid w:val="00B25380"/>
    <w:rsid w:val="00B264CB"/>
    <w:rsid w:val="00B26693"/>
    <w:rsid w:val="00B271AD"/>
    <w:rsid w:val="00B30F5A"/>
    <w:rsid w:val="00B32A42"/>
    <w:rsid w:val="00B32C9D"/>
    <w:rsid w:val="00B33822"/>
    <w:rsid w:val="00B33F51"/>
    <w:rsid w:val="00B37AD0"/>
    <w:rsid w:val="00B40522"/>
    <w:rsid w:val="00B40BB5"/>
    <w:rsid w:val="00B433B9"/>
    <w:rsid w:val="00B437BC"/>
    <w:rsid w:val="00B44356"/>
    <w:rsid w:val="00B449BB"/>
    <w:rsid w:val="00B44AC4"/>
    <w:rsid w:val="00B46E4A"/>
    <w:rsid w:val="00B5029E"/>
    <w:rsid w:val="00B52BDD"/>
    <w:rsid w:val="00B52D82"/>
    <w:rsid w:val="00B5303B"/>
    <w:rsid w:val="00B53333"/>
    <w:rsid w:val="00B6180C"/>
    <w:rsid w:val="00B61B32"/>
    <w:rsid w:val="00B61F06"/>
    <w:rsid w:val="00B62C5E"/>
    <w:rsid w:val="00B633B4"/>
    <w:rsid w:val="00B6611A"/>
    <w:rsid w:val="00B70A40"/>
    <w:rsid w:val="00B70C26"/>
    <w:rsid w:val="00B715D4"/>
    <w:rsid w:val="00B71A05"/>
    <w:rsid w:val="00B71B61"/>
    <w:rsid w:val="00B721BC"/>
    <w:rsid w:val="00B72425"/>
    <w:rsid w:val="00B72735"/>
    <w:rsid w:val="00B73948"/>
    <w:rsid w:val="00B743BF"/>
    <w:rsid w:val="00B74DCE"/>
    <w:rsid w:val="00B75600"/>
    <w:rsid w:val="00B77142"/>
    <w:rsid w:val="00B80149"/>
    <w:rsid w:val="00B8444D"/>
    <w:rsid w:val="00B851AA"/>
    <w:rsid w:val="00B87A82"/>
    <w:rsid w:val="00B914C7"/>
    <w:rsid w:val="00B917EE"/>
    <w:rsid w:val="00B931F5"/>
    <w:rsid w:val="00B95358"/>
    <w:rsid w:val="00B95D59"/>
    <w:rsid w:val="00B95EF0"/>
    <w:rsid w:val="00B966D9"/>
    <w:rsid w:val="00B966F0"/>
    <w:rsid w:val="00BA05B6"/>
    <w:rsid w:val="00BA2498"/>
    <w:rsid w:val="00BA4FDA"/>
    <w:rsid w:val="00BA590A"/>
    <w:rsid w:val="00BA6056"/>
    <w:rsid w:val="00BA71B5"/>
    <w:rsid w:val="00BA7953"/>
    <w:rsid w:val="00BB1224"/>
    <w:rsid w:val="00BB1967"/>
    <w:rsid w:val="00BB25D4"/>
    <w:rsid w:val="00BB47F1"/>
    <w:rsid w:val="00BB5E04"/>
    <w:rsid w:val="00BB717F"/>
    <w:rsid w:val="00BC0E8E"/>
    <w:rsid w:val="00BC13DA"/>
    <w:rsid w:val="00BC146D"/>
    <w:rsid w:val="00BC14B4"/>
    <w:rsid w:val="00BC16AE"/>
    <w:rsid w:val="00BC317D"/>
    <w:rsid w:val="00BC37E1"/>
    <w:rsid w:val="00BC543C"/>
    <w:rsid w:val="00BC599D"/>
    <w:rsid w:val="00BD4264"/>
    <w:rsid w:val="00BD4338"/>
    <w:rsid w:val="00BD50AF"/>
    <w:rsid w:val="00BD67F8"/>
    <w:rsid w:val="00BD680A"/>
    <w:rsid w:val="00BD799C"/>
    <w:rsid w:val="00BD7F6C"/>
    <w:rsid w:val="00BE0569"/>
    <w:rsid w:val="00BE0F08"/>
    <w:rsid w:val="00BE2475"/>
    <w:rsid w:val="00BE353D"/>
    <w:rsid w:val="00BE3BE8"/>
    <w:rsid w:val="00BE3EAB"/>
    <w:rsid w:val="00BE51A0"/>
    <w:rsid w:val="00BE651C"/>
    <w:rsid w:val="00BE70CA"/>
    <w:rsid w:val="00BE7155"/>
    <w:rsid w:val="00BE71E4"/>
    <w:rsid w:val="00BF1414"/>
    <w:rsid w:val="00BF1898"/>
    <w:rsid w:val="00BF2052"/>
    <w:rsid w:val="00BF6DEF"/>
    <w:rsid w:val="00C002D5"/>
    <w:rsid w:val="00C01038"/>
    <w:rsid w:val="00C011BF"/>
    <w:rsid w:val="00C017A8"/>
    <w:rsid w:val="00C02E07"/>
    <w:rsid w:val="00C0428E"/>
    <w:rsid w:val="00C04763"/>
    <w:rsid w:val="00C103A5"/>
    <w:rsid w:val="00C12105"/>
    <w:rsid w:val="00C12B68"/>
    <w:rsid w:val="00C1306B"/>
    <w:rsid w:val="00C13324"/>
    <w:rsid w:val="00C1692A"/>
    <w:rsid w:val="00C173E2"/>
    <w:rsid w:val="00C20FE0"/>
    <w:rsid w:val="00C212E6"/>
    <w:rsid w:val="00C220DA"/>
    <w:rsid w:val="00C230DF"/>
    <w:rsid w:val="00C259F0"/>
    <w:rsid w:val="00C265B2"/>
    <w:rsid w:val="00C330F5"/>
    <w:rsid w:val="00C33387"/>
    <w:rsid w:val="00C3407C"/>
    <w:rsid w:val="00C36DC5"/>
    <w:rsid w:val="00C37B70"/>
    <w:rsid w:val="00C4041F"/>
    <w:rsid w:val="00C40DD4"/>
    <w:rsid w:val="00C4139C"/>
    <w:rsid w:val="00C422D3"/>
    <w:rsid w:val="00C46810"/>
    <w:rsid w:val="00C46D67"/>
    <w:rsid w:val="00C471C8"/>
    <w:rsid w:val="00C472BF"/>
    <w:rsid w:val="00C51542"/>
    <w:rsid w:val="00C51CB1"/>
    <w:rsid w:val="00C524B8"/>
    <w:rsid w:val="00C53504"/>
    <w:rsid w:val="00C54150"/>
    <w:rsid w:val="00C5552B"/>
    <w:rsid w:val="00C56446"/>
    <w:rsid w:val="00C56496"/>
    <w:rsid w:val="00C5772E"/>
    <w:rsid w:val="00C6094A"/>
    <w:rsid w:val="00C61860"/>
    <w:rsid w:val="00C63766"/>
    <w:rsid w:val="00C6564E"/>
    <w:rsid w:val="00C656EF"/>
    <w:rsid w:val="00C6611C"/>
    <w:rsid w:val="00C6677B"/>
    <w:rsid w:val="00C67289"/>
    <w:rsid w:val="00C67646"/>
    <w:rsid w:val="00C67D11"/>
    <w:rsid w:val="00C70407"/>
    <w:rsid w:val="00C746A4"/>
    <w:rsid w:val="00C752B0"/>
    <w:rsid w:val="00C77098"/>
    <w:rsid w:val="00C8185A"/>
    <w:rsid w:val="00C81D09"/>
    <w:rsid w:val="00C822B0"/>
    <w:rsid w:val="00C82EE4"/>
    <w:rsid w:val="00C830C6"/>
    <w:rsid w:val="00C83FD9"/>
    <w:rsid w:val="00C84EB4"/>
    <w:rsid w:val="00C94540"/>
    <w:rsid w:val="00C95642"/>
    <w:rsid w:val="00C972AC"/>
    <w:rsid w:val="00CA0E61"/>
    <w:rsid w:val="00CA4055"/>
    <w:rsid w:val="00CA62DE"/>
    <w:rsid w:val="00CA657F"/>
    <w:rsid w:val="00CA65E8"/>
    <w:rsid w:val="00CA704C"/>
    <w:rsid w:val="00CB0187"/>
    <w:rsid w:val="00CB1EF0"/>
    <w:rsid w:val="00CB2C3B"/>
    <w:rsid w:val="00CB4EB4"/>
    <w:rsid w:val="00CB58E3"/>
    <w:rsid w:val="00CB66C8"/>
    <w:rsid w:val="00CB6E26"/>
    <w:rsid w:val="00CB72B5"/>
    <w:rsid w:val="00CC23EC"/>
    <w:rsid w:val="00CC2E1A"/>
    <w:rsid w:val="00CC46D3"/>
    <w:rsid w:val="00CC5CEB"/>
    <w:rsid w:val="00CC6629"/>
    <w:rsid w:val="00CD0FED"/>
    <w:rsid w:val="00CD13BD"/>
    <w:rsid w:val="00CD2272"/>
    <w:rsid w:val="00CD3D88"/>
    <w:rsid w:val="00CD4013"/>
    <w:rsid w:val="00CD4D4B"/>
    <w:rsid w:val="00CD5170"/>
    <w:rsid w:val="00CD54AF"/>
    <w:rsid w:val="00CD6D6C"/>
    <w:rsid w:val="00CD7245"/>
    <w:rsid w:val="00CD76E2"/>
    <w:rsid w:val="00CE0685"/>
    <w:rsid w:val="00CE331A"/>
    <w:rsid w:val="00CE4FD1"/>
    <w:rsid w:val="00CE767C"/>
    <w:rsid w:val="00CF0E30"/>
    <w:rsid w:val="00CF10F1"/>
    <w:rsid w:val="00CF1297"/>
    <w:rsid w:val="00CF4040"/>
    <w:rsid w:val="00CF4A74"/>
    <w:rsid w:val="00CF5AFE"/>
    <w:rsid w:val="00CF5DA9"/>
    <w:rsid w:val="00CF5F7A"/>
    <w:rsid w:val="00CF659F"/>
    <w:rsid w:val="00CF7DCD"/>
    <w:rsid w:val="00D0395E"/>
    <w:rsid w:val="00D03BC4"/>
    <w:rsid w:val="00D03EBD"/>
    <w:rsid w:val="00D045A5"/>
    <w:rsid w:val="00D06D29"/>
    <w:rsid w:val="00D127FA"/>
    <w:rsid w:val="00D12E8B"/>
    <w:rsid w:val="00D13EB3"/>
    <w:rsid w:val="00D1526B"/>
    <w:rsid w:val="00D17A56"/>
    <w:rsid w:val="00D20537"/>
    <w:rsid w:val="00D22A7E"/>
    <w:rsid w:val="00D23D19"/>
    <w:rsid w:val="00D26709"/>
    <w:rsid w:val="00D2730B"/>
    <w:rsid w:val="00D34983"/>
    <w:rsid w:val="00D359EC"/>
    <w:rsid w:val="00D36B04"/>
    <w:rsid w:val="00D40C82"/>
    <w:rsid w:val="00D42B9B"/>
    <w:rsid w:val="00D43246"/>
    <w:rsid w:val="00D4637D"/>
    <w:rsid w:val="00D5030F"/>
    <w:rsid w:val="00D51503"/>
    <w:rsid w:val="00D51E05"/>
    <w:rsid w:val="00D53297"/>
    <w:rsid w:val="00D53454"/>
    <w:rsid w:val="00D55186"/>
    <w:rsid w:val="00D57ADF"/>
    <w:rsid w:val="00D6033F"/>
    <w:rsid w:val="00D60B41"/>
    <w:rsid w:val="00D6223F"/>
    <w:rsid w:val="00D626AD"/>
    <w:rsid w:val="00D636E4"/>
    <w:rsid w:val="00D63AF3"/>
    <w:rsid w:val="00D63DD5"/>
    <w:rsid w:val="00D64323"/>
    <w:rsid w:val="00D65FB5"/>
    <w:rsid w:val="00D66E3D"/>
    <w:rsid w:val="00D66F0D"/>
    <w:rsid w:val="00D67353"/>
    <w:rsid w:val="00D71766"/>
    <w:rsid w:val="00D71DC8"/>
    <w:rsid w:val="00D81AC5"/>
    <w:rsid w:val="00D82DA3"/>
    <w:rsid w:val="00D85BA1"/>
    <w:rsid w:val="00D86AA7"/>
    <w:rsid w:val="00D86B85"/>
    <w:rsid w:val="00D87EDF"/>
    <w:rsid w:val="00D9028A"/>
    <w:rsid w:val="00D90538"/>
    <w:rsid w:val="00D90DC0"/>
    <w:rsid w:val="00D919EA"/>
    <w:rsid w:val="00D9335D"/>
    <w:rsid w:val="00D937EB"/>
    <w:rsid w:val="00D94A6E"/>
    <w:rsid w:val="00D94D30"/>
    <w:rsid w:val="00D9588B"/>
    <w:rsid w:val="00D95B86"/>
    <w:rsid w:val="00D95CFC"/>
    <w:rsid w:val="00DA084C"/>
    <w:rsid w:val="00DA1F81"/>
    <w:rsid w:val="00DA2A5F"/>
    <w:rsid w:val="00DA4249"/>
    <w:rsid w:val="00DA462A"/>
    <w:rsid w:val="00DA476B"/>
    <w:rsid w:val="00DA4C02"/>
    <w:rsid w:val="00DA6182"/>
    <w:rsid w:val="00DA72FD"/>
    <w:rsid w:val="00DA740A"/>
    <w:rsid w:val="00DB1A56"/>
    <w:rsid w:val="00DB28D9"/>
    <w:rsid w:val="00DB466F"/>
    <w:rsid w:val="00DB6137"/>
    <w:rsid w:val="00DB6CFC"/>
    <w:rsid w:val="00DB7886"/>
    <w:rsid w:val="00DC132B"/>
    <w:rsid w:val="00DC16B4"/>
    <w:rsid w:val="00DC18B4"/>
    <w:rsid w:val="00DC31FD"/>
    <w:rsid w:val="00DC49F3"/>
    <w:rsid w:val="00DC6EDD"/>
    <w:rsid w:val="00DC6F54"/>
    <w:rsid w:val="00DC7A7A"/>
    <w:rsid w:val="00DD1938"/>
    <w:rsid w:val="00DD1BBB"/>
    <w:rsid w:val="00DD2836"/>
    <w:rsid w:val="00DD2B36"/>
    <w:rsid w:val="00DD495E"/>
    <w:rsid w:val="00DD5298"/>
    <w:rsid w:val="00DD7B1C"/>
    <w:rsid w:val="00DD7B93"/>
    <w:rsid w:val="00DE32CA"/>
    <w:rsid w:val="00DF44E0"/>
    <w:rsid w:val="00DF59E9"/>
    <w:rsid w:val="00DF5E23"/>
    <w:rsid w:val="00DF763A"/>
    <w:rsid w:val="00DF7E41"/>
    <w:rsid w:val="00E00050"/>
    <w:rsid w:val="00E013AB"/>
    <w:rsid w:val="00E027B0"/>
    <w:rsid w:val="00E03607"/>
    <w:rsid w:val="00E03FF5"/>
    <w:rsid w:val="00E04557"/>
    <w:rsid w:val="00E11897"/>
    <w:rsid w:val="00E128D9"/>
    <w:rsid w:val="00E12ABB"/>
    <w:rsid w:val="00E14188"/>
    <w:rsid w:val="00E14636"/>
    <w:rsid w:val="00E14C5A"/>
    <w:rsid w:val="00E151BC"/>
    <w:rsid w:val="00E1538E"/>
    <w:rsid w:val="00E16C21"/>
    <w:rsid w:val="00E224FB"/>
    <w:rsid w:val="00E2360C"/>
    <w:rsid w:val="00E23B6A"/>
    <w:rsid w:val="00E304FF"/>
    <w:rsid w:val="00E31979"/>
    <w:rsid w:val="00E32B82"/>
    <w:rsid w:val="00E341F2"/>
    <w:rsid w:val="00E35723"/>
    <w:rsid w:val="00E36222"/>
    <w:rsid w:val="00E37E4A"/>
    <w:rsid w:val="00E44549"/>
    <w:rsid w:val="00E47B86"/>
    <w:rsid w:val="00E50ADC"/>
    <w:rsid w:val="00E51D26"/>
    <w:rsid w:val="00E52178"/>
    <w:rsid w:val="00E528A4"/>
    <w:rsid w:val="00E540A2"/>
    <w:rsid w:val="00E546BC"/>
    <w:rsid w:val="00E56596"/>
    <w:rsid w:val="00E577D3"/>
    <w:rsid w:val="00E60A5E"/>
    <w:rsid w:val="00E60F4E"/>
    <w:rsid w:val="00E62663"/>
    <w:rsid w:val="00E70F9F"/>
    <w:rsid w:val="00E7112F"/>
    <w:rsid w:val="00E716BF"/>
    <w:rsid w:val="00E73022"/>
    <w:rsid w:val="00E73086"/>
    <w:rsid w:val="00E733FF"/>
    <w:rsid w:val="00E754FA"/>
    <w:rsid w:val="00E7666A"/>
    <w:rsid w:val="00E77A76"/>
    <w:rsid w:val="00E80024"/>
    <w:rsid w:val="00E8216B"/>
    <w:rsid w:val="00E828DD"/>
    <w:rsid w:val="00E84219"/>
    <w:rsid w:val="00E8550B"/>
    <w:rsid w:val="00E91374"/>
    <w:rsid w:val="00E922CA"/>
    <w:rsid w:val="00E952BB"/>
    <w:rsid w:val="00E9678B"/>
    <w:rsid w:val="00E974DD"/>
    <w:rsid w:val="00EA0046"/>
    <w:rsid w:val="00EA094E"/>
    <w:rsid w:val="00EA0A39"/>
    <w:rsid w:val="00EA1E3C"/>
    <w:rsid w:val="00EA488C"/>
    <w:rsid w:val="00EA5043"/>
    <w:rsid w:val="00EA7374"/>
    <w:rsid w:val="00EA7DA2"/>
    <w:rsid w:val="00EB098B"/>
    <w:rsid w:val="00EB14D6"/>
    <w:rsid w:val="00EB29A6"/>
    <w:rsid w:val="00EB34E6"/>
    <w:rsid w:val="00EB3D45"/>
    <w:rsid w:val="00EB4794"/>
    <w:rsid w:val="00EB59F3"/>
    <w:rsid w:val="00EB674D"/>
    <w:rsid w:val="00EC018E"/>
    <w:rsid w:val="00EC159F"/>
    <w:rsid w:val="00EC2585"/>
    <w:rsid w:val="00EC31E5"/>
    <w:rsid w:val="00EC345B"/>
    <w:rsid w:val="00EC5872"/>
    <w:rsid w:val="00EC621E"/>
    <w:rsid w:val="00EC64AD"/>
    <w:rsid w:val="00EC6590"/>
    <w:rsid w:val="00EC6E2B"/>
    <w:rsid w:val="00EC7DCF"/>
    <w:rsid w:val="00ED38BE"/>
    <w:rsid w:val="00ED4DF9"/>
    <w:rsid w:val="00ED6D88"/>
    <w:rsid w:val="00EE057C"/>
    <w:rsid w:val="00EE0A0B"/>
    <w:rsid w:val="00EE0D70"/>
    <w:rsid w:val="00EE12DB"/>
    <w:rsid w:val="00EE1443"/>
    <w:rsid w:val="00EE4613"/>
    <w:rsid w:val="00EE688F"/>
    <w:rsid w:val="00EE6B8A"/>
    <w:rsid w:val="00EF276D"/>
    <w:rsid w:val="00EF4542"/>
    <w:rsid w:val="00EF48F9"/>
    <w:rsid w:val="00EF5A21"/>
    <w:rsid w:val="00EF68D6"/>
    <w:rsid w:val="00EF7BE2"/>
    <w:rsid w:val="00F01997"/>
    <w:rsid w:val="00F02774"/>
    <w:rsid w:val="00F112E7"/>
    <w:rsid w:val="00F11527"/>
    <w:rsid w:val="00F14EDD"/>
    <w:rsid w:val="00F17B1C"/>
    <w:rsid w:val="00F17C98"/>
    <w:rsid w:val="00F17CF5"/>
    <w:rsid w:val="00F214B9"/>
    <w:rsid w:val="00F25391"/>
    <w:rsid w:val="00F25B83"/>
    <w:rsid w:val="00F31416"/>
    <w:rsid w:val="00F324DC"/>
    <w:rsid w:val="00F373CE"/>
    <w:rsid w:val="00F426C2"/>
    <w:rsid w:val="00F45B4E"/>
    <w:rsid w:val="00F4605E"/>
    <w:rsid w:val="00F53BC9"/>
    <w:rsid w:val="00F54D6D"/>
    <w:rsid w:val="00F60CDD"/>
    <w:rsid w:val="00F62B36"/>
    <w:rsid w:val="00F640D9"/>
    <w:rsid w:val="00F64ACD"/>
    <w:rsid w:val="00F64E60"/>
    <w:rsid w:val="00F66085"/>
    <w:rsid w:val="00F7172E"/>
    <w:rsid w:val="00F73230"/>
    <w:rsid w:val="00F73F92"/>
    <w:rsid w:val="00F7592E"/>
    <w:rsid w:val="00F75BCD"/>
    <w:rsid w:val="00F7609C"/>
    <w:rsid w:val="00F777C9"/>
    <w:rsid w:val="00F817BA"/>
    <w:rsid w:val="00F83140"/>
    <w:rsid w:val="00F850E8"/>
    <w:rsid w:val="00F854BC"/>
    <w:rsid w:val="00F86FAE"/>
    <w:rsid w:val="00F871ED"/>
    <w:rsid w:val="00F90E90"/>
    <w:rsid w:val="00F911E4"/>
    <w:rsid w:val="00F922E6"/>
    <w:rsid w:val="00F935F6"/>
    <w:rsid w:val="00F939C1"/>
    <w:rsid w:val="00F96D12"/>
    <w:rsid w:val="00F97593"/>
    <w:rsid w:val="00F9759F"/>
    <w:rsid w:val="00F97D5F"/>
    <w:rsid w:val="00FA00B0"/>
    <w:rsid w:val="00FA04ED"/>
    <w:rsid w:val="00FA251A"/>
    <w:rsid w:val="00FA2E04"/>
    <w:rsid w:val="00FA5966"/>
    <w:rsid w:val="00FA7AB2"/>
    <w:rsid w:val="00FB0FE9"/>
    <w:rsid w:val="00FB2597"/>
    <w:rsid w:val="00FB36CE"/>
    <w:rsid w:val="00FB61D3"/>
    <w:rsid w:val="00FC1994"/>
    <w:rsid w:val="00FC58EC"/>
    <w:rsid w:val="00FD4223"/>
    <w:rsid w:val="00FD468B"/>
    <w:rsid w:val="00FD4F0E"/>
    <w:rsid w:val="00FD60B2"/>
    <w:rsid w:val="00FE2329"/>
    <w:rsid w:val="00FE5E9C"/>
    <w:rsid w:val="00FE69D6"/>
    <w:rsid w:val="00FF0566"/>
    <w:rsid w:val="00FF1060"/>
    <w:rsid w:val="00FF1898"/>
    <w:rsid w:val="00FF2A2E"/>
    <w:rsid w:val="00FF39DE"/>
    <w:rsid w:val="00FF6B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47EC4A"/>
  <w15:docId w15:val="{BAE295F4-3B25-F24B-A5FE-1403D7C3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DF59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E528A4"/>
    <w:pPr>
      <w:ind w:left="720"/>
      <w:contextualSpacing/>
    </w:pPr>
  </w:style>
  <w:style w:type="character" w:styleId="Nmerodelinha">
    <w:name w:val="line number"/>
    <w:basedOn w:val="Fontepargpadro"/>
    <w:uiPriority w:val="99"/>
    <w:semiHidden/>
    <w:unhideWhenUsed/>
    <w:rsid w:val="00D82DA3"/>
  </w:style>
  <w:style w:type="table" w:styleId="Tabelacomgrade">
    <w:name w:val="Table Grid"/>
    <w:basedOn w:val="Tabelanormal"/>
    <w:uiPriority w:val="59"/>
    <w:rsid w:val="00D82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embloco">
    <w:name w:val="Block Text"/>
    <w:basedOn w:val="Normal"/>
    <w:rsid w:val="00D82DA3"/>
    <w:pPr>
      <w:widowControl w:val="0"/>
      <w:tabs>
        <w:tab w:val="left" w:pos="6804"/>
      </w:tabs>
      <w:spacing w:before="2" w:after="2" w:line="250" w:lineRule="auto"/>
      <w:ind w:left="336" w:right="57" w:hanging="279"/>
    </w:pPr>
    <w:rPr>
      <w:rFonts w:ascii="Arial" w:eastAsia="Times New Roman" w:hAnsi="Arial" w:cs="Arial"/>
      <w:sz w:val="20"/>
      <w:szCs w:val="24"/>
      <w:lang w:val="pt-PT"/>
    </w:rPr>
  </w:style>
  <w:style w:type="paragraph" w:styleId="Textodenotaderodap">
    <w:name w:val="footnote text"/>
    <w:basedOn w:val="Normal"/>
    <w:link w:val="TextodenotaderodapChar"/>
    <w:semiHidden/>
    <w:rsid w:val="00D82DA3"/>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semiHidden/>
    <w:rsid w:val="00D82DA3"/>
    <w:rPr>
      <w:rFonts w:ascii="Times New Roman" w:eastAsia="Times New Roman" w:hAnsi="Times New Roman" w:cs="Times New Roman"/>
      <w:sz w:val="20"/>
      <w:szCs w:val="20"/>
      <w:lang w:eastAsia="pt-BR"/>
    </w:rPr>
  </w:style>
  <w:style w:type="character" w:styleId="Refdenotaderodap">
    <w:name w:val="footnote reference"/>
    <w:semiHidden/>
    <w:rsid w:val="00D82DA3"/>
    <w:rPr>
      <w:vertAlign w:val="superscript"/>
    </w:rPr>
  </w:style>
  <w:style w:type="paragraph" w:styleId="Cabealho">
    <w:name w:val="header"/>
    <w:basedOn w:val="Normal"/>
    <w:link w:val="CabealhoChar"/>
    <w:uiPriority w:val="99"/>
    <w:unhideWhenUsed/>
    <w:rsid w:val="008C5A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5A95"/>
  </w:style>
  <w:style w:type="paragraph" w:styleId="Rodap">
    <w:name w:val="footer"/>
    <w:basedOn w:val="Normal"/>
    <w:link w:val="RodapChar"/>
    <w:unhideWhenUsed/>
    <w:rsid w:val="008C5A95"/>
    <w:pPr>
      <w:tabs>
        <w:tab w:val="center" w:pos="4252"/>
        <w:tab w:val="right" w:pos="8504"/>
      </w:tabs>
      <w:spacing w:after="0" w:line="240" w:lineRule="auto"/>
    </w:pPr>
  </w:style>
  <w:style w:type="character" w:customStyle="1" w:styleId="RodapChar">
    <w:name w:val="Rodapé Char"/>
    <w:basedOn w:val="Fontepargpadro"/>
    <w:link w:val="Rodap"/>
    <w:rsid w:val="008C5A95"/>
  </w:style>
  <w:style w:type="character" w:styleId="Nmerodepgina">
    <w:name w:val="page number"/>
    <w:basedOn w:val="Fontepargpadro"/>
    <w:rsid w:val="008C5A95"/>
  </w:style>
  <w:style w:type="character" w:styleId="TextodoEspaoReservado">
    <w:name w:val="Placeholder Text"/>
    <w:basedOn w:val="Fontepargpadro"/>
    <w:uiPriority w:val="99"/>
    <w:semiHidden/>
    <w:rsid w:val="00B124F5"/>
    <w:rPr>
      <w:color w:val="808080"/>
    </w:rPr>
  </w:style>
  <w:style w:type="paragraph" w:styleId="Textodebalo">
    <w:name w:val="Balloon Text"/>
    <w:basedOn w:val="Normal"/>
    <w:link w:val="TextodebaloChar"/>
    <w:uiPriority w:val="99"/>
    <w:semiHidden/>
    <w:unhideWhenUsed/>
    <w:rsid w:val="00B124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24F5"/>
    <w:rPr>
      <w:rFonts w:ascii="Tahoma" w:hAnsi="Tahoma" w:cs="Tahoma"/>
      <w:sz w:val="16"/>
      <w:szCs w:val="16"/>
    </w:rPr>
  </w:style>
  <w:style w:type="character" w:styleId="Hyperlink">
    <w:name w:val="Hyperlink"/>
    <w:basedOn w:val="Fontepargpadro"/>
    <w:uiPriority w:val="99"/>
    <w:unhideWhenUsed/>
    <w:rsid w:val="00423AD6"/>
    <w:rPr>
      <w:color w:val="0000FF" w:themeColor="hyperlink"/>
      <w:u w:val="single"/>
    </w:rPr>
  </w:style>
  <w:style w:type="character" w:styleId="Refdecomentrio">
    <w:name w:val="annotation reference"/>
    <w:basedOn w:val="Fontepargpadro"/>
    <w:uiPriority w:val="99"/>
    <w:semiHidden/>
    <w:unhideWhenUsed/>
    <w:rsid w:val="00C63766"/>
    <w:rPr>
      <w:sz w:val="16"/>
      <w:szCs w:val="16"/>
    </w:rPr>
  </w:style>
  <w:style w:type="paragraph" w:styleId="Textodecomentrio">
    <w:name w:val="annotation text"/>
    <w:basedOn w:val="Normal"/>
    <w:link w:val="TextodecomentrioChar"/>
    <w:uiPriority w:val="99"/>
    <w:unhideWhenUsed/>
    <w:rsid w:val="00C63766"/>
    <w:pPr>
      <w:spacing w:line="240" w:lineRule="auto"/>
    </w:pPr>
    <w:rPr>
      <w:sz w:val="20"/>
      <w:szCs w:val="20"/>
    </w:rPr>
  </w:style>
  <w:style w:type="character" w:customStyle="1" w:styleId="TextodecomentrioChar">
    <w:name w:val="Texto de comentário Char"/>
    <w:basedOn w:val="Fontepargpadro"/>
    <w:link w:val="Textodecomentrio"/>
    <w:uiPriority w:val="99"/>
    <w:rsid w:val="00C63766"/>
    <w:rPr>
      <w:sz w:val="20"/>
      <w:szCs w:val="20"/>
    </w:rPr>
  </w:style>
  <w:style w:type="paragraph" w:styleId="Assuntodocomentrio">
    <w:name w:val="annotation subject"/>
    <w:basedOn w:val="Textodecomentrio"/>
    <w:next w:val="Textodecomentrio"/>
    <w:link w:val="AssuntodocomentrioChar"/>
    <w:uiPriority w:val="99"/>
    <w:semiHidden/>
    <w:unhideWhenUsed/>
    <w:rsid w:val="00C63766"/>
    <w:rPr>
      <w:b/>
      <w:bCs/>
    </w:rPr>
  </w:style>
  <w:style w:type="character" w:customStyle="1" w:styleId="AssuntodocomentrioChar">
    <w:name w:val="Assunto do comentário Char"/>
    <w:basedOn w:val="TextodecomentrioChar"/>
    <w:link w:val="Assuntodocomentrio"/>
    <w:uiPriority w:val="99"/>
    <w:semiHidden/>
    <w:rsid w:val="00C63766"/>
    <w:rPr>
      <w:b/>
      <w:bCs/>
      <w:sz w:val="20"/>
      <w:szCs w:val="20"/>
    </w:rPr>
  </w:style>
  <w:style w:type="paragraph" w:styleId="SemEspaamento">
    <w:name w:val="No Spacing"/>
    <w:uiPriority w:val="1"/>
    <w:qFormat/>
    <w:rsid w:val="00AB52D6"/>
    <w:pPr>
      <w:spacing w:after="0" w:line="240" w:lineRule="auto"/>
    </w:pPr>
  </w:style>
  <w:style w:type="paragraph" w:styleId="Reviso">
    <w:name w:val="Revision"/>
    <w:hidden/>
    <w:uiPriority w:val="99"/>
    <w:semiHidden/>
    <w:rsid w:val="00406BD6"/>
    <w:pPr>
      <w:spacing w:after="0" w:line="240" w:lineRule="auto"/>
    </w:pPr>
  </w:style>
  <w:style w:type="character" w:styleId="HiperlinkVisitado">
    <w:name w:val="FollowedHyperlink"/>
    <w:basedOn w:val="Fontepargpadro"/>
    <w:uiPriority w:val="99"/>
    <w:semiHidden/>
    <w:unhideWhenUsed/>
    <w:rsid w:val="00616880"/>
    <w:rPr>
      <w:color w:val="800080" w:themeColor="followedHyperlink"/>
      <w:u w:val="single"/>
    </w:rPr>
  </w:style>
  <w:style w:type="character" w:customStyle="1" w:styleId="Ttulo1Char">
    <w:name w:val="Título 1 Char"/>
    <w:basedOn w:val="Fontepargpadro"/>
    <w:link w:val="Ttulo1"/>
    <w:uiPriority w:val="9"/>
    <w:rsid w:val="00DF59E9"/>
    <w:rPr>
      <w:rFonts w:ascii="Times New Roman" w:eastAsia="Times New Roman" w:hAnsi="Times New Roman" w:cs="Times New Roman"/>
      <w:b/>
      <w:bCs/>
      <w:kern w:val="36"/>
      <w:sz w:val="48"/>
      <w:szCs w:val="48"/>
    </w:rPr>
  </w:style>
  <w:style w:type="character" w:customStyle="1" w:styleId="PargrafodaListaChar">
    <w:name w:val="Parágrafo da Lista Char"/>
    <w:link w:val="PargrafodaLista"/>
    <w:uiPriority w:val="1"/>
    <w:rsid w:val="00F42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29686">
      <w:bodyDiv w:val="1"/>
      <w:marLeft w:val="0"/>
      <w:marRight w:val="0"/>
      <w:marTop w:val="0"/>
      <w:marBottom w:val="0"/>
      <w:divBdr>
        <w:top w:val="none" w:sz="0" w:space="0" w:color="auto"/>
        <w:left w:val="none" w:sz="0" w:space="0" w:color="auto"/>
        <w:bottom w:val="none" w:sz="0" w:space="0" w:color="auto"/>
        <w:right w:val="none" w:sz="0" w:space="0" w:color="auto"/>
      </w:divBdr>
    </w:div>
    <w:div w:id="62800182">
      <w:bodyDiv w:val="1"/>
      <w:marLeft w:val="0"/>
      <w:marRight w:val="0"/>
      <w:marTop w:val="0"/>
      <w:marBottom w:val="0"/>
      <w:divBdr>
        <w:top w:val="none" w:sz="0" w:space="0" w:color="auto"/>
        <w:left w:val="none" w:sz="0" w:space="0" w:color="auto"/>
        <w:bottom w:val="none" w:sz="0" w:space="0" w:color="auto"/>
        <w:right w:val="none" w:sz="0" w:space="0" w:color="auto"/>
      </w:divBdr>
    </w:div>
    <w:div w:id="69815985">
      <w:bodyDiv w:val="1"/>
      <w:marLeft w:val="0"/>
      <w:marRight w:val="0"/>
      <w:marTop w:val="0"/>
      <w:marBottom w:val="0"/>
      <w:divBdr>
        <w:top w:val="none" w:sz="0" w:space="0" w:color="auto"/>
        <w:left w:val="none" w:sz="0" w:space="0" w:color="auto"/>
        <w:bottom w:val="none" w:sz="0" w:space="0" w:color="auto"/>
        <w:right w:val="none" w:sz="0" w:space="0" w:color="auto"/>
      </w:divBdr>
    </w:div>
    <w:div w:id="180094878">
      <w:bodyDiv w:val="1"/>
      <w:marLeft w:val="0"/>
      <w:marRight w:val="0"/>
      <w:marTop w:val="0"/>
      <w:marBottom w:val="0"/>
      <w:divBdr>
        <w:top w:val="none" w:sz="0" w:space="0" w:color="auto"/>
        <w:left w:val="none" w:sz="0" w:space="0" w:color="auto"/>
        <w:bottom w:val="none" w:sz="0" w:space="0" w:color="auto"/>
        <w:right w:val="none" w:sz="0" w:space="0" w:color="auto"/>
      </w:divBdr>
    </w:div>
    <w:div w:id="220291957">
      <w:bodyDiv w:val="1"/>
      <w:marLeft w:val="0"/>
      <w:marRight w:val="0"/>
      <w:marTop w:val="0"/>
      <w:marBottom w:val="0"/>
      <w:divBdr>
        <w:top w:val="none" w:sz="0" w:space="0" w:color="auto"/>
        <w:left w:val="none" w:sz="0" w:space="0" w:color="auto"/>
        <w:bottom w:val="none" w:sz="0" w:space="0" w:color="auto"/>
        <w:right w:val="none" w:sz="0" w:space="0" w:color="auto"/>
      </w:divBdr>
    </w:div>
    <w:div w:id="270824180">
      <w:bodyDiv w:val="1"/>
      <w:marLeft w:val="0"/>
      <w:marRight w:val="0"/>
      <w:marTop w:val="0"/>
      <w:marBottom w:val="0"/>
      <w:divBdr>
        <w:top w:val="none" w:sz="0" w:space="0" w:color="auto"/>
        <w:left w:val="none" w:sz="0" w:space="0" w:color="auto"/>
        <w:bottom w:val="none" w:sz="0" w:space="0" w:color="auto"/>
        <w:right w:val="none" w:sz="0" w:space="0" w:color="auto"/>
      </w:divBdr>
    </w:div>
    <w:div w:id="374961900">
      <w:bodyDiv w:val="1"/>
      <w:marLeft w:val="0"/>
      <w:marRight w:val="0"/>
      <w:marTop w:val="0"/>
      <w:marBottom w:val="0"/>
      <w:divBdr>
        <w:top w:val="none" w:sz="0" w:space="0" w:color="auto"/>
        <w:left w:val="none" w:sz="0" w:space="0" w:color="auto"/>
        <w:bottom w:val="none" w:sz="0" w:space="0" w:color="auto"/>
        <w:right w:val="none" w:sz="0" w:space="0" w:color="auto"/>
      </w:divBdr>
    </w:div>
    <w:div w:id="377749665">
      <w:bodyDiv w:val="1"/>
      <w:marLeft w:val="0"/>
      <w:marRight w:val="0"/>
      <w:marTop w:val="0"/>
      <w:marBottom w:val="0"/>
      <w:divBdr>
        <w:top w:val="none" w:sz="0" w:space="0" w:color="auto"/>
        <w:left w:val="none" w:sz="0" w:space="0" w:color="auto"/>
        <w:bottom w:val="none" w:sz="0" w:space="0" w:color="auto"/>
        <w:right w:val="none" w:sz="0" w:space="0" w:color="auto"/>
      </w:divBdr>
    </w:div>
    <w:div w:id="379129338">
      <w:bodyDiv w:val="1"/>
      <w:marLeft w:val="0"/>
      <w:marRight w:val="0"/>
      <w:marTop w:val="0"/>
      <w:marBottom w:val="0"/>
      <w:divBdr>
        <w:top w:val="none" w:sz="0" w:space="0" w:color="auto"/>
        <w:left w:val="none" w:sz="0" w:space="0" w:color="auto"/>
        <w:bottom w:val="none" w:sz="0" w:space="0" w:color="auto"/>
        <w:right w:val="none" w:sz="0" w:space="0" w:color="auto"/>
      </w:divBdr>
    </w:div>
    <w:div w:id="411701683">
      <w:bodyDiv w:val="1"/>
      <w:marLeft w:val="0"/>
      <w:marRight w:val="0"/>
      <w:marTop w:val="0"/>
      <w:marBottom w:val="0"/>
      <w:divBdr>
        <w:top w:val="none" w:sz="0" w:space="0" w:color="auto"/>
        <w:left w:val="none" w:sz="0" w:space="0" w:color="auto"/>
        <w:bottom w:val="none" w:sz="0" w:space="0" w:color="auto"/>
        <w:right w:val="none" w:sz="0" w:space="0" w:color="auto"/>
      </w:divBdr>
    </w:div>
    <w:div w:id="484786227">
      <w:bodyDiv w:val="1"/>
      <w:marLeft w:val="0"/>
      <w:marRight w:val="0"/>
      <w:marTop w:val="0"/>
      <w:marBottom w:val="0"/>
      <w:divBdr>
        <w:top w:val="none" w:sz="0" w:space="0" w:color="auto"/>
        <w:left w:val="none" w:sz="0" w:space="0" w:color="auto"/>
        <w:bottom w:val="none" w:sz="0" w:space="0" w:color="auto"/>
        <w:right w:val="none" w:sz="0" w:space="0" w:color="auto"/>
      </w:divBdr>
    </w:div>
    <w:div w:id="651524881">
      <w:bodyDiv w:val="1"/>
      <w:marLeft w:val="0"/>
      <w:marRight w:val="0"/>
      <w:marTop w:val="0"/>
      <w:marBottom w:val="0"/>
      <w:divBdr>
        <w:top w:val="none" w:sz="0" w:space="0" w:color="auto"/>
        <w:left w:val="none" w:sz="0" w:space="0" w:color="auto"/>
        <w:bottom w:val="none" w:sz="0" w:space="0" w:color="auto"/>
        <w:right w:val="none" w:sz="0" w:space="0" w:color="auto"/>
      </w:divBdr>
    </w:div>
    <w:div w:id="747726138">
      <w:bodyDiv w:val="1"/>
      <w:marLeft w:val="0"/>
      <w:marRight w:val="0"/>
      <w:marTop w:val="0"/>
      <w:marBottom w:val="0"/>
      <w:divBdr>
        <w:top w:val="none" w:sz="0" w:space="0" w:color="auto"/>
        <w:left w:val="none" w:sz="0" w:space="0" w:color="auto"/>
        <w:bottom w:val="none" w:sz="0" w:space="0" w:color="auto"/>
        <w:right w:val="none" w:sz="0" w:space="0" w:color="auto"/>
      </w:divBdr>
    </w:div>
    <w:div w:id="777217397">
      <w:bodyDiv w:val="1"/>
      <w:marLeft w:val="0"/>
      <w:marRight w:val="0"/>
      <w:marTop w:val="0"/>
      <w:marBottom w:val="0"/>
      <w:divBdr>
        <w:top w:val="none" w:sz="0" w:space="0" w:color="auto"/>
        <w:left w:val="none" w:sz="0" w:space="0" w:color="auto"/>
        <w:bottom w:val="none" w:sz="0" w:space="0" w:color="auto"/>
        <w:right w:val="none" w:sz="0" w:space="0" w:color="auto"/>
      </w:divBdr>
    </w:div>
    <w:div w:id="842168313">
      <w:bodyDiv w:val="1"/>
      <w:marLeft w:val="0"/>
      <w:marRight w:val="0"/>
      <w:marTop w:val="0"/>
      <w:marBottom w:val="0"/>
      <w:divBdr>
        <w:top w:val="none" w:sz="0" w:space="0" w:color="auto"/>
        <w:left w:val="none" w:sz="0" w:space="0" w:color="auto"/>
        <w:bottom w:val="none" w:sz="0" w:space="0" w:color="auto"/>
        <w:right w:val="none" w:sz="0" w:space="0" w:color="auto"/>
      </w:divBdr>
    </w:div>
    <w:div w:id="959413656">
      <w:bodyDiv w:val="1"/>
      <w:marLeft w:val="0"/>
      <w:marRight w:val="0"/>
      <w:marTop w:val="0"/>
      <w:marBottom w:val="0"/>
      <w:divBdr>
        <w:top w:val="none" w:sz="0" w:space="0" w:color="auto"/>
        <w:left w:val="none" w:sz="0" w:space="0" w:color="auto"/>
        <w:bottom w:val="none" w:sz="0" w:space="0" w:color="auto"/>
        <w:right w:val="none" w:sz="0" w:space="0" w:color="auto"/>
      </w:divBdr>
    </w:div>
    <w:div w:id="1089156710">
      <w:bodyDiv w:val="1"/>
      <w:marLeft w:val="0"/>
      <w:marRight w:val="0"/>
      <w:marTop w:val="0"/>
      <w:marBottom w:val="0"/>
      <w:divBdr>
        <w:top w:val="none" w:sz="0" w:space="0" w:color="auto"/>
        <w:left w:val="none" w:sz="0" w:space="0" w:color="auto"/>
        <w:bottom w:val="none" w:sz="0" w:space="0" w:color="auto"/>
        <w:right w:val="none" w:sz="0" w:space="0" w:color="auto"/>
      </w:divBdr>
    </w:div>
    <w:div w:id="1129086277">
      <w:bodyDiv w:val="1"/>
      <w:marLeft w:val="0"/>
      <w:marRight w:val="0"/>
      <w:marTop w:val="0"/>
      <w:marBottom w:val="0"/>
      <w:divBdr>
        <w:top w:val="none" w:sz="0" w:space="0" w:color="auto"/>
        <w:left w:val="none" w:sz="0" w:space="0" w:color="auto"/>
        <w:bottom w:val="none" w:sz="0" w:space="0" w:color="auto"/>
        <w:right w:val="none" w:sz="0" w:space="0" w:color="auto"/>
      </w:divBdr>
    </w:div>
    <w:div w:id="1142573442">
      <w:bodyDiv w:val="1"/>
      <w:marLeft w:val="0"/>
      <w:marRight w:val="0"/>
      <w:marTop w:val="0"/>
      <w:marBottom w:val="0"/>
      <w:divBdr>
        <w:top w:val="none" w:sz="0" w:space="0" w:color="auto"/>
        <w:left w:val="none" w:sz="0" w:space="0" w:color="auto"/>
        <w:bottom w:val="none" w:sz="0" w:space="0" w:color="auto"/>
        <w:right w:val="none" w:sz="0" w:space="0" w:color="auto"/>
      </w:divBdr>
    </w:div>
    <w:div w:id="1180048276">
      <w:bodyDiv w:val="1"/>
      <w:marLeft w:val="0"/>
      <w:marRight w:val="0"/>
      <w:marTop w:val="0"/>
      <w:marBottom w:val="0"/>
      <w:divBdr>
        <w:top w:val="none" w:sz="0" w:space="0" w:color="auto"/>
        <w:left w:val="none" w:sz="0" w:space="0" w:color="auto"/>
        <w:bottom w:val="none" w:sz="0" w:space="0" w:color="auto"/>
        <w:right w:val="none" w:sz="0" w:space="0" w:color="auto"/>
      </w:divBdr>
    </w:div>
    <w:div w:id="1182823078">
      <w:bodyDiv w:val="1"/>
      <w:marLeft w:val="0"/>
      <w:marRight w:val="0"/>
      <w:marTop w:val="0"/>
      <w:marBottom w:val="0"/>
      <w:divBdr>
        <w:top w:val="none" w:sz="0" w:space="0" w:color="auto"/>
        <w:left w:val="none" w:sz="0" w:space="0" w:color="auto"/>
        <w:bottom w:val="none" w:sz="0" w:space="0" w:color="auto"/>
        <w:right w:val="none" w:sz="0" w:space="0" w:color="auto"/>
      </w:divBdr>
    </w:div>
    <w:div w:id="1273198000">
      <w:bodyDiv w:val="1"/>
      <w:marLeft w:val="0"/>
      <w:marRight w:val="0"/>
      <w:marTop w:val="0"/>
      <w:marBottom w:val="0"/>
      <w:divBdr>
        <w:top w:val="none" w:sz="0" w:space="0" w:color="auto"/>
        <w:left w:val="none" w:sz="0" w:space="0" w:color="auto"/>
        <w:bottom w:val="none" w:sz="0" w:space="0" w:color="auto"/>
        <w:right w:val="none" w:sz="0" w:space="0" w:color="auto"/>
      </w:divBdr>
    </w:div>
    <w:div w:id="1334407119">
      <w:bodyDiv w:val="1"/>
      <w:marLeft w:val="0"/>
      <w:marRight w:val="0"/>
      <w:marTop w:val="0"/>
      <w:marBottom w:val="0"/>
      <w:divBdr>
        <w:top w:val="none" w:sz="0" w:space="0" w:color="auto"/>
        <w:left w:val="none" w:sz="0" w:space="0" w:color="auto"/>
        <w:bottom w:val="none" w:sz="0" w:space="0" w:color="auto"/>
        <w:right w:val="none" w:sz="0" w:space="0" w:color="auto"/>
      </w:divBdr>
    </w:div>
    <w:div w:id="1405570818">
      <w:bodyDiv w:val="1"/>
      <w:marLeft w:val="0"/>
      <w:marRight w:val="0"/>
      <w:marTop w:val="0"/>
      <w:marBottom w:val="0"/>
      <w:divBdr>
        <w:top w:val="none" w:sz="0" w:space="0" w:color="auto"/>
        <w:left w:val="none" w:sz="0" w:space="0" w:color="auto"/>
        <w:bottom w:val="none" w:sz="0" w:space="0" w:color="auto"/>
        <w:right w:val="none" w:sz="0" w:space="0" w:color="auto"/>
      </w:divBdr>
    </w:div>
    <w:div w:id="1523325866">
      <w:bodyDiv w:val="1"/>
      <w:marLeft w:val="0"/>
      <w:marRight w:val="0"/>
      <w:marTop w:val="0"/>
      <w:marBottom w:val="0"/>
      <w:divBdr>
        <w:top w:val="none" w:sz="0" w:space="0" w:color="auto"/>
        <w:left w:val="none" w:sz="0" w:space="0" w:color="auto"/>
        <w:bottom w:val="none" w:sz="0" w:space="0" w:color="auto"/>
        <w:right w:val="none" w:sz="0" w:space="0" w:color="auto"/>
      </w:divBdr>
    </w:div>
    <w:div w:id="1524829269">
      <w:bodyDiv w:val="1"/>
      <w:marLeft w:val="0"/>
      <w:marRight w:val="0"/>
      <w:marTop w:val="0"/>
      <w:marBottom w:val="0"/>
      <w:divBdr>
        <w:top w:val="none" w:sz="0" w:space="0" w:color="auto"/>
        <w:left w:val="none" w:sz="0" w:space="0" w:color="auto"/>
        <w:bottom w:val="none" w:sz="0" w:space="0" w:color="auto"/>
        <w:right w:val="none" w:sz="0" w:space="0" w:color="auto"/>
      </w:divBdr>
    </w:div>
    <w:div w:id="1611232893">
      <w:bodyDiv w:val="1"/>
      <w:marLeft w:val="0"/>
      <w:marRight w:val="0"/>
      <w:marTop w:val="0"/>
      <w:marBottom w:val="0"/>
      <w:divBdr>
        <w:top w:val="none" w:sz="0" w:space="0" w:color="auto"/>
        <w:left w:val="none" w:sz="0" w:space="0" w:color="auto"/>
        <w:bottom w:val="none" w:sz="0" w:space="0" w:color="auto"/>
        <w:right w:val="none" w:sz="0" w:space="0" w:color="auto"/>
      </w:divBdr>
    </w:div>
    <w:div w:id="1614551001">
      <w:bodyDiv w:val="1"/>
      <w:marLeft w:val="0"/>
      <w:marRight w:val="0"/>
      <w:marTop w:val="0"/>
      <w:marBottom w:val="0"/>
      <w:divBdr>
        <w:top w:val="none" w:sz="0" w:space="0" w:color="auto"/>
        <w:left w:val="none" w:sz="0" w:space="0" w:color="auto"/>
        <w:bottom w:val="none" w:sz="0" w:space="0" w:color="auto"/>
        <w:right w:val="none" w:sz="0" w:space="0" w:color="auto"/>
      </w:divBdr>
    </w:div>
    <w:div w:id="1676609025">
      <w:bodyDiv w:val="1"/>
      <w:marLeft w:val="0"/>
      <w:marRight w:val="0"/>
      <w:marTop w:val="0"/>
      <w:marBottom w:val="0"/>
      <w:divBdr>
        <w:top w:val="none" w:sz="0" w:space="0" w:color="auto"/>
        <w:left w:val="none" w:sz="0" w:space="0" w:color="auto"/>
        <w:bottom w:val="none" w:sz="0" w:space="0" w:color="auto"/>
        <w:right w:val="none" w:sz="0" w:space="0" w:color="auto"/>
      </w:divBdr>
    </w:div>
    <w:div w:id="1703247561">
      <w:bodyDiv w:val="1"/>
      <w:marLeft w:val="0"/>
      <w:marRight w:val="0"/>
      <w:marTop w:val="0"/>
      <w:marBottom w:val="0"/>
      <w:divBdr>
        <w:top w:val="none" w:sz="0" w:space="0" w:color="auto"/>
        <w:left w:val="none" w:sz="0" w:space="0" w:color="auto"/>
        <w:bottom w:val="none" w:sz="0" w:space="0" w:color="auto"/>
        <w:right w:val="none" w:sz="0" w:space="0" w:color="auto"/>
      </w:divBdr>
    </w:div>
    <w:div w:id="1816607535">
      <w:bodyDiv w:val="1"/>
      <w:marLeft w:val="0"/>
      <w:marRight w:val="0"/>
      <w:marTop w:val="0"/>
      <w:marBottom w:val="0"/>
      <w:divBdr>
        <w:top w:val="none" w:sz="0" w:space="0" w:color="auto"/>
        <w:left w:val="none" w:sz="0" w:space="0" w:color="auto"/>
        <w:bottom w:val="none" w:sz="0" w:space="0" w:color="auto"/>
        <w:right w:val="none" w:sz="0" w:space="0" w:color="auto"/>
      </w:divBdr>
    </w:div>
    <w:div w:id="1844513354">
      <w:bodyDiv w:val="1"/>
      <w:marLeft w:val="0"/>
      <w:marRight w:val="0"/>
      <w:marTop w:val="0"/>
      <w:marBottom w:val="0"/>
      <w:divBdr>
        <w:top w:val="none" w:sz="0" w:space="0" w:color="auto"/>
        <w:left w:val="none" w:sz="0" w:space="0" w:color="auto"/>
        <w:bottom w:val="none" w:sz="0" w:space="0" w:color="auto"/>
        <w:right w:val="none" w:sz="0" w:space="0" w:color="auto"/>
      </w:divBdr>
    </w:div>
    <w:div w:id="1996839658">
      <w:bodyDiv w:val="1"/>
      <w:marLeft w:val="0"/>
      <w:marRight w:val="0"/>
      <w:marTop w:val="0"/>
      <w:marBottom w:val="0"/>
      <w:divBdr>
        <w:top w:val="none" w:sz="0" w:space="0" w:color="auto"/>
        <w:left w:val="none" w:sz="0" w:space="0" w:color="auto"/>
        <w:bottom w:val="none" w:sz="0" w:space="0" w:color="auto"/>
        <w:right w:val="none" w:sz="0" w:space="0" w:color="auto"/>
      </w:divBdr>
    </w:div>
    <w:div w:id="2012097057">
      <w:bodyDiv w:val="1"/>
      <w:marLeft w:val="0"/>
      <w:marRight w:val="0"/>
      <w:marTop w:val="0"/>
      <w:marBottom w:val="0"/>
      <w:divBdr>
        <w:top w:val="none" w:sz="0" w:space="0" w:color="auto"/>
        <w:left w:val="none" w:sz="0" w:space="0" w:color="auto"/>
        <w:bottom w:val="none" w:sz="0" w:space="0" w:color="auto"/>
        <w:right w:val="none" w:sz="0" w:space="0" w:color="auto"/>
      </w:divBdr>
    </w:div>
    <w:div w:id="2115200061">
      <w:bodyDiv w:val="1"/>
      <w:marLeft w:val="0"/>
      <w:marRight w:val="0"/>
      <w:marTop w:val="0"/>
      <w:marBottom w:val="0"/>
      <w:divBdr>
        <w:top w:val="none" w:sz="0" w:space="0" w:color="auto"/>
        <w:left w:val="none" w:sz="0" w:space="0" w:color="auto"/>
        <w:bottom w:val="none" w:sz="0" w:space="0" w:color="auto"/>
        <w:right w:val="none" w:sz="0" w:space="0" w:color="auto"/>
      </w:divBdr>
    </w:div>
    <w:div w:id="213694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56F4DC-A66D-46CC-A2FA-BBA202764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19</Pages>
  <Words>8644</Words>
  <Characters>46680</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Freire</dc:creator>
  <cp:lastModifiedBy>Microsoft Office User</cp:lastModifiedBy>
  <cp:revision>4</cp:revision>
  <dcterms:created xsi:type="dcterms:W3CDTF">2021-04-13T14:22:00Z</dcterms:created>
  <dcterms:modified xsi:type="dcterms:W3CDTF">2021-04-30T15:35:00Z</dcterms:modified>
</cp:coreProperties>
</file>