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1302" w14:textId="77777777" w:rsidR="00833CCF" w:rsidRPr="007437A3" w:rsidRDefault="00833CCF" w:rsidP="00545071">
      <w:pPr>
        <w:spacing w:after="0" w:line="360" w:lineRule="auto"/>
        <w:ind w:right="2"/>
        <w:jc w:val="center"/>
        <w:outlineLvl w:val="0"/>
        <w:rPr>
          <w:rFonts w:eastAsia="Times New Roman" w:cstheme="minorHAnsi"/>
          <w:b/>
          <w:lang w:eastAsia="pt-BR"/>
        </w:rPr>
      </w:pPr>
      <w:r w:rsidRPr="007437A3">
        <w:rPr>
          <w:rFonts w:eastAsia="Times New Roman" w:cstheme="minorHAnsi"/>
          <w:b/>
          <w:lang w:eastAsia="pt-BR"/>
        </w:rPr>
        <w:t>COMITÊ DE PRONUNCIAMENTOS CONTÁBEIS</w:t>
      </w:r>
    </w:p>
    <w:p w14:paraId="6D723B45" w14:textId="77777777" w:rsidR="00833CCF" w:rsidRPr="007437A3" w:rsidRDefault="00833CCF" w:rsidP="00545071">
      <w:pPr>
        <w:spacing w:after="0" w:line="360" w:lineRule="auto"/>
        <w:ind w:right="2"/>
        <w:rPr>
          <w:rFonts w:eastAsia="Times New Roman" w:cstheme="minorHAnsi"/>
          <w:b/>
          <w:lang w:eastAsia="pt-BR"/>
        </w:rPr>
      </w:pPr>
    </w:p>
    <w:p w14:paraId="5258B688" w14:textId="05DECDFD" w:rsidR="00833CCF" w:rsidRPr="007437A3" w:rsidRDefault="00833CCF" w:rsidP="00545071">
      <w:pPr>
        <w:spacing w:after="0" w:line="360" w:lineRule="auto"/>
        <w:ind w:right="2"/>
        <w:jc w:val="center"/>
        <w:outlineLvl w:val="0"/>
        <w:rPr>
          <w:rFonts w:eastAsia="Times New Roman" w:cstheme="minorHAnsi"/>
          <w:b/>
          <w:lang w:eastAsia="pt-BR"/>
        </w:rPr>
      </w:pPr>
      <w:r w:rsidRPr="007437A3">
        <w:rPr>
          <w:rFonts w:eastAsia="Times New Roman" w:cstheme="minorHAnsi"/>
          <w:b/>
          <w:lang w:eastAsia="pt-BR"/>
        </w:rPr>
        <w:t xml:space="preserve">REVISÃO DE PRONUNCIAMENTOS TÉCNICOS – N.º </w:t>
      </w:r>
      <w:r w:rsidR="006741D9">
        <w:rPr>
          <w:rFonts w:eastAsia="Times New Roman" w:cstheme="minorHAnsi"/>
          <w:b/>
          <w:lang w:eastAsia="pt-BR"/>
        </w:rPr>
        <w:t>19</w:t>
      </w:r>
      <w:r w:rsidRPr="007437A3">
        <w:rPr>
          <w:rFonts w:eastAsia="Times New Roman" w:cstheme="minorHAnsi"/>
          <w:b/>
          <w:lang w:eastAsia="pt-BR"/>
        </w:rPr>
        <w:t>/202</w:t>
      </w:r>
      <w:r w:rsidR="004E780C" w:rsidRPr="007437A3">
        <w:rPr>
          <w:rFonts w:eastAsia="Times New Roman" w:cstheme="minorHAnsi"/>
          <w:b/>
          <w:lang w:eastAsia="pt-BR"/>
        </w:rPr>
        <w:t>1</w:t>
      </w:r>
    </w:p>
    <w:p w14:paraId="305F71F9" w14:textId="77777777" w:rsidR="00833CCF" w:rsidRPr="007437A3" w:rsidRDefault="00833CCF" w:rsidP="00545071">
      <w:pPr>
        <w:spacing w:after="0" w:line="360" w:lineRule="auto"/>
        <w:ind w:right="2"/>
        <w:jc w:val="center"/>
        <w:outlineLvl w:val="0"/>
        <w:rPr>
          <w:rFonts w:eastAsia="Times New Roman" w:cstheme="minorHAnsi"/>
          <w:b/>
          <w:lang w:eastAsia="pt-BR"/>
        </w:rPr>
      </w:pPr>
    </w:p>
    <w:p w14:paraId="58A42CE1" w14:textId="53F0596D" w:rsidR="00833CCF" w:rsidRPr="007437A3" w:rsidRDefault="00833CCF" w:rsidP="00545071">
      <w:pPr>
        <w:pBdr>
          <w:top w:val="single" w:sz="4" w:space="1" w:color="auto"/>
          <w:left w:val="single" w:sz="4" w:space="4" w:color="auto"/>
          <w:bottom w:val="single" w:sz="4" w:space="1" w:color="auto"/>
          <w:right w:val="single" w:sz="4" w:space="0" w:color="auto"/>
        </w:pBdr>
        <w:tabs>
          <w:tab w:val="left" w:pos="0"/>
        </w:tabs>
        <w:spacing w:after="0" w:line="360" w:lineRule="auto"/>
        <w:ind w:right="2"/>
        <w:jc w:val="both"/>
        <w:rPr>
          <w:rFonts w:eastAsia="Times New Roman" w:cstheme="minorHAnsi"/>
          <w:b/>
          <w:lang w:eastAsia="pt-BR"/>
        </w:rPr>
      </w:pPr>
      <w:r w:rsidRPr="007437A3">
        <w:rPr>
          <w:rFonts w:eastAsia="Times New Roman" w:cstheme="minorHAnsi"/>
          <w:b/>
          <w:lang w:eastAsia="pt-BR"/>
        </w:rPr>
        <w:t>Este documento de revisão apresenta alterações nos Pronunciamentos Técnicos:</w:t>
      </w:r>
      <w:r w:rsidR="004D42BF" w:rsidRPr="007437A3">
        <w:rPr>
          <w:rFonts w:eastAsia="Times New Roman" w:cstheme="minorHAnsi"/>
          <w:b/>
          <w:lang w:eastAsia="pt-BR"/>
        </w:rPr>
        <w:t xml:space="preserve"> </w:t>
      </w:r>
      <w:bookmarkStart w:id="0" w:name="_Hlk76977375"/>
      <w:r w:rsidR="00436CF2" w:rsidRPr="007437A3">
        <w:rPr>
          <w:rFonts w:eastAsia="Times New Roman" w:cstheme="minorHAnsi"/>
          <w:b/>
          <w:lang w:eastAsia="pt-BR"/>
        </w:rPr>
        <w:t>CPC 37 (R1), CPC 48, CPC 29, CPC 27, CPC 25 E CPC 15 (R1)</w:t>
      </w:r>
      <w:bookmarkEnd w:id="0"/>
      <w:r w:rsidR="00436CF2" w:rsidRPr="007437A3">
        <w:rPr>
          <w:rFonts w:eastAsia="Times New Roman" w:cstheme="minorHAnsi"/>
          <w:b/>
          <w:lang w:eastAsia="pt-BR"/>
        </w:rPr>
        <w:t>.</w:t>
      </w:r>
    </w:p>
    <w:p w14:paraId="2D5AA242" w14:textId="77777777" w:rsidR="00833CCF" w:rsidRPr="007437A3" w:rsidRDefault="00833CCF" w:rsidP="00545071">
      <w:pPr>
        <w:spacing w:after="0" w:line="360" w:lineRule="auto"/>
        <w:ind w:right="2"/>
        <w:jc w:val="both"/>
        <w:rPr>
          <w:rFonts w:eastAsia="Times New Roman" w:cstheme="minorHAnsi"/>
          <w:b/>
          <w:color w:val="E0301E" w:themeColor="accent6"/>
          <w:lang w:eastAsia="pt-BR"/>
        </w:rPr>
      </w:pPr>
    </w:p>
    <w:p w14:paraId="090F94BF" w14:textId="19FABDE9" w:rsidR="00833CCF" w:rsidRPr="005F47EC" w:rsidRDefault="00833CCF" w:rsidP="00545071">
      <w:pPr>
        <w:autoSpaceDE w:val="0"/>
        <w:autoSpaceDN w:val="0"/>
        <w:adjustRightInd w:val="0"/>
        <w:spacing w:before="120" w:after="120" w:line="360" w:lineRule="auto"/>
        <w:jc w:val="both"/>
        <w:rPr>
          <w:rFonts w:eastAsia="Times New Roman" w:cstheme="minorHAnsi"/>
          <w:lang w:eastAsia="pt-BR"/>
        </w:rPr>
      </w:pPr>
      <w:r w:rsidRPr="005F47EC">
        <w:rPr>
          <w:rFonts w:eastAsia="Times New Roman" w:cstheme="minorHAnsi"/>
          <w:lang w:eastAsia="pt-BR"/>
        </w:rPr>
        <w:t xml:space="preserve">Este documento estabelece alterações em Pronunciamentos Técnicos em decorrência </w:t>
      </w:r>
      <w:r w:rsidR="00F77F2F" w:rsidRPr="005F47EC">
        <w:rPr>
          <w:rFonts w:eastAsia="Times New Roman" w:cstheme="minorHAnsi"/>
          <w:lang w:eastAsia="pt-BR"/>
        </w:rPr>
        <w:t xml:space="preserve">das </w:t>
      </w:r>
      <w:r w:rsidR="00F77F2F" w:rsidRPr="00295D49">
        <w:rPr>
          <w:rFonts w:cstheme="minorHAnsi"/>
        </w:rPr>
        <w:t>alterações anuais relativas ao ciclo de melhorias 2018-2020</w:t>
      </w:r>
      <w:r w:rsidR="007904FC" w:rsidRPr="00295D49">
        <w:rPr>
          <w:rFonts w:eastAsia="Times New Roman" w:cstheme="minorHAnsi"/>
          <w:lang w:eastAsia="pt-BR"/>
        </w:rPr>
        <w:t xml:space="preserve">; </w:t>
      </w:r>
      <w:r w:rsidR="00F01620" w:rsidRPr="00295D49">
        <w:rPr>
          <w:rFonts w:eastAsia="Times New Roman" w:cstheme="minorHAnsi"/>
          <w:lang w:eastAsia="pt-BR"/>
        </w:rPr>
        <w:t xml:space="preserve">Ativo Imobilizado – </w:t>
      </w:r>
      <w:r w:rsidR="00C46268" w:rsidRPr="00295D49">
        <w:rPr>
          <w:rFonts w:eastAsia="Times New Roman" w:cstheme="minorHAnsi"/>
          <w:lang w:eastAsia="pt-BR"/>
        </w:rPr>
        <w:t>vendas antes do uso pretendido;</w:t>
      </w:r>
      <w:r w:rsidR="00955376">
        <w:rPr>
          <w:rFonts w:eastAsia="Times New Roman" w:cstheme="minorHAnsi"/>
          <w:lang w:eastAsia="pt-BR"/>
        </w:rPr>
        <w:t xml:space="preserve"> Contrato Oneroso -</w:t>
      </w:r>
      <w:r w:rsidR="00F01620" w:rsidRPr="00295D49">
        <w:rPr>
          <w:rFonts w:eastAsia="Times New Roman" w:cstheme="minorHAnsi"/>
          <w:lang w:eastAsia="pt-BR"/>
        </w:rPr>
        <w:t xml:space="preserve"> </w:t>
      </w:r>
      <w:r w:rsidR="00955376">
        <w:rPr>
          <w:rFonts w:eastAsia="Times New Roman" w:cstheme="minorHAnsi"/>
          <w:lang w:eastAsia="pt-BR"/>
        </w:rPr>
        <w:t>c</w:t>
      </w:r>
      <w:r w:rsidR="00C46268" w:rsidRPr="00295D49">
        <w:rPr>
          <w:rFonts w:eastAsia="Times New Roman" w:cstheme="minorHAnsi"/>
          <w:lang w:eastAsia="pt-BR"/>
        </w:rPr>
        <w:t xml:space="preserve">ustos de cumprimento de contrato; </w:t>
      </w:r>
      <w:r w:rsidR="007904FC" w:rsidRPr="00295D49">
        <w:rPr>
          <w:rFonts w:eastAsia="Times New Roman" w:cstheme="minorHAnsi"/>
          <w:lang w:eastAsia="pt-BR"/>
        </w:rPr>
        <w:t xml:space="preserve">e </w:t>
      </w:r>
      <w:r w:rsidR="00C46268" w:rsidRPr="00295D49">
        <w:rPr>
          <w:rFonts w:eastAsia="Times New Roman" w:cstheme="minorHAnsi"/>
          <w:lang w:eastAsia="pt-BR"/>
        </w:rPr>
        <w:t>Referências à Estrutura Conceitual</w:t>
      </w:r>
      <w:r w:rsidRPr="00295D49">
        <w:rPr>
          <w:rFonts w:eastAsia="Times New Roman" w:cstheme="minorHAnsi"/>
          <w:lang w:eastAsia="pt-BR"/>
        </w:rPr>
        <w:t>.</w:t>
      </w:r>
      <w:bookmarkStart w:id="1" w:name="_Hlk26985195"/>
      <w:r w:rsidR="00996061" w:rsidRPr="00295D49">
        <w:rPr>
          <w:rFonts w:eastAsia="Times New Roman" w:cstheme="minorHAnsi"/>
          <w:lang w:eastAsia="pt-BR"/>
        </w:rPr>
        <w:t xml:space="preserve"> </w:t>
      </w:r>
      <w:r w:rsidRPr="00295D49">
        <w:rPr>
          <w:rFonts w:eastAsia="Times New Roman" w:cstheme="minorHAnsi"/>
          <w:lang w:eastAsia="pt-BR"/>
        </w:rPr>
        <w:t>A</w:t>
      </w:r>
      <w:r w:rsidRPr="005F47EC">
        <w:rPr>
          <w:rFonts w:eastAsia="Times New Roman" w:cstheme="minorHAnsi"/>
          <w:lang w:eastAsia="pt-BR"/>
        </w:rPr>
        <w:t xml:space="preserve"> vigência dessas alterações será estabelecida pelos órgãos reguladores que o aprovarem, sendo que para o pleno atendimento às normas internacionais de contabilidade a entidade deve aplicar essas alterações nos períodos anuais com início em, ou após, 1º de janeiro de 202</w:t>
      </w:r>
      <w:r w:rsidR="00E07711" w:rsidRPr="005F47EC">
        <w:rPr>
          <w:rFonts w:eastAsia="Times New Roman" w:cstheme="minorHAnsi"/>
          <w:lang w:eastAsia="pt-BR"/>
        </w:rPr>
        <w:t>2</w:t>
      </w:r>
      <w:r w:rsidRPr="005F47EC">
        <w:rPr>
          <w:rFonts w:eastAsia="Times New Roman" w:cstheme="minorHAnsi"/>
          <w:lang w:eastAsia="pt-BR"/>
        </w:rPr>
        <w:t>.</w:t>
      </w:r>
    </w:p>
    <w:bookmarkEnd w:id="1"/>
    <w:p w14:paraId="7C87BE81" w14:textId="77777777" w:rsidR="00955376" w:rsidRDefault="00955376" w:rsidP="00955376">
      <w:pPr>
        <w:autoSpaceDE w:val="0"/>
        <w:autoSpaceDN w:val="0"/>
        <w:adjustRightInd w:val="0"/>
        <w:spacing w:line="360" w:lineRule="auto"/>
        <w:ind w:firstLine="360"/>
        <w:rPr>
          <w:rFonts w:eastAsia="Times New Roman"/>
          <w:noProof w:val="0"/>
          <w:lang w:eastAsia="pt-BR"/>
        </w:rPr>
      </w:pPr>
      <w:r>
        <w:rPr>
          <w:rFonts w:eastAsia="Times New Roman"/>
          <w:lang w:eastAsia="pt-BR"/>
        </w:rPr>
        <w:t>O texto adicionado está sublinhado e o excluído, tachado.</w:t>
      </w:r>
    </w:p>
    <w:p w14:paraId="16C01281" w14:textId="1BDE9E69" w:rsidR="004F4891" w:rsidRPr="007437A3" w:rsidRDefault="00E07711" w:rsidP="00192F2D">
      <w:pPr>
        <w:pStyle w:val="PargrafodaLista"/>
        <w:numPr>
          <w:ilvl w:val="0"/>
          <w:numId w:val="11"/>
        </w:numPr>
        <w:spacing w:before="120" w:after="120" w:line="360" w:lineRule="auto"/>
        <w:jc w:val="both"/>
        <w:rPr>
          <w:rFonts w:cstheme="minorHAnsi"/>
          <w:b/>
          <w:bCs/>
        </w:rPr>
      </w:pPr>
      <w:r>
        <w:rPr>
          <w:rFonts w:cstheme="minorHAnsi"/>
          <w:b/>
          <w:bCs/>
        </w:rPr>
        <w:t>Adiciona o item 39AG, a</w:t>
      </w:r>
      <w:r w:rsidR="00016987" w:rsidRPr="007437A3">
        <w:rPr>
          <w:rFonts w:cstheme="minorHAnsi"/>
          <w:b/>
          <w:bCs/>
        </w:rPr>
        <w:t xml:space="preserve">ltera </w:t>
      </w:r>
      <w:r w:rsidRPr="00E07711">
        <w:rPr>
          <w:rFonts w:cstheme="minorHAnsi"/>
          <w:b/>
          <w:bCs/>
        </w:rPr>
        <w:t>o item D1 (f), renumer</w:t>
      </w:r>
      <w:r>
        <w:rPr>
          <w:rFonts w:cstheme="minorHAnsi"/>
          <w:b/>
          <w:bCs/>
        </w:rPr>
        <w:t>a</w:t>
      </w:r>
      <w:r w:rsidRPr="00E07711">
        <w:rPr>
          <w:rFonts w:cstheme="minorHAnsi"/>
          <w:b/>
          <w:bCs/>
        </w:rPr>
        <w:t xml:space="preserve"> o item D13A e adicion</w:t>
      </w:r>
      <w:r>
        <w:rPr>
          <w:rFonts w:cstheme="minorHAnsi"/>
          <w:b/>
          <w:bCs/>
        </w:rPr>
        <w:t>a</w:t>
      </w:r>
      <w:r w:rsidRPr="00E07711">
        <w:rPr>
          <w:rFonts w:cstheme="minorHAnsi"/>
          <w:b/>
          <w:bCs/>
        </w:rPr>
        <w:t xml:space="preserve"> novo item D13A </w:t>
      </w:r>
      <w:r>
        <w:rPr>
          <w:rFonts w:cstheme="minorHAnsi"/>
          <w:b/>
          <w:bCs/>
        </w:rPr>
        <w:t>n</w:t>
      </w:r>
      <w:r w:rsidR="00016987" w:rsidRPr="007437A3">
        <w:rPr>
          <w:rFonts w:cstheme="minorHAnsi"/>
          <w:b/>
          <w:bCs/>
        </w:rPr>
        <w:t>o CPC 37 (R1</w:t>
      </w:r>
      <w:r w:rsidR="002F526D" w:rsidRPr="007437A3">
        <w:rPr>
          <w:rFonts w:cstheme="minorHAnsi"/>
          <w:b/>
          <w:bCs/>
        </w:rPr>
        <w:t>) - Adoção Inicial das Normas Internacionais de Contabilidade</w:t>
      </w:r>
      <w:r w:rsidR="00016987" w:rsidRPr="007437A3">
        <w:rPr>
          <w:rFonts w:cstheme="minorHAnsi"/>
          <w:b/>
          <w:bCs/>
        </w:rPr>
        <w:t>, que passa</w:t>
      </w:r>
      <w:r w:rsidR="00ED52BE">
        <w:rPr>
          <w:rFonts w:cstheme="minorHAnsi"/>
          <w:b/>
          <w:bCs/>
        </w:rPr>
        <w:t>m</w:t>
      </w:r>
      <w:r w:rsidR="00016987" w:rsidRPr="007437A3">
        <w:rPr>
          <w:rFonts w:cstheme="minorHAnsi"/>
          <w:b/>
          <w:bCs/>
        </w:rPr>
        <w:t xml:space="preserve"> a vigorar com a seguinte redação:</w:t>
      </w:r>
    </w:p>
    <w:p w14:paraId="318D5BE3" w14:textId="562F0822" w:rsidR="00B77796" w:rsidRPr="00B95784" w:rsidRDefault="00016987" w:rsidP="00B95784">
      <w:pPr>
        <w:spacing w:before="120" w:after="120" w:line="360" w:lineRule="auto"/>
        <w:ind w:left="1418" w:hanging="1418"/>
        <w:jc w:val="both"/>
        <w:rPr>
          <w:rFonts w:cstheme="minorHAnsi"/>
          <w:u w:val="single"/>
        </w:rPr>
      </w:pPr>
      <w:r w:rsidRPr="006061D6">
        <w:rPr>
          <w:rFonts w:cstheme="minorHAnsi"/>
          <w:u w:val="single"/>
        </w:rPr>
        <w:t>39AG</w:t>
      </w:r>
      <w:r w:rsidR="0057542B" w:rsidRPr="006061D6">
        <w:rPr>
          <w:rFonts w:cstheme="minorHAnsi"/>
          <w:u w:val="single"/>
        </w:rPr>
        <w:t>.</w:t>
      </w:r>
      <w:r w:rsidR="00B77796" w:rsidRPr="00B95784">
        <w:rPr>
          <w:rFonts w:cstheme="minorHAnsi"/>
          <w:u w:val="single"/>
        </w:rPr>
        <w:tab/>
      </w:r>
      <w:r w:rsidR="00B77796" w:rsidRPr="00B95784">
        <w:rPr>
          <w:rFonts w:cstheme="minorHAnsi"/>
          <w:u w:val="single"/>
        </w:rPr>
        <w:tab/>
      </w:r>
      <w:bookmarkStart w:id="2" w:name="_Hlk77069914"/>
      <w:r w:rsidR="00E000C6" w:rsidRPr="00B95784">
        <w:rPr>
          <w:rFonts w:cstheme="minorHAnsi"/>
          <w:u w:val="single"/>
        </w:rPr>
        <w:t xml:space="preserve">A </w:t>
      </w:r>
      <w:r w:rsidR="00964583">
        <w:rPr>
          <w:rFonts w:cstheme="minorHAnsi"/>
          <w:u w:val="single"/>
        </w:rPr>
        <w:t>Revisão CPC 19</w:t>
      </w:r>
      <w:r w:rsidR="00E000C6" w:rsidRPr="00B95784">
        <w:rPr>
          <w:rFonts w:cstheme="minorHAnsi"/>
          <w:u w:val="single"/>
        </w:rPr>
        <w:t xml:space="preserve">, aprovada pelo CPC em </w:t>
      </w:r>
      <w:r w:rsidR="00F77F2F" w:rsidRPr="00B95784">
        <w:rPr>
          <w:rFonts w:cstheme="minorHAnsi"/>
          <w:u w:val="single"/>
        </w:rPr>
        <w:t>XX</w:t>
      </w:r>
      <w:r w:rsidR="00E000C6" w:rsidRPr="00B95784">
        <w:rPr>
          <w:rFonts w:cstheme="minorHAnsi"/>
          <w:u w:val="single"/>
        </w:rPr>
        <w:t xml:space="preserve"> de </w:t>
      </w:r>
      <w:r w:rsidR="00F77F2F" w:rsidRPr="00B95784">
        <w:rPr>
          <w:rFonts w:cstheme="minorHAnsi"/>
          <w:u w:val="single"/>
        </w:rPr>
        <w:t>XXXX</w:t>
      </w:r>
      <w:r w:rsidR="00E000C6" w:rsidRPr="00B95784">
        <w:rPr>
          <w:rFonts w:cstheme="minorHAnsi"/>
          <w:u w:val="single"/>
        </w:rPr>
        <w:t xml:space="preserve"> de 2021, </w:t>
      </w:r>
      <w:r w:rsidR="00F77F2F" w:rsidRPr="00B95784">
        <w:rPr>
          <w:rFonts w:cstheme="minorHAnsi"/>
          <w:u w:val="single"/>
        </w:rPr>
        <w:t>alterou o item D1 (f),</w:t>
      </w:r>
      <w:r w:rsidRPr="00B95784">
        <w:rPr>
          <w:rFonts w:cstheme="minorHAnsi"/>
          <w:u w:val="single"/>
        </w:rPr>
        <w:t xml:space="preserve"> renumerou o item D13A e</w:t>
      </w:r>
      <w:r w:rsidR="00F77F2F" w:rsidRPr="00B95784">
        <w:rPr>
          <w:rFonts w:cstheme="minorHAnsi"/>
          <w:u w:val="single"/>
        </w:rPr>
        <w:t xml:space="preserve"> adicionou novo item D13A</w:t>
      </w:r>
      <w:r w:rsidR="00E000C6" w:rsidRPr="00B95784">
        <w:rPr>
          <w:rFonts w:cstheme="minorHAnsi"/>
          <w:u w:val="single"/>
        </w:rPr>
        <w:t>. A vigência desta Revisão será estabelecida pelos órgãos reguladores que a aprovarem, sendo que para o pleno atendimento às normas internacionais de contabilidade, a entidade deve aplicar esta revisão para períodos anuais com início em ou após 1º de janeiro de 202</w:t>
      </w:r>
      <w:r w:rsidR="00F77F2F" w:rsidRPr="00B95784">
        <w:rPr>
          <w:rFonts w:cstheme="minorHAnsi"/>
          <w:u w:val="single"/>
        </w:rPr>
        <w:t>2</w:t>
      </w:r>
      <w:r w:rsidR="00E000C6" w:rsidRPr="00B95784">
        <w:rPr>
          <w:rFonts w:cstheme="minorHAnsi"/>
          <w:u w:val="single"/>
        </w:rPr>
        <w:t>.</w:t>
      </w:r>
      <w:r w:rsidR="00B77796" w:rsidRPr="00B95784">
        <w:rPr>
          <w:rFonts w:cstheme="minorHAnsi"/>
          <w:u w:val="single"/>
        </w:rPr>
        <w:t xml:space="preserve"> </w:t>
      </w:r>
    </w:p>
    <w:bookmarkEnd w:id="2"/>
    <w:p w14:paraId="64E9491C" w14:textId="17B9424C" w:rsidR="00AC0667" w:rsidRPr="007437A3" w:rsidRDefault="00AC0667" w:rsidP="00AC0667">
      <w:pPr>
        <w:spacing w:before="120" w:after="120" w:line="360" w:lineRule="auto"/>
        <w:ind w:left="1418" w:hanging="1418"/>
        <w:jc w:val="both"/>
        <w:rPr>
          <w:rFonts w:cstheme="minorHAnsi"/>
        </w:rPr>
      </w:pPr>
      <w:r w:rsidRPr="007437A3">
        <w:rPr>
          <w:rFonts w:cstheme="minorHAnsi"/>
        </w:rPr>
        <w:t>D1</w:t>
      </w:r>
      <w:r w:rsidR="0057542B">
        <w:rPr>
          <w:rFonts w:cstheme="minorHAnsi"/>
        </w:rPr>
        <w:t>.</w:t>
      </w:r>
      <w:r w:rsidRPr="007437A3">
        <w:rPr>
          <w:rFonts w:cstheme="minorHAnsi"/>
        </w:rPr>
        <w:tab/>
        <w:t>A entidade pode optar por uma ou mais das seguintes isenções:</w:t>
      </w:r>
    </w:p>
    <w:p w14:paraId="64A69BB9" w14:textId="77777777" w:rsidR="00AC0667" w:rsidRPr="007437A3" w:rsidRDefault="00AC0667" w:rsidP="00AC0667">
      <w:pPr>
        <w:spacing w:before="120" w:after="120" w:line="360" w:lineRule="auto"/>
        <w:ind w:left="720" w:firstLine="698"/>
        <w:jc w:val="both"/>
        <w:rPr>
          <w:rFonts w:cstheme="minorHAnsi"/>
        </w:rPr>
      </w:pPr>
      <w:r w:rsidRPr="007437A3">
        <w:rPr>
          <w:rFonts w:cstheme="minorHAnsi"/>
        </w:rPr>
        <w:t>…</w:t>
      </w:r>
    </w:p>
    <w:p w14:paraId="43F33948" w14:textId="1397C310" w:rsidR="00AC0667" w:rsidRPr="007437A3" w:rsidRDefault="00AC0667" w:rsidP="00AC0667">
      <w:pPr>
        <w:spacing w:before="120" w:after="120" w:line="360" w:lineRule="auto"/>
        <w:ind w:left="720" w:firstLine="698"/>
        <w:jc w:val="both"/>
        <w:rPr>
          <w:rFonts w:cstheme="minorHAnsi"/>
        </w:rPr>
      </w:pPr>
      <w:r w:rsidRPr="007437A3">
        <w:rPr>
          <w:rFonts w:cstheme="minorHAnsi"/>
        </w:rPr>
        <w:t>(f)</w:t>
      </w:r>
      <w:r w:rsidRPr="007437A3">
        <w:rPr>
          <w:rFonts w:cstheme="minorHAnsi"/>
        </w:rPr>
        <w:tab/>
        <w:t xml:space="preserve">diferenças acumuladas de conversão (itens D12 a </w:t>
      </w:r>
      <w:r w:rsidRPr="006061D6">
        <w:rPr>
          <w:rFonts w:cstheme="minorHAnsi"/>
          <w:strike/>
        </w:rPr>
        <w:t>D13A</w:t>
      </w:r>
      <w:r w:rsidR="00F77F2F" w:rsidRPr="006061D6">
        <w:rPr>
          <w:rFonts w:cstheme="minorHAnsi"/>
        </w:rPr>
        <w:t xml:space="preserve"> </w:t>
      </w:r>
      <w:r w:rsidR="00F77F2F" w:rsidRPr="006061D6">
        <w:rPr>
          <w:rFonts w:cstheme="minorHAnsi"/>
          <w:u w:val="single"/>
        </w:rPr>
        <w:t>D13B</w:t>
      </w:r>
      <w:r w:rsidRPr="006061D6">
        <w:rPr>
          <w:rFonts w:cstheme="minorHAnsi"/>
        </w:rPr>
        <w:t>);</w:t>
      </w:r>
    </w:p>
    <w:p w14:paraId="6D411212" w14:textId="6A0F95ED" w:rsidR="00E71C8F" w:rsidRPr="007437A3" w:rsidRDefault="009918CB" w:rsidP="00B0725C">
      <w:pPr>
        <w:spacing w:before="120" w:after="120" w:line="360" w:lineRule="auto"/>
        <w:ind w:left="1418" w:hanging="1418"/>
        <w:jc w:val="both"/>
        <w:rPr>
          <w:rFonts w:cstheme="minorHAnsi"/>
          <w:strike/>
        </w:rPr>
      </w:pPr>
      <w:r w:rsidRPr="007437A3">
        <w:rPr>
          <w:rFonts w:cstheme="minorHAnsi"/>
        </w:rPr>
        <w:t>D13</w:t>
      </w:r>
      <w:r w:rsidR="008D7312" w:rsidRPr="007437A3">
        <w:rPr>
          <w:rFonts w:cstheme="minorHAnsi"/>
        </w:rPr>
        <w:t>A</w:t>
      </w:r>
      <w:r w:rsidR="000141A6">
        <w:rPr>
          <w:rFonts w:cstheme="minorHAnsi"/>
        </w:rPr>
        <w:t>.</w:t>
      </w:r>
      <w:r w:rsidR="008D7312" w:rsidRPr="007437A3">
        <w:rPr>
          <w:rFonts w:cstheme="minorHAnsi"/>
        </w:rPr>
        <w:tab/>
      </w:r>
      <w:r w:rsidR="00205E19" w:rsidRPr="007437A3">
        <w:rPr>
          <w:rFonts w:cstheme="minorHAnsi"/>
          <w:u w:val="single"/>
        </w:rPr>
        <w:t xml:space="preserve">Em vez de aplicar o item D12 ou o item D13, uma subsidiária que usa a isenção do item D16 (a) pode escolher, em suas demonstrações </w:t>
      </w:r>
      <w:r w:rsidR="000E6261" w:rsidRPr="007437A3">
        <w:rPr>
          <w:rFonts w:cstheme="minorHAnsi"/>
          <w:u w:val="single"/>
        </w:rPr>
        <w:t>contábeis</w:t>
      </w:r>
      <w:r w:rsidR="00205E19" w:rsidRPr="007437A3">
        <w:rPr>
          <w:rFonts w:cstheme="minorHAnsi"/>
          <w:u w:val="single"/>
        </w:rPr>
        <w:t xml:space="preserve">, </w:t>
      </w:r>
      <w:r w:rsidR="000E6261" w:rsidRPr="007437A3">
        <w:rPr>
          <w:rFonts w:cstheme="minorHAnsi"/>
          <w:u w:val="single"/>
        </w:rPr>
        <w:t>mensurar</w:t>
      </w:r>
      <w:r w:rsidR="00205E19" w:rsidRPr="007437A3">
        <w:rPr>
          <w:rFonts w:cstheme="minorHAnsi"/>
          <w:u w:val="single"/>
        </w:rPr>
        <w:t xml:space="preserve"> as diferenças </w:t>
      </w:r>
      <w:r w:rsidR="000E6261" w:rsidRPr="007437A3">
        <w:rPr>
          <w:rFonts w:cstheme="minorHAnsi"/>
          <w:u w:val="single"/>
        </w:rPr>
        <w:t xml:space="preserve">acumuladas </w:t>
      </w:r>
      <w:r w:rsidR="00205E19" w:rsidRPr="007437A3">
        <w:rPr>
          <w:rFonts w:cstheme="minorHAnsi"/>
          <w:u w:val="single"/>
        </w:rPr>
        <w:t xml:space="preserve">de conversão para todas as operações </w:t>
      </w:r>
      <w:r w:rsidR="000E6261" w:rsidRPr="007437A3">
        <w:rPr>
          <w:rFonts w:cstheme="minorHAnsi"/>
          <w:u w:val="single"/>
        </w:rPr>
        <w:t>no exterior</w:t>
      </w:r>
      <w:r w:rsidR="00205E19" w:rsidRPr="007437A3">
        <w:rPr>
          <w:rFonts w:cstheme="minorHAnsi"/>
          <w:u w:val="single"/>
        </w:rPr>
        <w:t xml:space="preserve"> no valor contábil que seria incluído </w:t>
      </w:r>
      <w:r w:rsidR="000E6261" w:rsidRPr="007437A3">
        <w:rPr>
          <w:rFonts w:cstheme="minorHAnsi"/>
          <w:u w:val="single"/>
        </w:rPr>
        <w:t>na demonstração consolidada</w:t>
      </w:r>
      <w:r w:rsidR="00205E19" w:rsidRPr="007437A3">
        <w:rPr>
          <w:rFonts w:cstheme="minorHAnsi"/>
          <w:u w:val="single"/>
        </w:rPr>
        <w:t xml:space="preserve"> da controladora, com base na data de transição da controladora para </w:t>
      </w:r>
      <w:r w:rsidR="000E6261" w:rsidRPr="007437A3">
        <w:rPr>
          <w:rFonts w:cstheme="minorHAnsi"/>
          <w:u w:val="single"/>
        </w:rPr>
        <w:t>os CPCs</w:t>
      </w:r>
      <w:r w:rsidR="00205E19" w:rsidRPr="007437A3">
        <w:rPr>
          <w:rFonts w:cstheme="minorHAnsi"/>
          <w:u w:val="single"/>
        </w:rPr>
        <w:t>, caso nenhum ajuste fo</w:t>
      </w:r>
      <w:r w:rsidR="000E6261" w:rsidRPr="007437A3">
        <w:rPr>
          <w:rFonts w:cstheme="minorHAnsi"/>
          <w:u w:val="single"/>
        </w:rPr>
        <w:t>r</w:t>
      </w:r>
      <w:r w:rsidR="00205E19" w:rsidRPr="007437A3">
        <w:rPr>
          <w:rFonts w:cstheme="minorHAnsi"/>
          <w:u w:val="single"/>
        </w:rPr>
        <w:t xml:space="preserve"> feito para os procedimentos de consolidação e para os efeitos da combinação de negócios </w:t>
      </w:r>
      <w:r w:rsidR="00205E19" w:rsidRPr="0086577E">
        <w:rPr>
          <w:rFonts w:cstheme="minorHAnsi"/>
          <w:u w:val="single"/>
        </w:rPr>
        <w:t xml:space="preserve">na qual a controladora adquiriu a controlada. Uma opção semelhante está disponível </w:t>
      </w:r>
      <w:r w:rsidR="00205E19" w:rsidRPr="0086577E">
        <w:rPr>
          <w:rFonts w:cstheme="minorHAnsi"/>
          <w:u w:val="single"/>
        </w:rPr>
        <w:lastRenderedPageBreak/>
        <w:t xml:space="preserve">para </w:t>
      </w:r>
      <w:r w:rsidR="000E6261" w:rsidRPr="0086577E">
        <w:rPr>
          <w:rFonts w:cstheme="minorHAnsi"/>
          <w:u w:val="single"/>
        </w:rPr>
        <w:t>entidade controlada em conjunto ou coligada</w:t>
      </w:r>
      <w:r w:rsidR="00205E19" w:rsidRPr="007437A3">
        <w:rPr>
          <w:rFonts w:cstheme="minorHAnsi"/>
          <w:u w:val="single"/>
        </w:rPr>
        <w:t xml:space="preserve"> que </w:t>
      </w:r>
      <w:r w:rsidR="001E68A3" w:rsidRPr="007437A3">
        <w:rPr>
          <w:rFonts w:cstheme="minorHAnsi"/>
          <w:u w:val="single"/>
        </w:rPr>
        <w:t>opta pel</w:t>
      </w:r>
      <w:r w:rsidR="00205E19" w:rsidRPr="007437A3">
        <w:rPr>
          <w:rFonts w:cstheme="minorHAnsi"/>
          <w:u w:val="single"/>
        </w:rPr>
        <w:t>a isenção do item D16 (a).</w:t>
      </w:r>
      <w:r w:rsidR="00205E19" w:rsidRPr="007437A3">
        <w:rPr>
          <w:rFonts w:cstheme="minorHAnsi"/>
          <w:strike/>
        </w:rPr>
        <w:t xml:space="preserve"> </w:t>
      </w:r>
    </w:p>
    <w:p w14:paraId="202F808B" w14:textId="3E3B47F8" w:rsidR="001E68A3" w:rsidRPr="007437A3" w:rsidRDefault="001E68A3" w:rsidP="00F86C09">
      <w:pPr>
        <w:pStyle w:val="Textoembloco"/>
        <w:tabs>
          <w:tab w:val="clear" w:pos="6804"/>
        </w:tabs>
        <w:spacing w:before="0" w:after="0" w:line="360" w:lineRule="auto"/>
        <w:ind w:left="1418" w:right="0" w:hanging="1418"/>
        <w:jc w:val="both"/>
        <w:rPr>
          <w:rFonts w:asciiTheme="minorHAnsi" w:hAnsiTheme="minorHAnsi" w:cstheme="minorHAnsi"/>
          <w:szCs w:val="22"/>
          <w:lang w:val="pt-BR"/>
        </w:rPr>
      </w:pPr>
      <w:r w:rsidRPr="007437A3">
        <w:rPr>
          <w:rFonts w:asciiTheme="minorHAnsi" w:hAnsiTheme="minorHAnsi" w:cstheme="minorHAnsi"/>
          <w:strike/>
          <w:szCs w:val="22"/>
          <w:lang w:val="pt-BR"/>
        </w:rPr>
        <w:t xml:space="preserve">D13A </w:t>
      </w:r>
      <w:r w:rsidRPr="007437A3">
        <w:rPr>
          <w:rFonts w:asciiTheme="minorHAnsi" w:hAnsiTheme="minorHAnsi" w:cstheme="minorHAnsi"/>
          <w:szCs w:val="22"/>
          <w:u w:val="single"/>
          <w:lang w:val="pt-BR"/>
        </w:rPr>
        <w:t>D13B</w:t>
      </w:r>
      <w:r w:rsidRPr="007437A3">
        <w:rPr>
          <w:rFonts w:asciiTheme="minorHAnsi" w:hAnsiTheme="minorHAnsi" w:cstheme="minorHAnsi"/>
          <w:szCs w:val="22"/>
          <w:lang w:val="pt-BR"/>
        </w:rPr>
        <w:t xml:space="preserve">. </w:t>
      </w:r>
      <w:r w:rsidRPr="007437A3">
        <w:rPr>
          <w:rFonts w:asciiTheme="minorHAnsi" w:hAnsiTheme="minorHAnsi" w:cstheme="minorHAnsi"/>
          <w:szCs w:val="22"/>
          <w:lang w:val="pt-BR"/>
        </w:rPr>
        <w:tab/>
      </w:r>
      <w:r w:rsidRPr="007437A3">
        <w:rPr>
          <w:rFonts w:asciiTheme="minorHAnsi" w:hAnsiTheme="minorHAnsi" w:cstheme="minorHAnsi"/>
          <w:noProof/>
          <w:szCs w:val="22"/>
          <w:lang w:val="pt-BR" w:eastAsia="en-US"/>
        </w:rPr>
        <w:t>Como decorrência dos itens D12 e D13, e considerando que as entidades passaram, por força da vigência dada ao Pronunciamento Técnico CPC 02 pelos seus órgãos reguladores, a reconhecer esses ganhos ou perdas por diferenças de conversão provavelmente em data anterior ao da data de transição para as IFRSs, as adotantes pela primeira vez devem zerar os saldos dessas diferenças acumuladas de conversão existentes nas suas demonstrações contábeis elaboradas de acordo com o CPC 02, à data da transição, transferindo-os para lucros ou prejuízos acumulados, bem como divulgar a política de distribuição de resultados aplicável a tais saldos.</w:t>
      </w:r>
      <w:r w:rsidRPr="007437A3">
        <w:rPr>
          <w:rFonts w:asciiTheme="minorHAnsi" w:hAnsiTheme="minorHAnsi" w:cstheme="minorHAnsi"/>
          <w:szCs w:val="22"/>
          <w:lang w:val="pt-BR"/>
        </w:rPr>
        <w:t xml:space="preserve"> </w:t>
      </w:r>
    </w:p>
    <w:p w14:paraId="0344CEA3" w14:textId="77777777" w:rsidR="002F526D" w:rsidRPr="007437A3" w:rsidRDefault="002F526D" w:rsidP="00016987">
      <w:pPr>
        <w:pStyle w:val="Textoembloco"/>
        <w:tabs>
          <w:tab w:val="clear" w:pos="6804"/>
        </w:tabs>
        <w:spacing w:before="0" w:after="0" w:line="360" w:lineRule="auto"/>
        <w:ind w:left="1418" w:right="0" w:hanging="1276"/>
        <w:jc w:val="both"/>
        <w:rPr>
          <w:rFonts w:asciiTheme="minorHAnsi" w:hAnsiTheme="minorHAnsi" w:cstheme="minorHAnsi"/>
          <w:szCs w:val="22"/>
          <w:lang w:val="pt-BR"/>
        </w:rPr>
      </w:pPr>
    </w:p>
    <w:p w14:paraId="67C4EC09" w14:textId="0BC565B2" w:rsidR="001E68A3" w:rsidRPr="007437A3" w:rsidRDefault="00E07711" w:rsidP="002F526D">
      <w:pPr>
        <w:pStyle w:val="PargrafodaLista"/>
        <w:numPr>
          <w:ilvl w:val="0"/>
          <w:numId w:val="11"/>
        </w:numPr>
        <w:spacing w:before="120" w:after="120" w:line="360" w:lineRule="auto"/>
        <w:jc w:val="both"/>
        <w:rPr>
          <w:rFonts w:cstheme="minorHAnsi"/>
          <w:b/>
          <w:bCs/>
        </w:rPr>
      </w:pPr>
      <w:r>
        <w:rPr>
          <w:rFonts w:cstheme="minorHAnsi"/>
          <w:b/>
          <w:bCs/>
        </w:rPr>
        <w:t>Adiciona</w:t>
      </w:r>
      <w:r w:rsidR="002F526D" w:rsidRPr="007437A3">
        <w:rPr>
          <w:rFonts w:cstheme="minorHAnsi"/>
          <w:b/>
          <w:bCs/>
        </w:rPr>
        <w:t xml:space="preserve"> </w:t>
      </w:r>
      <w:r w:rsidRPr="00E07711">
        <w:rPr>
          <w:rFonts w:cstheme="minorHAnsi"/>
          <w:b/>
          <w:bCs/>
        </w:rPr>
        <w:t xml:space="preserve">os itens </w:t>
      </w:r>
      <w:r>
        <w:rPr>
          <w:rFonts w:cstheme="minorHAnsi"/>
          <w:b/>
          <w:bCs/>
        </w:rPr>
        <w:t xml:space="preserve">7.1.9, </w:t>
      </w:r>
      <w:r w:rsidRPr="00E07711">
        <w:rPr>
          <w:rFonts w:cstheme="minorHAnsi"/>
          <w:b/>
          <w:bCs/>
        </w:rPr>
        <w:t>7.2.35</w:t>
      </w:r>
      <w:r w:rsidR="008D587D">
        <w:rPr>
          <w:rFonts w:cstheme="minorHAnsi"/>
          <w:b/>
          <w:bCs/>
        </w:rPr>
        <w:t>, e seu t</w:t>
      </w:r>
      <w:r w:rsidR="00955376">
        <w:rPr>
          <w:rFonts w:cstheme="minorHAnsi"/>
          <w:b/>
          <w:bCs/>
        </w:rPr>
        <w:t>í</w:t>
      </w:r>
      <w:r w:rsidR="008D587D">
        <w:rPr>
          <w:rFonts w:cstheme="minorHAnsi"/>
          <w:b/>
          <w:bCs/>
        </w:rPr>
        <w:t>tulo,</w:t>
      </w:r>
      <w:r w:rsidRPr="00E07711">
        <w:rPr>
          <w:rFonts w:cstheme="minorHAnsi"/>
          <w:b/>
          <w:bCs/>
        </w:rPr>
        <w:t xml:space="preserve"> </w:t>
      </w:r>
      <w:r>
        <w:rPr>
          <w:rFonts w:cstheme="minorHAnsi"/>
          <w:b/>
          <w:bCs/>
        </w:rPr>
        <w:t>e</w:t>
      </w:r>
      <w:r w:rsidRPr="00E07711">
        <w:rPr>
          <w:rFonts w:cstheme="minorHAnsi"/>
          <w:b/>
          <w:bCs/>
        </w:rPr>
        <w:t xml:space="preserve"> B3.3.6A e </w:t>
      </w:r>
      <w:r>
        <w:rPr>
          <w:rFonts w:cstheme="minorHAnsi"/>
          <w:b/>
          <w:bCs/>
        </w:rPr>
        <w:t>altera</w:t>
      </w:r>
      <w:r w:rsidRPr="00E07711">
        <w:rPr>
          <w:rFonts w:cstheme="minorHAnsi"/>
          <w:b/>
          <w:bCs/>
        </w:rPr>
        <w:t xml:space="preserve"> o item B3.3.6</w:t>
      </w:r>
      <w:r>
        <w:rPr>
          <w:rFonts w:cstheme="minorHAnsi"/>
          <w:b/>
          <w:bCs/>
        </w:rPr>
        <w:t xml:space="preserve"> n</w:t>
      </w:r>
      <w:r w:rsidR="002F526D" w:rsidRPr="007437A3">
        <w:rPr>
          <w:rFonts w:cstheme="minorHAnsi"/>
          <w:b/>
          <w:bCs/>
        </w:rPr>
        <w:t>o CPC 48 - Instrumentos Financeiros, que passa</w:t>
      </w:r>
      <w:r w:rsidR="008D587D">
        <w:rPr>
          <w:rFonts w:cstheme="minorHAnsi"/>
          <w:b/>
          <w:bCs/>
        </w:rPr>
        <w:t>m</w:t>
      </w:r>
      <w:r w:rsidR="002F526D" w:rsidRPr="007437A3">
        <w:rPr>
          <w:rFonts w:cstheme="minorHAnsi"/>
          <w:b/>
          <w:bCs/>
        </w:rPr>
        <w:t xml:space="preserve"> a vigorar com a seguinte redação:</w:t>
      </w:r>
    </w:p>
    <w:p w14:paraId="484BA00A" w14:textId="065D80CD" w:rsidR="00FC1045" w:rsidRPr="007437A3" w:rsidRDefault="00FC1045" w:rsidP="00B0725C">
      <w:pPr>
        <w:spacing w:before="120" w:after="120" w:line="360" w:lineRule="auto"/>
        <w:ind w:left="1418" w:hanging="1418"/>
        <w:jc w:val="both"/>
        <w:rPr>
          <w:rFonts w:cstheme="minorHAnsi"/>
          <w:u w:val="single"/>
        </w:rPr>
      </w:pPr>
      <w:r w:rsidRPr="007437A3">
        <w:rPr>
          <w:rFonts w:cstheme="minorHAnsi"/>
          <w:u w:val="single"/>
        </w:rPr>
        <w:t>7.1.9</w:t>
      </w:r>
      <w:r w:rsidR="00683848" w:rsidRPr="007437A3">
        <w:rPr>
          <w:rFonts w:cstheme="minorHAnsi"/>
        </w:rPr>
        <w:tab/>
      </w:r>
      <w:r w:rsidR="00870B60" w:rsidRPr="007437A3">
        <w:rPr>
          <w:rFonts w:cstheme="minorHAnsi"/>
          <w:u w:val="single"/>
        </w:rPr>
        <w:t xml:space="preserve">A </w:t>
      </w:r>
      <w:r w:rsidR="00964583">
        <w:rPr>
          <w:rFonts w:cstheme="minorHAnsi"/>
          <w:u w:val="single"/>
        </w:rPr>
        <w:t>Revisão CPC 19</w:t>
      </w:r>
      <w:r w:rsidR="00870B60" w:rsidRPr="007437A3">
        <w:rPr>
          <w:rFonts w:cstheme="minorHAnsi"/>
          <w:u w:val="single"/>
        </w:rPr>
        <w:t xml:space="preserve">, aprovada pelo CPC em XX de XXXX de 2021, adicionou os itens 7.2.35 </w:t>
      </w:r>
      <w:r w:rsidR="00E07711">
        <w:rPr>
          <w:rFonts w:cstheme="minorHAnsi"/>
          <w:u w:val="single"/>
        </w:rPr>
        <w:t>e</w:t>
      </w:r>
      <w:r w:rsidR="00870B60" w:rsidRPr="007437A3">
        <w:rPr>
          <w:rFonts w:cstheme="minorHAnsi"/>
          <w:u w:val="single"/>
        </w:rPr>
        <w:t xml:space="preserve"> B3.3.6A e alterou o item B3.3.6. A vigência desta Revisão será estabelecida pelos órgãos reguladores que a aprovarem, sendo que para o pleno atendimento às normas internacionais de contabilidade, a entidade deve aplicar esta revisão para períodos anuais com início em ou após 1º de janeiro de 2022.</w:t>
      </w:r>
      <w:r w:rsidR="00B77796" w:rsidRPr="007437A3">
        <w:rPr>
          <w:rFonts w:cstheme="minorHAnsi"/>
          <w:u w:val="single"/>
        </w:rPr>
        <w:t xml:space="preserve"> </w:t>
      </w:r>
    </w:p>
    <w:p w14:paraId="591866CB" w14:textId="77777777" w:rsidR="005F47EC" w:rsidRPr="001E3983" w:rsidRDefault="005F47EC" w:rsidP="00545071">
      <w:pPr>
        <w:spacing w:before="120" w:after="120" w:line="360" w:lineRule="auto"/>
        <w:jc w:val="both"/>
        <w:rPr>
          <w:rFonts w:cstheme="minorHAnsi"/>
          <w:b/>
          <w:bCs/>
          <w:u w:val="single"/>
        </w:rPr>
      </w:pPr>
    </w:p>
    <w:p w14:paraId="6FC11375" w14:textId="0B6CBA2D" w:rsidR="00BD3BC1" w:rsidRPr="007437A3" w:rsidRDefault="00BD3BC1" w:rsidP="00545071">
      <w:pPr>
        <w:spacing w:before="120" w:after="120" w:line="360" w:lineRule="auto"/>
        <w:jc w:val="both"/>
        <w:rPr>
          <w:rFonts w:cstheme="minorHAnsi"/>
          <w:b/>
          <w:bCs/>
          <w:u w:val="single"/>
        </w:rPr>
      </w:pPr>
      <w:r w:rsidRPr="007437A3">
        <w:rPr>
          <w:rFonts w:cstheme="minorHAnsi"/>
          <w:b/>
          <w:bCs/>
          <w:u w:val="single"/>
        </w:rPr>
        <w:t xml:space="preserve">Transição para </w:t>
      </w:r>
      <w:r w:rsidR="00E07711">
        <w:rPr>
          <w:rFonts w:cstheme="minorHAnsi"/>
          <w:b/>
          <w:bCs/>
          <w:u w:val="single"/>
        </w:rPr>
        <w:t>Alterações</w:t>
      </w:r>
      <w:r w:rsidRPr="007437A3">
        <w:rPr>
          <w:rFonts w:cstheme="minorHAnsi"/>
          <w:b/>
          <w:bCs/>
          <w:u w:val="single"/>
        </w:rPr>
        <w:t xml:space="preserve"> Anuais </w:t>
      </w:r>
      <w:r w:rsidR="00E07711">
        <w:rPr>
          <w:rFonts w:cstheme="minorHAnsi"/>
          <w:b/>
          <w:bCs/>
          <w:u w:val="single"/>
        </w:rPr>
        <w:t>aos Pronunciamentos</w:t>
      </w:r>
    </w:p>
    <w:p w14:paraId="5C65EAF9" w14:textId="74F321BA" w:rsidR="00FC1045" w:rsidRPr="007437A3" w:rsidRDefault="00BD3BC1" w:rsidP="00B0725C">
      <w:pPr>
        <w:spacing w:before="120" w:after="120" w:line="360" w:lineRule="auto"/>
        <w:ind w:left="1418" w:hanging="1418"/>
        <w:jc w:val="both"/>
        <w:rPr>
          <w:rFonts w:cstheme="minorHAnsi"/>
          <w:u w:val="single"/>
        </w:rPr>
      </w:pPr>
      <w:r w:rsidRPr="007437A3">
        <w:rPr>
          <w:rFonts w:cstheme="minorHAnsi"/>
          <w:u w:val="single"/>
        </w:rPr>
        <w:t>7.2.35</w:t>
      </w:r>
      <w:r w:rsidR="00545071" w:rsidRPr="007437A3">
        <w:rPr>
          <w:rFonts w:cstheme="minorHAnsi"/>
        </w:rPr>
        <w:tab/>
      </w:r>
      <w:r w:rsidR="00ED32D9" w:rsidRPr="007437A3">
        <w:rPr>
          <w:rFonts w:cstheme="minorHAnsi"/>
          <w:u w:val="single"/>
        </w:rPr>
        <w:t xml:space="preserve">Uma entidade pode aplicar </w:t>
      </w:r>
      <w:r w:rsidR="00964583">
        <w:rPr>
          <w:rFonts w:cstheme="minorHAnsi"/>
          <w:u w:val="single"/>
        </w:rPr>
        <w:t>Revisão CPC 19</w:t>
      </w:r>
      <w:r w:rsidR="00ED32D9" w:rsidRPr="007437A3">
        <w:rPr>
          <w:rFonts w:cstheme="minorHAnsi"/>
          <w:u w:val="single"/>
        </w:rPr>
        <w:t xml:space="preserve"> para passivos financeiros que são modificad</w:t>
      </w:r>
      <w:r w:rsidR="00E07711">
        <w:rPr>
          <w:rFonts w:cstheme="minorHAnsi"/>
          <w:u w:val="single"/>
        </w:rPr>
        <w:t>o</w:t>
      </w:r>
      <w:r w:rsidR="00ED32D9" w:rsidRPr="007437A3">
        <w:rPr>
          <w:rFonts w:cstheme="minorHAnsi"/>
          <w:u w:val="single"/>
        </w:rPr>
        <w:t>s ou trocad</w:t>
      </w:r>
      <w:r w:rsidR="00E07711">
        <w:rPr>
          <w:rFonts w:cstheme="minorHAnsi"/>
          <w:u w:val="single"/>
        </w:rPr>
        <w:t>o</w:t>
      </w:r>
      <w:r w:rsidR="00ED32D9" w:rsidRPr="007437A3">
        <w:rPr>
          <w:rFonts w:cstheme="minorHAnsi"/>
          <w:u w:val="single"/>
        </w:rPr>
        <w:t xml:space="preserve">s no </w:t>
      </w:r>
      <w:r w:rsidR="007437A3">
        <w:rPr>
          <w:rFonts w:cstheme="minorHAnsi"/>
          <w:u w:val="single"/>
        </w:rPr>
        <w:t>início</w:t>
      </w:r>
      <w:r w:rsidR="00ED32D9" w:rsidRPr="007437A3">
        <w:rPr>
          <w:rFonts w:cstheme="minorHAnsi"/>
          <w:u w:val="single"/>
        </w:rPr>
        <w:t xml:space="preserve"> ou depois do </w:t>
      </w:r>
      <w:r w:rsidR="007437A3">
        <w:rPr>
          <w:rFonts w:cstheme="minorHAnsi"/>
          <w:u w:val="single"/>
        </w:rPr>
        <w:t>iníci</w:t>
      </w:r>
      <w:r w:rsidR="00ED32D9" w:rsidRPr="007437A3">
        <w:rPr>
          <w:rFonts w:cstheme="minorHAnsi"/>
          <w:u w:val="single"/>
        </w:rPr>
        <w:t xml:space="preserve">o do período de relatório anual, em que a entidade pela primeira vez aplica a </w:t>
      </w:r>
      <w:r w:rsidR="000141A6">
        <w:rPr>
          <w:rFonts w:cstheme="minorHAnsi"/>
          <w:u w:val="single"/>
        </w:rPr>
        <w:t>revisão</w:t>
      </w:r>
      <w:r w:rsidR="00ED32D9" w:rsidRPr="007437A3">
        <w:rPr>
          <w:rFonts w:cstheme="minorHAnsi"/>
          <w:u w:val="single"/>
        </w:rPr>
        <w:t>.</w:t>
      </w:r>
      <w:r w:rsidR="00ED32D9" w:rsidRPr="007437A3" w:rsidDel="00ED32D9">
        <w:rPr>
          <w:rFonts w:cstheme="minorHAnsi"/>
        </w:rPr>
        <w:t xml:space="preserve"> </w:t>
      </w:r>
    </w:p>
    <w:p w14:paraId="4CF29895" w14:textId="20318A7C" w:rsidR="00545071" w:rsidRPr="007437A3" w:rsidRDefault="00EF0876" w:rsidP="00B0725C">
      <w:pPr>
        <w:pStyle w:val="IASBNormalnpara"/>
        <w:spacing w:before="0" w:line="360" w:lineRule="auto"/>
        <w:ind w:left="1418" w:hanging="1418"/>
        <w:rPr>
          <w:rFonts w:asciiTheme="minorHAnsi" w:hAnsiTheme="minorHAnsi" w:cstheme="minorHAnsi"/>
          <w:sz w:val="22"/>
          <w:szCs w:val="22"/>
        </w:rPr>
      </w:pPr>
      <w:r w:rsidRPr="007437A3">
        <w:rPr>
          <w:rFonts w:asciiTheme="minorHAnsi" w:hAnsiTheme="minorHAnsi" w:cstheme="minorHAnsi"/>
          <w:sz w:val="22"/>
          <w:szCs w:val="22"/>
        </w:rPr>
        <w:t>B3.3.6</w:t>
      </w:r>
      <w:r w:rsidRPr="007437A3">
        <w:rPr>
          <w:rFonts w:asciiTheme="minorHAnsi" w:hAnsiTheme="minorHAnsi" w:cstheme="minorHAnsi"/>
          <w:sz w:val="22"/>
          <w:szCs w:val="22"/>
        </w:rPr>
        <w:tab/>
      </w:r>
      <w:r w:rsidR="00545071" w:rsidRPr="007437A3">
        <w:rPr>
          <w:rFonts w:asciiTheme="minorHAnsi" w:hAnsiTheme="minorHAnsi" w:cstheme="minorHAnsi"/>
          <w:sz w:val="22"/>
          <w:szCs w:val="22"/>
        </w:rPr>
        <w:t>Para a finalidade do item 3.3.2, os termos são substancialmente diferentes se o valor presente descontado dos fluxos de caixa de acordo com os novos termos, incluindo quaisquer taxas pagas líquidas de quaisquer taxas recebidas e descontadas usando a taxa de juros efetiva original, for pelo menos 10% diferente do valor presente descontado dos fluxos de caixa restantes do passivo financeiro original.</w:t>
      </w:r>
      <w:r w:rsidR="00545071" w:rsidRPr="007437A3">
        <w:rPr>
          <w:rFonts w:asciiTheme="minorHAnsi" w:hAnsiTheme="minorHAnsi" w:cstheme="minorHAnsi"/>
          <w:sz w:val="22"/>
          <w:szCs w:val="22"/>
          <w:u w:val="single"/>
        </w:rPr>
        <w:t xml:space="preserve"> Ao determinar essas taxas pagas líquidas de </w:t>
      </w:r>
      <w:r w:rsidR="00545071" w:rsidRPr="006061D6">
        <w:rPr>
          <w:rFonts w:asciiTheme="minorHAnsi" w:hAnsiTheme="minorHAnsi" w:cstheme="minorHAnsi"/>
          <w:sz w:val="22"/>
          <w:szCs w:val="22"/>
          <w:u w:val="single"/>
        </w:rPr>
        <w:t xml:space="preserve">taxas recebidas, </w:t>
      </w:r>
      <w:r w:rsidR="000141A6" w:rsidRPr="006061D6">
        <w:rPr>
          <w:rFonts w:asciiTheme="minorHAnsi" w:hAnsiTheme="minorHAnsi" w:cstheme="minorHAnsi"/>
          <w:sz w:val="22"/>
          <w:szCs w:val="22"/>
          <w:u w:val="single"/>
        </w:rPr>
        <w:t>o</w:t>
      </w:r>
      <w:r w:rsidR="00545071" w:rsidRPr="006061D6">
        <w:rPr>
          <w:rFonts w:asciiTheme="minorHAnsi" w:hAnsiTheme="minorHAnsi" w:cstheme="minorHAnsi"/>
          <w:sz w:val="22"/>
          <w:szCs w:val="22"/>
          <w:u w:val="single"/>
        </w:rPr>
        <w:t xml:space="preserve"> </w:t>
      </w:r>
      <w:r w:rsidR="00B91783" w:rsidRPr="006061D6">
        <w:rPr>
          <w:rFonts w:asciiTheme="minorHAnsi" w:hAnsiTheme="minorHAnsi" w:cstheme="minorHAnsi"/>
          <w:sz w:val="22"/>
          <w:szCs w:val="22"/>
          <w:u w:val="single"/>
        </w:rPr>
        <w:t xml:space="preserve">devedor </w:t>
      </w:r>
      <w:r w:rsidR="00545071" w:rsidRPr="006061D6">
        <w:rPr>
          <w:rFonts w:asciiTheme="minorHAnsi" w:hAnsiTheme="minorHAnsi" w:cstheme="minorHAnsi"/>
          <w:sz w:val="22"/>
          <w:szCs w:val="22"/>
          <w:u w:val="single"/>
        </w:rPr>
        <w:t xml:space="preserve">inclui apenas taxas pagas ou recebidas entre o </w:t>
      </w:r>
      <w:r w:rsidR="00B91783" w:rsidRPr="00B95784">
        <w:rPr>
          <w:rFonts w:asciiTheme="minorHAnsi" w:hAnsiTheme="minorHAnsi" w:cstheme="minorHAnsi"/>
          <w:sz w:val="22"/>
          <w:szCs w:val="22"/>
          <w:u w:val="single"/>
        </w:rPr>
        <w:t xml:space="preserve">devedor </w:t>
      </w:r>
      <w:r w:rsidR="00545071" w:rsidRPr="00B95784">
        <w:rPr>
          <w:rFonts w:asciiTheme="minorHAnsi" w:hAnsiTheme="minorHAnsi" w:cstheme="minorHAnsi"/>
          <w:sz w:val="22"/>
          <w:szCs w:val="22"/>
          <w:u w:val="single"/>
        </w:rPr>
        <w:t>e o credor,</w:t>
      </w:r>
      <w:r w:rsidR="00545071" w:rsidRPr="007437A3">
        <w:rPr>
          <w:rFonts w:asciiTheme="minorHAnsi" w:hAnsiTheme="minorHAnsi" w:cstheme="minorHAnsi"/>
          <w:sz w:val="22"/>
          <w:szCs w:val="22"/>
          <w:u w:val="single"/>
        </w:rPr>
        <w:t xml:space="preserve"> incluindo taxas pagas ou recebidas pelo </w:t>
      </w:r>
      <w:r w:rsidR="00B91783">
        <w:rPr>
          <w:rFonts w:asciiTheme="minorHAnsi" w:hAnsiTheme="minorHAnsi" w:cstheme="minorHAnsi"/>
          <w:sz w:val="22"/>
          <w:szCs w:val="22"/>
          <w:u w:val="single"/>
        </w:rPr>
        <w:t>devedor</w:t>
      </w:r>
      <w:r w:rsidR="00B91783" w:rsidRPr="007437A3">
        <w:rPr>
          <w:rFonts w:asciiTheme="minorHAnsi" w:hAnsiTheme="minorHAnsi" w:cstheme="minorHAnsi"/>
          <w:sz w:val="22"/>
          <w:szCs w:val="22"/>
          <w:u w:val="single"/>
        </w:rPr>
        <w:t xml:space="preserve"> </w:t>
      </w:r>
      <w:r w:rsidR="00545071" w:rsidRPr="007437A3">
        <w:rPr>
          <w:rFonts w:asciiTheme="minorHAnsi" w:hAnsiTheme="minorHAnsi" w:cstheme="minorHAnsi"/>
          <w:sz w:val="22"/>
          <w:szCs w:val="22"/>
          <w:u w:val="single"/>
        </w:rPr>
        <w:t>ou pelo credor em nome do outro.</w:t>
      </w:r>
      <w:r w:rsidR="00545071" w:rsidRPr="007437A3">
        <w:rPr>
          <w:rFonts w:asciiTheme="minorHAnsi" w:hAnsiTheme="minorHAnsi" w:cstheme="minorHAnsi"/>
          <w:sz w:val="22"/>
          <w:szCs w:val="22"/>
        </w:rPr>
        <w:t xml:space="preserve"> </w:t>
      </w:r>
    </w:p>
    <w:p w14:paraId="7CBD12B1" w14:textId="2F0D6DC5" w:rsidR="006C4C0C" w:rsidRPr="007437A3" w:rsidRDefault="00D8172D" w:rsidP="00B0725C">
      <w:pPr>
        <w:pStyle w:val="IASBNormalnpara"/>
        <w:spacing w:line="360" w:lineRule="auto"/>
        <w:ind w:left="1418" w:hanging="1418"/>
        <w:rPr>
          <w:rFonts w:asciiTheme="minorHAnsi" w:hAnsiTheme="minorHAnsi" w:cstheme="minorHAnsi"/>
          <w:sz w:val="22"/>
          <w:szCs w:val="22"/>
        </w:rPr>
      </w:pPr>
      <w:r w:rsidRPr="007437A3">
        <w:rPr>
          <w:rFonts w:asciiTheme="minorHAnsi" w:hAnsiTheme="minorHAnsi" w:cstheme="minorHAnsi"/>
          <w:sz w:val="22"/>
          <w:szCs w:val="22"/>
          <w:u w:val="single"/>
        </w:rPr>
        <w:t>B3.3.6A</w:t>
      </w:r>
      <w:r w:rsidR="00B0725C" w:rsidRPr="007437A3">
        <w:rPr>
          <w:rFonts w:asciiTheme="minorHAnsi" w:hAnsiTheme="minorHAnsi" w:cstheme="minorHAnsi"/>
          <w:sz w:val="22"/>
          <w:szCs w:val="22"/>
        </w:rPr>
        <w:tab/>
      </w:r>
      <w:r w:rsidR="00ED32D9" w:rsidRPr="007437A3">
        <w:rPr>
          <w:rFonts w:asciiTheme="minorHAnsi" w:hAnsiTheme="minorHAnsi" w:cstheme="minorHAnsi"/>
          <w:sz w:val="22"/>
          <w:szCs w:val="22"/>
        </w:rPr>
        <w:t xml:space="preserve">Se a troca de instrumentos de dívida ou modificação de termos for contabilizada como extinção, quaisquer custos ou taxas incorridos devem ser reconhecidos como parte do ganho ou perda na extinção. Se a troca ou modificação não for contabilizada como extinção, quaisquer custos ou taxas incorridos devem ajustar o valor contábil </w:t>
      </w:r>
      <w:r w:rsidR="00ED32D9" w:rsidRPr="007437A3">
        <w:rPr>
          <w:rFonts w:asciiTheme="minorHAnsi" w:hAnsiTheme="minorHAnsi" w:cstheme="minorHAnsi"/>
          <w:sz w:val="22"/>
          <w:szCs w:val="22"/>
        </w:rPr>
        <w:lastRenderedPageBreak/>
        <w:t>do passivo e devem ser amortizados ao longo do prazo restante do passivo modificado.</w:t>
      </w:r>
    </w:p>
    <w:p w14:paraId="3138DE1B" w14:textId="77777777" w:rsidR="002F526D" w:rsidRPr="007437A3" w:rsidRDefault="002F526D" w:rsidP="00B0725C">
      <w:pPr>
        <w:pStyle w:val="IASBNormalnpara"/>
        <w:spacing w:line="360" w:lineRule="auto"/>
        <w:ind w:left="1418" w:hanging="1418"/>
        <w:rPr>
          <w:rFonts w:asciiTheme="minorHAnsi" w:hAnsiTheme="minorHAnsi" w:cstheme="minorHAnsi"/>
          <w:sz w:val="22"/>
          <w:szCs w:val="22"/>
        </w:rPr>
      </w:pPr>
    </w:p>
    <w:p w14:paraId="28447B31" w14:textId="7D8F13EE" w:rsidR="00362820" w:rsidRPr="007437A3" w:rsidRDefault="002F526D" w:rsidP="002F526D">
      <w:pPr>
        <w:pStyle w:val="PargrafodaLista"/>
        <w:numPr>
          <w:ilvl w:val="0"/>
          <w:numId w:val="11"/>
        </w:numPr>
        <w:spacing w:before="120" w:after="120" w:line="360" w:lineRule="auto"/>
        <w:jc w:val="both"/>
        <w:rPr>
          <w:rFonts w:cstheme="minorHAnsi"/>
          <w:b/>
          <w:bCs/>
        </w:rPr>
      </w:pPr>
      <w:r w:rsidRPr="007437A3">
        <w:rPr>
          <w:rFonts w:cstheme="minorHAnsi"/>
          <w:b/>
          <w:bCs/>
        </w:rPr>
        <w:t>Altera</w:t>
      </w:r>
      <w:r w:rsidR="000141A6">
        <w:rPr>
          <w:rFonts w:cstheme="minorHAnsi"/>
          <w:b/>
          <w:bCs/>
        </w:rPr>
        <w:t xml:space="preserve"> o item 22 e inclui o item 65 n</w:t>
      </w:r>
      <w:r w:rsidRPr="007437A3">
        <w:rPr>
          <w:rFonts w:cstheme="minorHAnsi"/>
          <w:b/>
          <w:bCs/>
        </w:rPr>
        <w:t>o CPC 29 – Ativo Biológico e Produto Agrícola, que passa a vigorar com a seguinte redação:</w:t>
      </w:r>
    </w:p>
    <w:p w14:paraId="2942FF7F" w14:textId="2CED2DB2" w:rsidR="006C4C0C" w:rsidRPr="007437A3" w:rsidRDefault="006C4C0C" w:rsidP="00B0725C">
      <w:pPr>
        <w:spacing w:before="120" w:after="120" w:line="360" w:lineRule="auto"/>
        <w:ind w:left="1418" w:hanging="1418"/>
        <w:jc w:val="both"/>
        <w:rPr>
          <w:rFonts w:cstheme="minorHAnsi"/>
        </w:rPr>
      </w:pPr>
      <w:r w:rsidRPr="007437A3">
        <w:rPr>
          <w:rFonts w:cstheme="minorHAnsi"/>
        </w:rPr>
        <w:t>22</w:t>
      </w:r>
      <w:r w:rsidR="0057542B">
        <w:rPr>
          <w:rFonts w:cstheme="minorHAnsi"/>
        </w:rPr>
        <w:t>.</w:t>
      </w:r>
      <w:r w:rsidRPr="007437A3">
        <w:rPr>
          <w:rFonts w:cstheme="minorHAnsi"/>
        </w:rPr>
        <w:tab/>
      </w:r>
      <w:r w:rsidR="00967610" w:rsidRPr="007437A3">
        <w:rPr>
          <w:rFonts w:cstheme="minorHAnsi"/>
        </w:rPr>
        <w:t>A entidade não deve incluir na estimativa de fluxo de caixa quaisquer expectativas de financiamento de ativos</w:t>
      </w:r>
      <w:r w:rsidR="00967610" w:rsidRPr="0086577E">
        <w:rPr>
          <w:rFonts w:cstheme="minorHAnsi"/>
          <w:strike/>
        </w:rPr>
        <w:t xml:space="preserve">, </w:t>
      </w:r>
      <w:r w:rsidR="00967610" w:rsidRPr="007437A3">
        <w:rPr>
          <w:rFonts w:cstheme="minorHAnsi"/>
          <w:strike/>
        </w:rPr>
        <w:t>tributos</w:t>
      </w:r>
      <w:r w:rsidR="00967610" w:rsidRPr="007437A3">
        <w:rPr>
          <w:rFonts w:cstheme="minorHAnsi"/>
        </w:rPr>
        <w:t xml:space="preserve"> ou restabelecimento do ativo biológico após a colheita (por exemplo, o custo de replantio de árvores em plantação após a colheita).</w:t>
      </w:r>
    </w:p>
    <w:p w14:paraId="1097A9C7" w14:textId="59C8289F" w:rsidR="002F526D" w:rsidRDefault="00A811F0" w:rsidP="0086577E">
      <w:pPr>
        <w:spacing w:line="360" w:lineRule="auto"/>
        <w:ind w:left="1418" w:hanging="1418"/>
        <w:jc w:val="both"/>
        <w:rPr>
          <w:rFonts w:cstheme="minorHAnsi"/>
          <w:u w:val="single"/>
        </w:rPr>
      </w:pPr>
      <w:r w:rsidRPr="007437A3">
        <w:rPr>
          <w:rFonts w:cstheme="minorHAnsi"/>
          <w:u w:val="single"/>
        </w:rPr>
        <w:t>65</w:t>
      </w:r>
      <w:r w:rsidR="0057542B">
        <w:rPr>
          <w:rFonts w:cstheme="minorHAnsi"/>
          <w:u w:val="single"/>
        </w:rPr>
        <w:t>.</w:t>
      </w:r>
      <w:r w:rsidRPr="007437A3">
        <w:rPr>
          <w:rFonts w:cstheme="minorHAnsi"/>
          <w:u w:val="single"/>
        </w:rPr>
        <w:tab/>
      </w:r>
      <w:r w:rsidR="00870B60" w:rsidRPr="007437A3">
        <w:rPr>
          <w:rFonts w:cstheme="minorHAnsi"/>
          <w:u w:val="single"/>
        </w:rPr>
        <w:t xml:space="preserve">A Revisão CPC </w:t>
      </w:r>
      <w:r w:rsidR="0068508B">
        <w:rPr>
          <w:rFonts w:cstheme="minorHAnsi"/>
          <w:u w:val="single"/>
        </w:rPr>
        <w:t>19</w:t>
      </w:r>
      <w:r w:rsidR="00870B60" w:rsidRPr="007437A3">
        <w:rPr>
          <w:rFonts w:cstheme="minorHAnsi"/>
          <w:u w:val="single"/>
        </w:rPr>
        <w:t xml:space="preserve">, aprovada pelo CPC em XX de XXXX de 2021, </w:t>
      </w:r>
      <w:r w:rsidR="00B82AE2" w:rsidRPr="007437A3">
        <w:rPr>
          <w:rFonts w:cstheme="minorHAnsi"/>
          <w:u w:val="single"/>
        </w:rPr>
        <w:t>alterou</w:t>
      </w:r>
      <w:r w:rsidR="00870B60" w:rsidRPr="007437A3">
        <w:rPr>
          <w:rFonts w:cstheme="minorHAnsi"/>
          <w:u w:val="single"/>
        </w:rPr>
        <w:t xml:space="preserve"> o item 22. A vigência desta Revisão será estabelecida pelos órgãos reguladores que a aprovarem, sendo que para o pleno atendimento às normas internacionais de contabilidade, a entidade deve aplicar esta revisão para períodos anuais com início em ou após 1º de janeiro de 2022.</w:t>
      </w:r>
    </w:p>
    <w:p w14:paraId="65E421D4" w14:textId="77777777" w:rsidR="007437A3" w:rsidRPr="007437A3" w:rsidRDefault="007437A3" w:rsidP="0047505E">
      <w:pPr>
        <w:spacing w:line="360" w:lineRule="auto"/>
        <w:ind w:left="1134" w:hanging="1134"/>
        <w:rPr>
          <w:rFonts w:cstheme="minorHAnsi"/>
          <w:u w:val="single"/>
        </w:rPr>
      </w:pPr>
    </w:p>
    <w:p w14:paraId="08965756" w14:textId="728A406F" w:rsidR="002F526D" w:rsidRPr="007437A3" w:rsidRDefault="002F526D" w:rsidP="002F526D">
      <w:pPr>
        <w:pStyle w:val="PargrafodaLista"/>
        <w:numPr>
          <w:ilvl w:val="0"/>
          <w:numId w:val="11"/>
        </w:numPr>
        <w:spacing w:before="120" w:after="120" w:line="360" w:lineRule="auto"/>
        <w:jc w:val="both"/>
        <w:rPr>
          <w:rFonts w:cstheme="minorHAnsi"/>
          <w:b/>
          <w:bCs/>
        </w:rPr>
      </w:pPr>
      <w:r w:rsidRPr="007437A3">
        <w:rPr>
          <w:rFonts w:cstheme="minorHAnsi"/>
          <w:b/>
          <w:bCs/>
        </w:rPr>
        <w:t xml:space="preserve">Altera </w:t>
      </w:r>
      <w:r w:rsidR="0086577E" w:rsidRPr="0086577E">
        <w:rPr>
          <w:rFonts w:cstheme="minorHAnsi"/>
          <w:b/>
          <w:bCs/>
        </w:rPr>
        <w:t>os itens 17 e 74 e adicionou os itens 20A, 74A</w:t>
      </w:r>
      <w:r w:rsidR="0086577E">
        <w:rPr>
          <w:rFonts w:cstheme="minorHAnsi"/>
          <w:b/>
          <w:bCs/>
        </w:rPr>
        <w:t>,</w:t>
      </w:r>
      <w:r w:rsidR="0086577E" w:rsidRPr="0086577E">
        <w:rPr>
          <w:rFonts w:cstheme="minorHAnsi"/>
          <w:b/>
          <w:bCs/>
        </w:rPr>
        <w:t xml:space="preserve"> 80D</w:t>
      </w:r>
      <w:r w:rsidR="0086577E">
        <w:rPr>
          <w:rFonts w:cstheme="minorHAnsi"/>
          <w:b/>
          <w:bCs/>
        </w:rPr>
        <w:t xml:space="preserve"> e 81N</w:t>
      </w:r>
      <w:r w:rsidR="0086577E" w:rsidRPr="0086577E">
        <w:rPr>
          <w:rFonts w:cstheme="minorHAnsi"/>
          <w:b/>
          <w:bCs/>
        </w:rPr>
        <w:t xml:space="preserve"> </w:t>
      </w:r>
      <w:r w:rsidR="0086577E">
        <w:rPr>
          <w:rFonts w:cstheme="minorHAnsi"/>
          <w:b/>
          <w:bCs/>
        </w:rPr>
        <w:t>n</w:t>
      </w:r>
      <w:r w:rsidRPr="007437A3">
        <w:rPr>
          <w:rFonts w:cstheme="minorHAnsi"/>
          <w:b/>
          <w:bCs/>
        </w:rPr>
        <w:t>o CPC 27 – Ativo Imobilizado, que passa</w:t>
      </w:r>
      <w:r w:rsidR="008D587D">
        <w:rPr>
          <w:rFonts w:cstheme="minorHAnsi"/>
          <w:b/>
          <w:bCs/>
        </w:rPr>
        <w:t>m</w:t>
      </w:r>
      <w:r w:rsidRPr="007437A3">
        <w:rPr>
          <w:rFonts w:cstheme="minorHAnsi"/>
          <w:b/>
          <w:bCs/>
        </w:rPr>
        <w:t xml:space="preserve"> a vigorar com a seguinte redação:</w:t>
      </w:r>
    </w:p>
    <w:p w14:paraId="4295AD9D" w14:textId="4AE10E19" w:rsidR="005979DA" w:rsidRDefault="001E46F1" w:rsidP="00B0725C">
      <w:pPr>
        <w:spacing w:before="120" w:after="120" w:line="360" w:lineRule="auto"/>
        <w:ind w:left="1418" w:hanging="1418"/>
        <w:jc w:val="both"/>
        <w:rPr>
          <w:rFonts w:cstheme="minorHAnsi"/>
        </w:rPr>
      </w:pPr>
      <w:r w:rsidRPr="007437A3">
        <w:rPr>
          <w:rFonts w:cstheme="minorHAnsi"/>
        </w:rPr>
        <w:t>17</w:t>
      </w:r>
      <w:r w:rsidR="0057542B">
        <w:rPr>
          <w:rFonts w:cstheme="minorHAnsi"/>
        </w:rPr>
        <w:t>.</w:t>
      </w:r>
      <w:r w:rsidRPr="007437A3">
        <w:rPr>
          <w:rFonts w:cstheme="minorHAnsi"/>
        </w:rPr>
        <w:tab/>
      </w:r>
      <w:r w:rsidR="005979DA" w:rsidRPr="007437A3">
        <w:rPr>
          <w:rFonts w:cstheme="minorHAnsi"/>
        </w:rPr>
        <w:t>Exemplos de custos diretamente atribuíveis são:</w:t>
      </w:r>
    </w:p>
    <w:p w14:paraId="36E6B404" w14:textId="1898E7F3" w:rsidR="006061D6" w:rsidRPr="007437A3" w:rsidRDefault="006061D6" w:rsidP="00B0725C">
      <w:pPr>
        <w:spacing w:before="120" w:after="120" w:line="360" w:lineRule="auto"/>
        <w:ind w:left="1418" w:hanging="1418"/>
        <w:jc w:val="both"/>
        <w:rPr>
          <w:rFonts w:cstheme="minorHAnsi"/>
        </w:rPr>
      </w:pPr>
      <w:r>
        <w:rPr>
          <w:rFonts w:cstheme="minorHAnsi"/>
        </w:rPr>
        <w:tab/>
        <w:t>[...]</w:t>
      </w:r>
    </w:p>
    <w:p w14:paraId="26BB7568" w14:textId="6B912813" w:rsidR="005979DA" w:rsidRPr="007437A3" w:rsidRDefault="005979DA" w:rsidP="00B0725C">
      <w:pPr>
        <w:spacing w:before="120" w:after="120" w:line="360" w:lineRule="auto"/>
        <w:ind w:left="1418"/>
        <w:jc w:val="both"/>
        <w:rPr>
          <w:rFonts w:cstheme="minorHAnsi"/>
        </w:rPr>
      </w:pPr>
      <w:r w:rsidRPr="007437A3">
        <w:rPr>
          <w:rFonts w:cstheme="minorHAnsi"/>
        </w:rPr>
        <w:t>(e)</w:t>
      </w:r>
      <w:r w:rsidR="006D0B5E" w:rsidRPr="007437A3">
        <w:rPr>
          <w:rFonts w:cstheme="minorHAnsi"/>
        </w:rPr>
        <w:tab/>
      </w:r>
      <w:r w:rsidRPr="007437A3">
        <w:rPr>
          <w:rFonts w:cstheme="minorHAnsi"/>
        </w:rPr>
        <w:t>custos com testes para verificar se o ativo está funcionando corretamente (</w:t>
      </w:r>
      <w:r w:rsidRPr="007437A3">
        <w:rPr>
          <w:rFonts w:cstheme="minorHAnsi"/>
          <w:u w:val="single"/>
        </w:rPr>
        <w:t>ou seja, avaliar se o desempenho técnico e físico do ativo é capaz de ser usado na produção ou fornecimento de bens ou serviços, para aluguel a terceiros ou para fins administrativos</w:t>
      </w:r>
      <w:r w:rsidRPr="007437A3">
        <w:rPr>
          <w:rFonts w:cstheme="minorHAnsi"/>
        </w:rPr>
        <w:t xml:space="preserve">), </w:t>
      </w:r>
      <w:r w:rsidRPr="007437A3">
        <w:rPr>
          <w:rFonts w:cstheme="minorHAnsi"/>
          <w:strike/>
        </w:rPr>
        <w:t>após dedução das receitas líquidas provenientes da venda de qualquer item produzido enquanto se coloca o ativo nesse local e condição (tais como amostras produzidas quando se testa o equipamento);</w:t>
      </w:r>
      <w:r w:rsidRPr="007437A3">
        <w:rPr>
          <w:rFonts w:cstheme="minorHAnsi"/>
        </w:rPr>
        <w:t xml:space="preserve"> e</w:t>
      </w:r>
    </w:p>
    <w:p w14:paraId="793D4535" w14:textId="537D6663" w:rsidR="005979DA" w:rsidRPr="007437A3" w:rsidRDefault="005979DA" w:rsidP="006D0B5E">
      <w:pPr>
        <w:spacing w:before="120" w:after="120" w:line="360" w:lineRule="auto"/>
        <w:ind w:left="1418" w:hanging="1418"/>
        <w:jc w:val="both"/>
        <w:rPr>
          <w:rFonts w:eastAsia="Times New Roman" w:cstheme="minorHAnsi"/>
          <w:lang w:eastAsia="pt-BR"/>
        </w:rPr>
      </w:pPr>
      <w:r w:rsidRPr="007437A3">
        <w:rPr>
          <w:rFonts w:eastAsia="Times New Roman" w:cstheme="minorHAnsi"/>
          <w:u w:val="single"/>
          <w:lang w:eastAsia="pt-BR"/>
        </w:rPr>
        <w:t>20A</w:t>
      </w:r>
      <w:r w:rsidR="0057542B">
        <w:rPr>
          <w:rFonts w:eastAsia="Times New Roman" w:cstheme="minorHAnsi"/>
          <w:u w:val="single"/>
          <w:lang w:eastAsia="pt-BR"/>
        </w:rPr>
        <w:t>.</w:t>
      </w:r>
      <w:r w:rsidR="00FD1D05" w:rsidRPr="007437A3">
        <w:rPr>
          <w:rFonts w:eastAsia="Times New Roman" w:cstheme="minorHAnsi"/>
          <w:lang w:eastAsia="pt-BR"/>
        </w:rPr>
        <w:tab/>
      </w:r>
      <w:r w:rsidR="00C367AC" w:rsidRPr="007437A3">
        <w:rPr>
          <w:rFonts w:eastAsia="Times New Roman" w:cstheme="minorHAnsi"/>
          <w:u w:val="single"/>
          <w:lang w:eastAsia="pt-BR"/>
        </w:rPr>
        <w:t xml:space="preserve">Os itens podem ser produzidos ao trazer um item do imobilizado para o local e condição necessários para que seja capaz de operar da maneira pretendida pela administração (como amostras produzidas ao testar se o ativo está funcionando corretamente). Uma entidade reconhece o produto da venda de tais itens, e o custo desses itens, </w:t>
      </w:r>
      <w:r w:rsidR="00B91783">
        <w:rPr>
          <w:rFonts w:eastAsia="Times New Roman" w:cstheme="minorHAnsi"/>
          <w:u w:val="single"/>
          <w:lang w:eastAsia="pt-BR"/>
        </w:rPr>
        <w:t>no resultado</w:t>
      </w:r>
      <w:r w:rsidR="00C367AC" w:rsidRPr="007437A3">
        <w:rPr>
          <w:rFonts w:eastAsia="Times New Roman" w:cstheme="minorHAnsi"/>
          <w:u w:val="single"/>
          <w:lang w:eastAsia="pt-BR"/>
        </w:rPr>
        <w:t xml:space="preserve"> de acordo com as </w:t>
      </w:r>
      <w:r w:rsidR="005B441F">
        <w:rPr>
          <w:rFonts w:eastAsia="Times New Roman" w:cstheme="minorHAnsi"/>
          <w:u w:val="single"/>
          <w:lang w:eastAsia="pt-BR"/>
        </w:rPr>
        <w:t>n</w:t>
      </w:r>
      <w:r w:rsidR="00C367AC" w:rsidRPr="007437A3">
        <w:rPr>
          <w:rFonts w:eastAsia="Times New Roman" w:cstheme="minorHAnsi"/>
          <w:u w:val="single"/>
          <w:lang w:eastAsia="pt-BR"/>
        </w:rPr>
        <w:t>ormas</w:t>
      </w:r>
      <w:r w:rsidR="005B441F">
        <w:rPr>
          <w:rFonts w:eastAsia="Times New Roman" w:cstheme="minorHAnsi"/>
          <w:u w:val="single"/>
          <w:lang w:eastAsia="pt-BR"/>
        </w:rPr>
        <w:t xml:space="preserve"> contábeis</w:t>
      </w:r>
      <w:r w:rsidR="00C367AC" w:rsidRPr="007437A3">
        <w:rPr>
          <w:rFonts w:eastAsia="Times New Roman" w:cstheme="minorHAnsi"/>
          <w:u w:val="single"/>
          <w:lang w:eastAsia="pt-BR"/>
        </w:rPr>
        <w:t xml:space="preserve"> aplicáveis. A entidade </w:t>
      </w:r>
      <w:r w:rsidR="005B441F">
        <w:rPr>
          <w:rFonts w:eastAsia="Times New Roman" w:cstheme="minorHAnsi"/>
          <w:u w:val="single"/>
          <w:lang w:eastAsia="pt-BR"/>
        </w:rPr>
        <w:t xml:space="preserve">deve </w:t>
      </w:r>
      <w:r w:rsidR="00C367AC" w:rsidRPr="007437A3">
        <w:rPr>
          <w:rFonts w:eastAsia="Times New Roman" w:cstheme="minorHAnsi"/>
          <w:u w:val="single"/>
          <w:lang w:eastAsia="pt-BR"/>
        </w:rPr>
        <w:t>mensura</w:t>
      </w:r>
      <w:r w:rsidR="005B441F">
        <w:rPr>
          <w:rFonts w:eastAsia="Times New Roman" w:cstheme="minorHAnsi"/>
          <w:u w:val="single"/>
          <w:lang w:eastAsia="pt-BR"/>
        </w:rPr>
        <w:t>r</w:t>
      </w:r>
      <w:r w:rsidR="00C367AC" w:rsidRPr="007437A3">
        <w:rPr>
          <w:rFonts w:eastAsia="Times New Roman" w:cstheme="minorHAnsi"/>
          <w:u w:val="single"/>
          <w:lang w:eastAsia="pt-BR"/>
        </w:rPr>
        <w:t xml:space="preserve"> o custo desses itens aplicando os requisitos de mensuração do CPC 16.</w:t>
      </w:r>
    </w:p>
    <w:p w14:paraId="0C877AA7" w14:textId="68E518B0" w:rsidR="001E46F1" w:rsidRPr="007437A3" w:rsidRDefault="00930B61" w:rsidP="006D0B5E">
      <w:pPr>
        <w:spacing w:before="120" w:after="120" w:line="360" w:lineRule="auto"/>
        <w:ind w:left="1418" w:hanging="1418"/>
        <w:jc w:val="both"/>
        <w:rPr>
          <w:rFonts w:cstheme="minorHAnsi"/>
        </w:rPr>
      </w:pPr>
      <w:r w:rsidRPr="007437A3">
        <w:rPr>
          <w:rFonts w:cstheme="minorHAnsi"/>
        </w:rPr>
        <w:t>74.</w:t>
      </w:r>
      <w:r w:rsidR="006D0B5E" w:rsidRPr="007437A3">
        <w:rPr>
          <w:rFonts w:cstheme="minorHAnsi"/>
        </w:rPr>
        <w:tab/>
      </w:r>
      <w:r w:rsidRPr="007437A3">
        <w:rPr>
          <w:rFonts w:cstheme="minorHAnsi"/>
        </w:rPr>
        <w:t>As demonstrações contábeis também devem divulgar:</w:t>
      </w:r>
    </w:p>
    <w:p w14:paraId="5D222F8F" w14:textId="0BD05226" w:rsidR="00930B61" w:rsidRPr="007437A3" w:rsidRDefault="00930B61" w:rsidP="006D0B5E">
      <w:pPr>
        <w:spacing w:before="120" w:after="120" w:line="360" w:lineRule="auto"/>
        <w:ind w:left="1418"/>
        <w:jc w:val="both"/>
        <w:rPr>
          <w:rFonts w:cstheme="minorHAnsi"/>
        </w:rPr>
      </w:pPr>
      <w:r w:rsidRPr="007437A3">
        <w:rPr>
          <w:rFonts w:cstheme="minorHAnsi"/>
        </w:rPr>
        <w:t xml:space="preserve">(b) o valor dos gastos reconhecidos no valor contábil de um item do ativo imobilizado durante a sua construção; </w:t>
      </w:r>
      <w:r w:rsidRPr="007437A3">
        <w:rPr>
          <w:rFonts w:cstheme="minorHAnsi"/>
          <w:u w:val="single"/>
        </w:rPr>
        <w:t>e</w:t>
      </w:r>
    </w:p>
    <w:p w14:paraId="7EF1582A" w14:textId="715AAE5E" w:rsidR="00930B61" w:rsidRPr="007437A3" w:rsidRDefault="00930B61" w:rsidP="006D0B5E">
      <w:pPr>
        <w:spacing w:before="120" w:after="120" w:line="360" w:lineRule="auto"/>
        <w:ind w:left="1418"/>
        <w:jc w:val="both"/>
        <w:rPr>
          <w:rFonts w:cstheme="minorHAnsi"/>
        </w:rPr>
      </w:pPr>
      <w:r w:rsidRPr="007437A3">
        <w:rPr>
          <w:rFonts w:cstheme="minorHAnsi"/>
        </w:rPr>
        <w:lastRenderedPageBreak/>
        <w:t>(c) o valor dos compromissos contratuais advindos da aquisição de ativos imobilizado</w:t>
      </w:r>
      <w:r w:rsidR="006061D6">
        <w:rPr>
          <w:rFonts w:cstheme="minorHAnsi"/>
        </w:rPr>
        <w:t>s</w:t>
      </w:r>
      <w:r w:rsidR="006061D6" w:rsidRPr="006061D6">
        <w:rPr>
          <w:rFonts w:cstheme="minorHAnsi"/>
          <w:u w:val="single"/>
        </w:rPr>
        <w:t>.</w:t>
      </w:r>
      <w:r w:rsidRPr="006061D6">
        <w:rPr>
          <w:rFonts w:cstheme="minorHAnsi"/>
          <w:strike/>
        </w:rPr>
        <w:t>; e</w:t>
      </w:r>
      <w:r w:rsidRPr="007437A3">
        <w:rPr>
          <w:rFonts w:cstheme="minorHAnsi"/>
        </w:rPr>
        <w:t xml:space="preserve"> </w:t>
      </w:r>
    </w:p>
    <w:p w14:paraId="60013B8D" w14:textId="5FF88007" w:rsidR="00930B61" w:rsidRPr="00955376" w:rsidRDefault="00930B61" w:rsidP="006D0B5E">
      <w:pPr>
        <w:spacing w:before="120" w:after="120" w:line="360" w:lineRule="auto"/>
        <w:ind w:left="1418"/>
        <w:jc w:val="both"/>
        <w:rPr>
          <w:rFonts w:cstheme="minorHAnsi"/>
          <w:strike/>
        </w:rPr>
      </w:pPr>
      <w:r w:rsidRPr="007437A3">
        <w:rPr>
          <w:rFonts w:cstheme="minorHAnsi"/>
          <w:strike/>
        </w:rPr>
        <w:t>(d)</w:t>
      </w:r>
      <w:r w:rsidRPr="007437A3">
        <w:rPr>
          <w:rFonts w:cstheme="minorHAnsi"/>
        </w:rPr>
        <w:t xml:space="preserve"> </w:t>
      </w:r>
      <w:r w:rsidRPr="007437A3">
        <w:rPr>
          <w:rFonts w:cstheme="minorHAnsi"/>
          <w:strike/>
        </w:rPr>
        <w:t>se não for divulgada separadamente no corpo da demonstração do resultado, o valor das indenizações de terceiros por itens do ativo imobilizado que tenham sido desvalorizados, perdidos ou abandonados, incluído no resultado.</w:t>
      </w:r>
      <w:r w:rsidR="0001139B" w:rsidRPr="007437A3">
        <w:rPr>
          <w:rFonts w:cstheme="minorHAnsi"/>
          <w:strike/>
        </w:rPr>
        <w:t xml:space="preserve"> </w:t>
      </w:r>
      <w:r w:rsidR="0001139B" w:rsidRPr="00955376">
        <w:rPr>
          <w:rFonts w:cstheme="minorHAnsi"/>
        </w:rPr>
        <w:t>(</w:t>
      </w:r>
      <w:r w:rsidR="0086577E" w:rsidRPr="00955376">
        <w:rPr>
          <w:rFonts w:cstheme="minorHAnsi"/>
        </w:rPr>
        <w:t>E</w:t>
      </w:r>
      <w:r w:rsidR="0001139B" w:rsidRPr="00955376">
        <w:rPr>
          <w:rFonts w:cstheme="minorHAnsi"/>
        </w:rPr>
        <w:t>liminado)</w:t>
      </w:r>
    </w:p>
    <w:p w14:paraId="06D75EE9" w14:textId="5D3A081F" w:rsidR="003B2284" w:rsidRPr="007437A3" w:rsidRDefault="00930B61" w:rsidP="00016987">
      <w:pPr>
        <w:spacing w:before="120" w:after="120" w:line="312" w:lineRule="auto"/>
        <w:ind w:left="1418" w:hanging="1418"/>
        <w:jc w:val="both"/>
        <w:rPr>
          <w:rFonts w:eastAsia="Times New Roman" w:cstheme="minorHAnsi"/>
          <w:u w:val="single"/>
          <w:lang w:eastAsia="pt-BR"/>
        </w:rPr>
      </w:pPr>
      <w:r w:rsidRPr="007437A3">
        <w:rPr>
          <w:rFonts w:eastAsia="Times New Roman" w:cstheme="minorHAnsi"/>
          <w:u w:val="single"/>
          <w:lang w:eastAsia="pt-BR"/>
        </w:rPr>
        <w:t>74A</w:t>
      </w:r>
      <w:r w:rsidR="006B3F97">
        <w:rPr>
          <w:rFonts w:eastAsia="Times New Roman" w:cstheme="minorHAnsi"/>
          <w:u w:val="single"/>
          <w:lang w:eastAsia="pt-BR"/>
        </w:rPr>
        <w:t>.</w:t>
      </w:r>
      <w:r w:rsidR="003B2284" w:rsidRPr="007437A3">
        <w:rPr>
          <w:rFonts w:eastAsia="Times New Roman" w:cstheme="minorHAnsi"/>
          <w:lang w:eastAsia="pt-BR"/>
        </w:rPr>
        <w:tab/>
      </w:r>
      <w:r w:rsidR="003B2284" w:rsidRPr="007437A3">
        <w:rPr>
          <w:rFonts w:eastAsia="Times New Roman" w:cstheme="minorHAnsi"/>
          <w:u w:val="single"/>
          <w:lang w:eastAsia="pt-BR"/>
        </w:rPr>
        <w:t xml:space="preserve">Se não for apresentado separadamente na demonstração do resultado abrangente, as demonstrações </w:t>
      </w:r>
      <w:r w:rsidR="009A3F8A">
        <w:rPr>
          <w:rFonts w:eastAsia="Times New Roman" w:cstheme="minorHAnsi"/>
          <w:u w:val="single"/>
          <w:lang w:eastAsia="pt-BR"/>
        </w:rPr>
        <w:t>contábeis</w:t>
      </w:r>
      <w:r w:rsidR="009A3F8A" w:rsidRPr="007437A3">
        <w:rPr>
          <w:rFonts w:eastAsia="Times New Roman" w:cstheme="minorHAnsi"/>
          <w:u w:val="single"/>
          <w:lang w:eastAsia="pt-BR"/>
        </w:rPr>
        <w:t xml:space="preserve"> </w:t>
      </w:r>
      <w:r w:rsidR="003B2284" w:rsidRPr="007437A3">
        <w:rPr>
          <w:rFonts w:eastAsia="Times New Roman" w:cstheme="minorHAnsi"/>
          <w:u w:val="single"/>
          <w:lang w:eastAsia="pt-BR"/>
        </w:rPr>
        <w:t>também devem divulgar:</w:t>
      </w:r>
    </w:p>
    <w:p w14:paraId="0F60D236" w14:textId="4D745634" w:rsidR="003B2284" w:rsidRPr="007437A3" w:rsidRDefault="003B2284" w:rsidP="00016987">
      <w:pPr>
        <w:spacing w:before="120" w:after="120" w:line="312" w:lineRule="auto"/>
        <w:ind w:left="1418"/>
        <w:jc w:val="both"/>
        <w:rPr>
          <w:rFonts w:eastAsia="Times New Roman" w:cstheme="minorHAnsi"/>
          <w:u w:val="single"/>
          <w:lang w:eastAsia="pt-BR"/>
        </w:rPr>
      </w:pPr>
      <w:r w:rsidRPr="007437A3">
        <w:rPr>
          <w:rFonts w:eastAsia="Times New Roman" w:cstheme="minorHAnsi"/>
          <w:u w:val="single"/>
          <w:lang w:eastAsia="pt-BR"/>
        </w:rPr>
        <w:t>(a)</w:t>
      </w:r>
      <w:r w:rsidRPr="007437A3">
        <w:rPr>
          <w:rFonts w:eastAsia="Times New Roman" w:cstheme="minorHAnsi"/>
          <w:lang w:eastAsia="pt-BR"/>
        </w:rPr>
        <w:tab/>
      </w:r>
      <w:r w:rsidR="005B441F">
        <w:rPr>
          <w:rFonts w:eastAsia="Times New Roman" w:cstheme="minorHAnsi"/>
          <w:u w:val="single"/>
          <w:lang w:eastAsia="pt-BR"/>
        </w:rPr>
        <w:t>o valor</w:t>
      </w:r>
      <w:r w:rsidRPr="007437A3">
        <w:rPr>
          <w:rFonts w:eastAsia="Times New Roman" w:cstheme="minorHAnsi"/>
          <w:u w:val="single"/>
          <w:lang w:eastAsia="pt-BR"/>
        </w:rPr>
        <w:t xml:space="preserve"> de compensação de terceiros para itens do ativo </w:t>
      </w:r>
      <w:r w:rsidR="005B441F">
        <w:rPr>
          <w:rFonts w:eastAsia="Times New Roman" w:cstheme="minorHAnsi"/>
          <w:u w:val="single"/>
          <w:lang w:eastAsia="pt-BR"/>
        </w:rPr>
        <w:t>imobilizado</w:t>
      </w:r>
      <w:r w:rsidRPr="007437A3">
        <w:rPr>
          <w:rFonts w:eastAsia="Times New Roman" w:cstheme="minorHAnsi"/>
          <w:u w:val="single"/>
          <w:lang w:eastAsia="pt-BR"/>
        </w:rPr>
        <w:t xml:space="preserve"> que foram danificados, perdidos ou cedidos que est</w:t>
      </w:r>
      <w:r w:rsidR="005B441F">
        <w:rPr>
          <w:rFonts w:eastAsia="Times New Roman" w:cstheme="minorHAnsi"/>
          <w:u w:val="single"/>
          <w:lang w:eastAsia="pt-BR"/>
        </w:rPr>
        <w:t>ejam</w:t>
      </w:r>
      <w:r w:rsidRPr="007437A3">
        <w:rPr>
          <w:rFonts w:eastAsia="Times New Roman" w:cstheme="minorHAnsi"/>
          <w:u w:val="single"/>
          <w:lang w:eastAsia="pt-BR"/>
        </w:rPr>
        <w:t xml:space="preserve"> incluíd</w:t>
      </w:r>
      <w:r w:rsidR="005B441F">
        <w:rPr>
          <w:rFonts w:eastAsia="Times New Roman" w:cstheme="minorHAnsi"/>
          <w:u w:val="single"/>
          <w:lang w:eastAsia="pt-BR"/>
        </w:rPr>
        <w:t>os</w:t>
      </w:r>
      <w:r w:rsidRPr="007437A3">
        <w:rPr>
          <w:rFonts w:eastAsia="Times New Roman" w:cstheme="minorHAnsi"/>
          <w:u w:val="single"/>
          <w:lang w:eastAsia="pt-BR"/>
        </w:rPr>
        <w:t xml:space="preserve"> no</w:t>
      </w:r>
      <w:r w:rsidR="005B441F">
        <w:rPr>
          <w:rFonts w:eastAsia="Times New Roman" w:cstheme="minorHAnsi"/>
          <w:u w:val="single"/>
          <w:lang w:eastAsia="pt-BR"/>
        </w:rPr>
        <w:t xml:space="preserve"> resultado</w:t>
      </w:r>
      <w:r w:rsidRPr="007437A3">
        <w:rPr>
          <w:rFonts w:eastAsia="Times New Roman" w:cstheme="minorHAnsi"/>
          <w:u w:val="single"/>
          <w:lang w:eastAsia="pt-BR"/>
        </w:rPr>
        <w:t>; e</w:t>
      </w:r>
    </w:p>
    <w:p w14:paraId="728D5C9D" w14:textId="351F13DA" w:rsidR="00930B61" w:rsidRPr="007437A3" w:rsidRDefault="003B2284" w:rsidP="00016987">
      <w:pPr>
        <w:spacing w:before="120" w:after="120" w:line="360" w:lineRule="auto"/>
        <w:ind w:left="1418"/>
        <w:jc w:val="both"/>
        <w:rPr>
          <w:rFonts w:eastAsia="Times New Roman" w:cstheme="minorHAnsi"/>
          <w:u w:val="single"/>
          <w:lang w:eastAsia="pt-BR"/>
        </w:rPr>
      </w:pPr>
      <w:r w:rsidRPr="007437A3">
        <w:rPr>
          <w:rFonts w:eastAsia="Times New Roman" w:cstheme="minorHAnsi"/>
          <w:u w:val="single"/>
          <w:lang w:eastAsia="pt-BR"/>
        </w:rPr>
        <w:t>(b)</w:t>
      </w:r>
      <w:r w:rsidRPr="007437A3">
        <w:rPr>
          <w:rFonts w:eastAsia="Times New Roman" w:cstheme="minorHAnsi"/>
          <w:lang w:eastAsia="pt-BR"/>
        </w:rPr>
        <w:tab/>
      </w:r>
      <w:r w:rsidRPr="007437A3">
        <w:rPr>
          <w:rFonts w:eastAsia="Times New Roman" w:cstheme="minorHAnsi"/>
          <w:u w:val="single"/>
          <w:lang w:eastAsia="pt-BR"/>
        </w:rPr>
        <w:t>as quantias de receitas e custos incluídos no</w:t>
      </w:r>
      <w:r w:rsidR="005B441F">
        <w:rPr>
          <w:rFonts w:eastAsia="Times New Roman" w:cstheme="minorHAnsi"/>
          <w:u w:val="single"/>
          <w:lang w:eastAsia="pt-BR"/>
        </w:rPr>
        <w:t xml:space="preserve"> resultado</w:t>
      </w:r>
      <w:r w:rsidRPr="007437A3">
        <w:rPr>
          <w:rFonts w:eastAsia="Times New Roman" w:cstheme="minorHAnsi"/>
          <w:u w:val="single"/>
          <w:lang w:eastAsia="pt-BR"/>
        </w:rPr>
        <w:t xml:space="preserve"> de acordo com o item 20A que se relacionam com itens produzidos que não são uma </w:t>
      </w:r>
      <w:r w:rsidRPr="002D04D2">
        <w:rPr>
          <w:rFonts w:eastAsia="Times New Roman" w:cstheme="minorHAnsi"/>
          <w:u w:val="single"/>
          <w:lang w:eastAsia="pt-BR"/>
        </w:rPr>
        <w:t>saída das atividades ordinárias da entidade, e</w:t>
      </w:r>
      <w:r w:rsidRPr="007437A3">
        <w:rPr>
          <w:rFonts w:eastAsia="Times New Roman" w:cstheme="minorHAnsi"/>
          <w:u w:val="single"/>
          <w:lang w:eastAsia="pt-BR"/>
        </w:rPr>
        <w:t xml:space="preserve"> que item(s) </w:t>
      </w:r>
      <w:r w:rsidR="005B441F">
        <w:rPr>
          <w:rFonts w:eastAsia="Times New Roman" w:cstheme="minorHAnsi"/>
          <w:u w:val="single"/>
          <w:lang w:eastAsia="pt-BR"/>
        </w:rPr>
        <w:t>da</w:t>
      </w:r>
      <w:r w:rsidRPr="007437A3">
        <w:rPr>
          <w:rFonts w:eastAsia="Times New Roman" w:cstheme="minorHAnsi"/>
          <w:u w:val="single"/>
          <w:lang w:eastAsia="pt-BR"/>
        </w:rPr>
        <w:t xml:space="preserve"> demonstração do </w:t>
      </w:r>
      <w:r w:rsidR="005B441F">
        <w:rPr>
          <w:rFonts w:eastAsia="Times New Roman" w:cstheme="minorHAnsi"/>
          <w:u w:val="single"/>
          <w:lang w:eastAsia="pt-BR"/>
        </w:rPr>
        <w:t>resultado abrangente</w:t>
      </w:r>
      <w:r w:rsidRPr="007437A3">
        <w:rPr>
          <w:rFonts w:eastAsia="Times New Roman" w:cstheme="minorHAnsi"/>
          <w:u w:val="single"/>
          <w:lang w:eastAsia="pt-BR"/>
        </w:rPr>
        <w:t xml:space="preserve"> inclui (em) tais receitas e custos.</w:t>
      </w:r>
      <w:r w:rsidRPr="007437A3" w:rsidDel="003B2284">
        <w:rPr>
          <w:rFonts w:eastAsia="Times New Roman" w:cstheme="minorHAnsi"/>
          <w:u w:val="single"/>
          <w:lang w:eastAsia="pt-BR"/>
        </w:rPr>
        <w:t xml:space="preserve"> </w:t>
      </w:r>
    </w:p>
    <w:p w14:paraId="65BCE3EE" w14:textId="7B9BC6E2" w:rsidR="00151C64" w:rsidRPr="007437A3" w:rsidRDefault="00151C64" w:rsidP="006D0B5E">
      <w:pPr>
        <w:spacing w:before="120" w:after="120" w:line="360" w:lineRule="auto"/>
        <w:ind w:left="1418" w:hanging="1418"/>
        <w:jc w:val="both"/>
        <w:rPr>
          <w:rFonts w:cstheme="minorHAnsi"/>
          <w:u w:val="single"/>
        </w:rPr>
      </w:pPr>
      <w:r w:rsidRPr="007437A3">
        <w:rPr>
          <w:rFonts w:cstheme="minorHAnsi"/>
          <w:u w:val="single"/>
        </w:rPr>
        <w:t>80D</w:t>
      </w:r>
      <w:r w:rsidR="006B3F97">
        <w:rPr>
          <w:rFonts w:cstheme="minorHAnsi"/>
          <w:u w:val="single"/>
        </w:rPr>
        <w:t>.</w:t>
      </w:r>
      <w:r w:rsidRPr="007437A3">
        <w:rPr>
          <w:rFonts w:cstheme="minorHAnsi"/>
        </w:rPr>
        <w:tab/>
      </w:r>
      <w:r w:rsidR="0086577E" w:rsidRPr="007437A3">
        <w:rPr>
          <w:rFonts w:cstheme="minorHAnsi"/>
          <w:u w:val="single"/>
        </w:rPr>
        <w:t xml:space="preserve">A </w:t>
      </w:r>
      <w:r w:rsidR="00964583">
        <w:rPr>
          <w:rFonts w:cstheme="minorHAnsi"/>
          <w:u w:val="single"/>
        </w:rPr>
        <w:t>Revisão CPC 19</w:t>
      </w:r>
      <w:r w:rsidR="0086577E" w:rsidRPr="007437A3">
        <w:rPr>
          <w:rFonts w:cstheme="minorHAnsi"/>
          <w:u w:val="single"/>
        </w:rPr>
        <w:t xml:space="preserve">, aprovada pelo CPC em XX de XXXX de 2021, </w:t>
      </w:r>
      <w:r w:rsidR="00B82AE2" w:rsidRPr="007437A3">
        <w:rPr>
          <w:rFonts w:cstheme="minorHAnsi"/>
          <w:u w:val="single"/>
        </w:rPr>
        <w:t>alterou</w:t>
      </w:r>
      <w:r w:rsidR="009439D1" w:rsidRPr="007437A3">
        <w:rPr>
          <w:rFonts w:cstheme="minorHAnsi"/>
          <w:u w:val="single"/>
        </w:rPr>
        <w:t xml:space="preserve"> os itens 17 e 74 e adicionou os itens 20A e 74A. Uma entidade deve aplicar essas alterações retrospectivamente, mas apenas aos itens do ativo imobilizado que são colocados no local e na condição necessária para que sejam capazes de operar da maneira pretendida pela administração no ou após o início do período mais antigo apresentado nas demonstrações </w:t>
      </w:r>
      <w:r w:rsidR="009A3F8A">
        <w:rPr>
          <w:rFonts w:cstheme="minorHAnsi"/>
          <w:u w:val="single"/>
        </w:rPr>
        <w:t>contábeis</w:t>
      </w:r>
      <w:r w:rsidR="009A3F8A" w:rsidRPr="007437A3">
        <w:rPr>
          <w:rFonts w:cstheme="minorHAnsi"/>
          <w:u w:val="single"/>
        </w:rPr>
        <w:t xml:space="preserve"> </w:t>
      </w:r>
      <w:r w:rsidR="009439D1" w:rsidRPr="007437A3">
        <w:rPr>
          <w:rFonts w:cstheme="minorHAnsi"/>
          <w:u w:val="single"/>
        </w:rPr>
        <w:t xml:space="preserve">nas quais a entidade aplica </w:t>
      </w:r>
      <w:r w:rsidR="0086577E">
        <w:rPr>
          <w:rFonts w:cstheme="minorHAnsi"/>
          <w:u w:val="single"/>
        </w:rPr>
        <w:t>a revisão</w:t>
      </w:r>
      <w:r w:rsidR="009439D1" w:rsidRPr="007437A3">
        <w:rPr>
          <w:rFonts w:cstheme="minorHAnsi"/>
          <w:u w:val="single"/>
        </w:rPr>
        <w:t xml:space="preserve"> pela primeira vez. A entidade deve reconhecer o efeito cumulativo da aplicação inicial das </w:t>
      </w:r>
      <w:r w:rsidR="0086577E">
        <w:rPr>
          <w:rFonts w:cstheme="minorHAnsi"/>
          <w:u w:val="single"/>
        </w:rPr>
        <w:t>alterações</w:t>
      </w:r>
      <w:r w:rsidR="009439D1" w:rsidRPr="007437A3">
        <w:rPr>
          <w:rFonts w:cstheme="minorHAnsi"/>
          <w:u w:val="single"/>
        </w:rPr>
        <w:t xml:space="preserve"> como um ajuste ao saldo inicial dos lucros </w:t>
      </w:r>
      <w:r w:rsidR="00B60885">
        <w:rPr>
          <w:rFonts w:cstheme="minorHAnsi"/>
          <w:u w:val="single"/>
        </w:rPr>
        <w:t>acumulados</w:t>
      </w:r>
      <w:r w:rsidR="00B60885" w:rsidRPr="007437A3">
        <w:rPr>
          <w:rFonts w:cstheme="minorHAnsi"/>
          <w:u w:val="single"/>
        </w:rPr>
        <w:t xml:space="preserve"> </w:t>
      </w:r>
      <w:r w:rsidR="009439D1" w:rsidRPr="007437A3">
        <w:rPr>
          <w:rFonts w:cstheme="minorHAnsi"/>
          <w:u w:val="single"/>
        </w:rPr>
        <w:t>(ou outro componente do patrimônio líquido, conforme apropriado) no início do período mais antigo apresentado.</w:t>
      </w:r>
      <w:r w:rsidR="009439D1" w:rsidRPr="007437A3" w:rsidDel="009439D1">
        <w:rPr>
          <w:rFonts w:cstheme="minorHAnsi"/>
        </w:rPr>
        <w:t xml:space="preserve"> </w:t>
      </w:r>
    </w:p>
    <w:p w14:paraId="1E7F3353" w14:textId="3705CFE0" w:rsidR="00584FBF" w:rsidRPr="007437A3" w:rsidRDefault="00151C64" w:rsidP="006D0B5E">
      <w:pPr>
        <w:spacing w:before="120" w:after="120" w:line="360" w:lineRule="auto"/>
        <w:ind w:left="1418" w:hanging="1418"/>
        <w:jc w:val="both"/>
        <w:rPr>
          <w:rFonts w:cstheme="minorHAnsi"/>
          <w:u w:val="single"/>
        </w:rPr>
      </w:pPr>
      <w:r w:rsidRPr="007437A3">
        <w:rPr>
          <w:rFonts w:cstheme="minorHAnsi"/>
          <w:u w:val="single"/>
        </w:rPr>
        <w:t>81N</w:t>
      </w:r>
      <w:r w:rsidR="006B3F97">
        <w:rPr>
          <w:rFonts w:cstheme="minorHAnsi"/>
          <w:u w:val="single"/>
        </w:rPr>
        <w:t>.</w:t>
      </w:r>
      <w:r w:rsidRPr="007437A3">
        <w:rPr>
          <w:rFonts w:cstheme="minorHAnsi"/>
        </w:rPr>
        <w:tab/>
      </w:r>
      <w:r w:rsidR="00B82AE2" w:rsidRPr="007437A3">
        <w:rPr>
          <w:rFonts w:cstheme="minorHAnsi"/>
          <w:u w:val="single"/>
        </w:rPr>
        <w:t xml:space="preserve">A </w:t>
      </w:r>
      <w:r w:rsidR="00964583">
        <w:rPr>
          <w:rFonts w:cstheme="minorHAnsi"/>
          <w:u w:val="single"/>
        </w:rPr>
        <w:t>Revisão CPC 19</w:t>
      </w:r>
      <w:r w:rsidR="00B82AE2" w:rsidRPr="007437A3">
        <w:rPr>
          <w:rFonts w:cstheme="minorHAnsi"/>
          <w:u w:val="single"/>
        </w:rPr>
        <w:t>, aprovada pelo CPC em XX de XXXX de 2021, alterou os itens 17 e 74 e adicionou os itens 20A, 74A e 80D. A vigência desta Revisão será estabelecida pelos órgãos reguladores que a aprovarem, sendo que para o pleno atendimento às normas internacionais de contabilidade, a entidade deve aplicar esta revisão para períodos anuais com início em ou após 1º de janeiro de 2022.</w:t>
      </w:r>
    </w:p>
    <w:p w14:paraId="5F9703D7" w14:textId="77777777" w:rsidR="003339B7" w:rsidRPr="007437A3" w:rsidRDefault="003339B7" w:rsidP="003339B7">
      <w:pPr>
        <w:spacing w:before="120" w:after="120" w:line="360" w:lineRule="auto"/>
        <w:ind w:left="709" w:hanging="709"/>
        <w:jc w:val="both"/>
        <w:rPr>
          <w:rFonts w:cstheme="minorHAnsi"/>
          <w:u w:val="single"/>
        </w:rPr>
      </w:pPr>
    </w:p>
    <w:p w14:paraId="7090C841" w14:textId="3CD6D185" w:rsidR="00B3491A" w:rsidRPr="002D04D2" w:rsidRDefault="002F526D" w:rsidP="002F526D">
      <w:pPr>
        <w:pStyle w:val="PargrafodaLista"/>
        <w:numPr>
          <w:ilvl w:val="0"/>
          <w:numId w:val="11"/>
        </w:numPr>
        <w:spacing w:before="120" w:after="120" w:line="360" w:lineRule="auto"/>
        <w:jc w:val="both"/>
        <w:rPr>
          <w:rFonts w:cstheme="minorHAnsi"/>
          <w:b/>
          <w:bCs/>
        </w:rPr>
      </w:pPr>
      <w:r w:rsidRPr="002D04D2">
        <w:rPr>
          <w:rFonts w:cstheme="minorHAnsi"/>
          <w:b/>
          <w:bCs/>
        </w:rPr>
        <w:t>A</w:t>
      </w:r>
      <w:r w:rsidR="00340553" w:rsidRPr="002D04D2">
        <w:rPr>
          <w:rFonts w:cstheme="minorHAnsi"/>
          <w:b/>
          <w:bCs/>
        </w:rPr>
        <w:t>diciona os itens 68A, 94A e 108 e altera o item 69 n</w:t>
      </w:r>
      <w:r w:rsidRPr="005B2B4C">
        <w:rPr>
          <w:rFonts w:cstheme="minorHAnsi"/>
          <w:b/>
          <w:bCs/>
        </w:rPr>
        <w:t>o CPC 25 - Provisões, Passivos Contingentes e Ativos Contingentes, que passa</w:t>
      </w:r>
      <w:r w:rsidR="008D587D">
        <w:rPr>
          <w:rFonts w:cstheme="minorHAnsi"/>
          <w:b/>
          <w:bCs/>
        </w:rPr>
        <w:t>m</w:t>
      </w:r>
      <w:r w:rsidRPr="005B2B4C">
        <w:rPr>
          <w:rFonts w:cstheme="minorHAnsi"/>
          <w:b/>
          <w:bCs/>
        </w:rPr>
        <w:t xml:space="preserve"> a vigorar com a seguinte redação:</w:t>
      </w:r>
    </w:p>
    <w:p w14:paraId="149D1EC8" w14:textId="693A3B5F" w:rsidR="003637EA" w:rsidRPr="007437A3" w:rsidRDefault="00625694" w:rsidP="003637EA">
      <w:pPr>
        <w:spacing w:before="120" w:after="120" w:line="312" w:lineRule="auto"/>
        <w:ind w:left="1418" w:hanging="1418"/>
        <w:jc w:val="both"/>
        <w:rPr>
          <w:rFonts w:cstheme="minorHAnsi"/>
          <w:u w:val="single"/>
        </w:rPr>
      </w:pPr>
      <w:r w:rsidRPr="007437A3">
        <w:rPr>
          <w:rFonts w:cstheme="minorHAnsi"/>
          <w:u w:val="single"/>
        </w:rPr>
        <w:t>68A</w:t>
      </w:r>
      <w:r w:rsidR="006B3F97">
        <w:rPr>
          <w:rFonts w:cstheme="minorHAnsi"/>
          <w:u w:val="single"/>
        </w:rPr>
        <w:t>.</w:t>
      </w:r>
      <w:r w:rsidRPr="007437A3">
        <w:rPr>
          <w:rFonts w:cstheme="minorHAnsi"/>
        </w:rPr>
        <w:tab/>
      </w:r>
      <w:r w:rsidR="003637EA" w:rsidRPr="007437A3">
        <w:rPr>
          <w:rFonts w:cstheme="minorHAnsi"/>
          <w:u w:val="single"/>
        </w:rPr>
        <w:t>O custo de cumprimento de contrato compreende os custos que se relacionam diretamente com o contrato. Os custos que se relacionam diretamente com um contrato consistem em:</w:t>
      </w:r>
    </w:p>
    <w:p w14:paraId="6AB29520" w14:textId="2435E724" w:rsidR="003637EA" w:rsidRPr="007437A3" w:rsidRDefault="003637EA" w:rsidP="003637EA">
      <w:pPr>
        <w:spacing w:before="120" w:after="120" w:line="312" w:lineRule="auto"/>
        <w:ind w:left="1418"/>
        <w:jc w:val="both"/>
        <w:rPr>
          <w:rFonts w:cstheme="minorHAnsi"/>
          <w:u w:val="single"/>
        </w:rPr>
      </w:pPr>
      <w:r w:rsidRPr="007437A3">
        <w:rPr>
          <w:rFonts w:cstheme="minorHAnsi"/>
          <w:u w:val="single"/>
        </w:rPr>
        <w:t>(a)</w:t>
      </w:r>
      <w:r w:rsidRPr="007437A3">
        <w:rPr>
          <w:rFonts w:cstheme="minorHAnsi"/>
          <w:u w:val="single"/>
        </w:rPr>
        <w:tab/>
        <w:t>os custos incrementais de cumprimento desse contrato</w:t>
      </w:r>
      <w:r w:rsidR="00340553">
        <w:rPr>
          <w:rFonts w:cstheme="minorHAnsi"/>
          <w:u w:val="single"/>
        </w:rPr>
        <w:t>,</w:t>
      </w:r>
      <w:r w:rsidRPr="007437A3">
        <w:rPr>
          <w:rFonts w:cstheme="minorHAnsi"/>
          <w:u w:val="single"/>
        </w:rPr>
        <w:t xml:space="preserve"> por exemplo, mão-de-obra direta e materiais; e</w:t>
      </w:r>
    </w:p>
    <w:p w14:paraId="600FEED9" w14:textId="3E505F25" w:rsidR="003637EA" w:rsidRPr="007437A3" w:rsidRDefault="003637EA" w:rsidP="003637EA">
      <w:pPr>
        <w:spacing w:before="120" w:after="120" w:line="312" w:lineRule="auto"/>
        <w:ind w:left="1418"/>
        <w:jc w:val="both"/>
        <w:rPr>
          <w:rFonts w:cstheme="minorHAnsi"/>
          <w:u w:val="single"/>
        </w:rPr>
      </w:pPr>
      <w:r w:rsidRPr="007437A3">
        <w:rPr>
          <w:rFonts w:cstheme="minorHAnsi"/>
          <w:u w:val="single"/>
        </w:rPr>
        <w:lastRenderedPageBreak/>
        <w:t>(b)</w:t>
      </w:r>
      <w:r w:rsidRPr="007437A3">
        <w:rPr>
          <w:rFonts w:cstheme="minorHAnsi"/>
          <w:u w:val="single"/>
        </w:rPr>
        <w:tab/>
      </w:r>
      <w:r w:rsidR="00340553">
        <w:rPr>
          <w:rFonts w:cstheme="minorHAnsi"/>
          <w:u w:val="single"/>
        </w:rPr>
        <w:t xml:space="preserve">a </w:t>
      </w:r>
      <w:r w:rsidRPr="007437A3">
        <w:rPr>
          <w:rFonts w:cstheme="minorHAnsi"/>
          <w:u w:val="single"/>
        </w:rPr>
        <w:t>alocação de outros custos que se relacionam diretamente com o cumprimento de contratos</w:t>
      </w:r>
      <w:r w:rsidR="00340553">
        <w:rPr>
          <w:rFonts w:cstheme="minorHAnsi"/>
          <w:u w:val="single"/>
        </w:rPr>
        <w:t>,</w:t>
      </w:r>
      <w:r w:rsidRPr="007437A3">
        <w:rPr>
          <w:rFonts w:cstheme="minorHAnsi"/>
          <w:u w:val="single"/>
        </w:rPr>
        <w:t xml:space="preserve"> por exemplo, a alocação do encargo de depreciação para  item do imobilizado </w:t>
      </w:r>
      <w:r w:rsidR="00340553">
        <w:rPr>
          <w:rFonts w:cstheme="minorHAnsi"/>
          <w:u w:val="single"/>
        </w:rPr>
        <w:t>utilizado</w:t>
      </w:r>
      <w:r w:rsidRPr="007437A3">
        <w:rPr>
          <w:rFonts w:cstheme="minorHAnsi"/>
          <w:u w:val="single"/>
        </w:rPr>
        <w:t xml:space="preserve"> no cumprimento desse contrato, entre outros.</w:t>
      </w:r>
    </w:p>
    <w:p w14:paraId="5A0D0669" w14:textId="77777777" w:rsidR="00490AE5" w:rsidRPr="007437A3" w:rsidRDefault="00490AE5" w:rsidP="00016987">
      <w:pPr>
        <w:spacing w:before="120" w:after="120" w:line="360" w:lineRule="auto"/>
        <w:ind w:left="1418" w:hanging="1418"/>
        <w:jc w:val="both"/>
        <w:rPr>
          <w:rFonts w:cstheme="minorHAnsi"/>
          <w:u w:val="single"/>
        </w:rPr>
      </w:pPr>
    </w:p>
    <w:p w14:paraId="6A57C9DB" w14:textId="036F3618" w:rsidR="0016225A" w:rsidRPr="007437A3" w:rsidRDefault="0016225A" w:rsidP="00545071">
      <w:pPr>
        <w:spacing w:before="120" w:after="120" w:line="360" w:lineRule="auto"/>
        <w:ind w:left="1418" w:hanging="1418"/>
        <w:jc w:val="both"/>
        <w:rPr>
          <w:rFonts w:cstheme="minorHAnsi"/>
        </w:rPr>
      </w:pPr>
      <w:r w:rsidRPr="007437A3">
        <w:rPr>
          <w:rFonts w:cstheme="minorHAnsi"/>
        </w:rPr>
        <w:t>69</w:t>
      </w:r>
      <w:r w:rsidR="006B3F97">
        <w:rPr>
          <w:rFonts w:cstheme="minorHAnsi"/>
        </w:rPr>
        <w:t>.</w:t>
      </w:r>
      <w:r w:rsidRPr="007437A3">
        <w:rPr>
          <w:rFonts w:cstheme="minorHAnsi"/>
        </w:rPr>
        <w:tab/>
        <w:t xml:space="preserve">Antes de ser estabelecida uma provisão separada para um contrato oneroso, a entidade deve reconhecer qualquer perda decorrente de desvalorização que tenha ocorrido nos ativos </w:t>
      </w:r>
      <w:r w:rsidRPr="007437A3">
        <w:rPr>
          <w:rFonts w:cstheme="minorHAnsi"/>
          <w:strike/>
        </w:rPr>
        <w:t>relativos a esse</w:t>
      </w:r>
      <w:r w:rsidR="00314DCF" w:rsidRPr="007437A3">
        <w:rPr>
          <w:rFonts w:cstheme="minorHAnsi"/>
        </w:rPr>
        <w:t xml:space="preserve"> </w:t>
      </w:r>
      <w:r w:rsidR="00340553">
        <w:rPr>
          <w:rFonts w:cstheme="minorHAnsi"/>
          <w:u w:val="single"/>
        </w:rPr>
        <w:t>utilizados</w:t>
      </w:r>
      <w:r w:rsidR="00314DCF" w:rsidRPr="007437A3">
        <w:rPr>
          <w:rFonts w:cstheme="minorHAnsi"/>
          <w:u w:val="single"/>
        </w:rPr>
        <w:t xml:space="preserve"> no </w:t>
      </w:r>
      <w:r w:rsidR="004C2494" w:rsidRPr="007437A3">
        <w:rPr>
          <w:rFonts w:cstheme="minorHAnsi"/>
          <w:u w:val="single"/>
        </w:rPr>
        <w:t>cumprimento</w:t>
      </w:r>
      <w:r w:rsidR="00314DCF" w:rsidRPr="007437A3">
        <w:rPr>
          <w:rFonts w:cstheme="minorHAnsi"/>
          <w:u w:val="single"/>
        </w:rPr>
        <w:t xml:space="preserve"> do</w:t>
      </w:r>
      <w:r w:rsidRPr="007437A3">
        <w:rPr>
          <w:rFonts w:cstheme="minorHAnsi"/>
        </w:rPr>
        <w:t xml:space="preserve"> contrato (ver o Pronunciamento Técnico CPC 01 – Redução ao Valor Recuperável de Ativos).</w:t>
      </w:r>
    </w:p>
    <w:p w14:paraId="25E23A13" w14:textId="4D9B1120" w:rsidR="00F34733" w:rsidRPr="007437A3" w:rsidRDefault="00F34733" w:rsidP="00545071">
      <w:pPr>
        <w:spacing w:before="120" w:after="120" w:line="360" w:lineRule="auto"/>
        <w:ind w:left="1418" w:hanging="1418"/>
        <w:jc w:val="both"/>
        <w:rPr>
          <w:rFonts w:cstheme="minorHAnsi"/>
          <w:u w:val="single"/>
        </w:rPr>
      </w:pPr>
      <w:r w:rsidRPr="007437A3">
        <w:rPr>
          <w:rFonts w:cstheme="minorHAnsi"/>
          <w:u w:val="single"/>
        </w:rPr>
        <w:t>94A</w:t>
      </w:r>
      <w:r w:rsidR="006B3F97">
        <w:rPr>
          <w:rFonts w:cstheme="minorHAnsi"/>
          <w:u w:val="single"/>
        </w:rPr>
        <w:t>.</w:t>
      </w:r>
      <w:r w:rsidRPr="007437A3">
        <w:rPr>
          <w:rFonts w:cstheme="minorHAnsi"/>
        </w:rPr>
        <w:tab/>
      </w:r>
      <w:r w:rsidR="00340553" w:rsidRPr="007437A3">
        <w:rPr>
          <w:rFonts w:cstheme="minorHAnsi"/>
          <w:u w:val="single"/>
        </w:rPr>
        <w:t xml:space="preserve">A </w:t>
      </w:r>
      <w:r w:rsidR="00964583">
        <w:rPr>
          <w:rFonts w:cstheme="minorHAnsi"/>
          <w:u w:val="single"/>
        </w:rPr>
        <w:t>Revisão CPC 19</w:t>
      </w:r>
      <w:r w:rsidR="00340553" w:rsidRPr="007437A3">
        <w:rPr>
          <w:rFonts w:cstheme="minorHAnsi"/>
          <w:u w:val="single"/>
        </w:rPr>
        <w:t>, aprovada pelo CPC em XX de XXXX de 2021,</w:t>
      </w:r>
      <w:r w:rsidR="003637EA" w:rsidRPr="007437A3">
        <w:rPr>
          <w:rFonts w:cstheme="minorHAnsi"/>
          <w:u w:val="single"/>
        </w:rPr>
        <w:t xml:space="preserve"> acrescentou o item 68A e alterou o item 69. Uma entidade deve aplicar essas alterações aos contratos para os quais ainda não cumpriu todas as suas obrigações no início do </w:t>
      </w:r>
      <w:r w:rsidR="00340553">
        <w:rPr>
          <w:rFonts w:cstheme="minorHAnsi"/>
          <w:u w:val="single"/>
        </w:rPr>
        <w:t xml:space="preserve">primeiro </w:t>
      </w:r>
      <w:r w:rsidR="003637EA" w:rsidRPr="007437A3">
        <w:rPr>
          <w:rFonts w:cstheme="minorHAnsi"/>
          <w:u w:val="single"/>
        </w:rPr>
        <w:t xml:space="preserve">período </w:t>
      </w:r>
      <w:r w:rsidR="00340553">
        <w:rPr>
          <w:rFonts w:cstheme="minorHAnsi"/>
          <w:u w:val="single"/>
        </w:rPr>
        <w:t>em que</w:t>
      </w:r>
      <w:r w:rsidR="003637EA" w:rsidRPr="007437A3">
        <w:rPr>
          <w:rFonts w:cstheme="minorHAnsi"/>
          <w:u w:val="single"/>
        </w:rPr>
        <w:t xml:space="preserve"> aplica</w:t>
      </w:r>
      <w:r w:rsidR="00340553">
        <w:rPr>
          <w:rFonts w:cstheme="minorHAnsi"/>
          <w:u w:val="single"/>
        </w:rPr>
        <w:t>r</w:t>
      </w:r>
      <w:r w:rsidR="003637EA" w:rsidRPr="007437A3">
        <w:rPr>
          <w:rFonts w:cstheme="minorHAnsi"/>
          <w:u w:val="single"/>
        </w:rPr>
        <w:t xml:space="preserve"> as alterações (data da aplicação inicial). A entidade não deve reapresentar informações comparativas. Em vez disso, a entidade deve reconhecer o efeito cumulativo da aplicação inicial das emendas como um ajuste ao saldo inicial dos lucros </w:t>
      </w:r>
      <w:r w:rsidR="002D04D2">
        <w:rPr>
          <w:rFonts w:cstheme="minorHAnsi"/>
          <w:u w:val="single"/>
        </w:rPr>
        <w:t>acumulados</w:t>
      </w:r>
      <w:r w:rsidR="002D04D2" w:rsidRPr="007437A3">
        <w:rPr>
          <w:rFonts w:cstheme="minorHAnsi"/>
          <w:u w:val="single"/>
        </w:rPr>
        <w:t xml:space="preserve"> </w:t>
      </w:r>
      <w:r w:rsidR="003637EA" w:rsidRPr="007437A3">
        <w:rPr>
          <w:rFonts w:cstheme="minorHAnsi"/>
          <w:u w:val="single"/>
        </w:rPr>
        <w:t>ou outro componente do patrimônio líquido, conforme apropriado, na data da aplicação inicial.</w:t>
      </w:r>
      <w:r w:rsidR="003637EA" w:rsidRPr="007437A3" w:rsidDel="003637EA">
        <w:rPr>
          <w:rFonts w:cstheme="minorHAnsi"/>
        </w:rPr>
        <w:t xml:space="preserve"> </w:t>
      </w:r>
    </w:p>
    <w:p w14:paraId="5EF3F2BB" w14:textId="29A621A5" w:rsidR="007437A3" w:rsidRPr="007437A3" w:rsidRDefault="008D162E" w:rsidP="007437A3">
      <w:pPr>
        <w:spacing w:before="120" w:after="120" w:line="360" w:lineRule="auto"/>
        <w:ind w:left="1418" w:hanging="1418"/>
        <w:jc w:val="both"/>
        <w:rPr>
          <w:rFonts w:cstheme="minorHAnsi"/>
          <w:u w:val="single"/>
        </w:rPr>
      </w:pPr>
      <w:r w:rsidRPr="007437A3">
        <w:rPr>
          <w:rFonts w:eastAsia="Times New Roman" w:cstheme="minorHAnsi"/>
          <w:u w:val="single"/>
          <w:lang w:eastAsia="pt-BR"/>
        </w:rPr>
        <w:t>105</w:t>
      </w:r>
      <w:r w:rsidR="006B3F97">
        <w:rPr>
          <w:rFonts w:eastAsia="Times New Roman" w:cstheme="minorHAnsi"/>
          <w:u w:val="single"/>
          <w:lang w:eastAsia="pt-BR"/>
        </w:rPr>
        <w:t>.</w:t>
      </w:r>
      <w:r w:rsidRPr="007437A3">
        <w:rPr>
          <w:rFonts w:eastAsia="Times New Roman" w:cstheme="minorHAnsi"/>
          <w:lang w:eastAsia="pt-BR"/>
        </w:rPr>
        <w:tab/>
      </w:r>
      <w:r w:rsidR="007437A3" w:rsidRPr="007437A3">
        <w:rPr>
          <w:rFonts w:cstheme="minorHAnsi"/>
          <w:u w:val="single"/>
        </w:rPr>
        <w:t xml:space="preserve">A </w:t>
      </w:r>
      <w:r w:rsidR="00964583">
        <w:rPr>
          <w:rFonts w:cstheme="minorHAnsi"/>
          <w:u w:val="single"/>
        </w:rPr>
        <w:t>Revisão CPC 19</w:t>
      </w:r>
      <w:r w:rsidR="007437A3" w:rsidRPr="007437A3">
        <w:rPr>
          <w:rFonts w:cstheme="minorHAnsi"/>
          <w:u w:val="single"/>
        </w:rPr>
        <w:t xml:space="preserve">, aprovada pelo CPC em XX de XXXX de 2021, </w:t>
      </w:r>
      <w:bookmarkStart w:id="3" w:name="_Hlk77062608"/>
      <w:r w:rsidR="007437A3">
        <w:rPr>
          <w:rFonts w:cstheme="minorHAnsi"/>
          <w:u w:val="single"/>
        </w:rPr>
        <w:t>adicionou os itens 68A e 94A e alterou o item 69</w:t>
      </w:r>
      <w:bookmarkEnd w:id="3"/>
      <w:r w:rsidR="007437A3" w:rsidRPr="007437A3">
        <w:rPr>
          <w:rFonts w:cstheme="minorHAnsi"/>
          <w:u w:val="single"/>
        </w:rPr>
        <w:t>. A vigência desta Revisão será estabelecida pelos órgãos reguladores que a aprovarem, sendo que para o pleno atendimento às normas internacionais de contabilidade, a entidade deve aplicar esta revisão para períodos anuais com início em ou após 1º de janeiro de 2022.</w:t>
      </w:r>
    </w:p>
    <w:p w14:paraId="4C20C85C" w14:textId="4FB3DF34" w:rsidR="007D6A87" w:rsidRPr="007437A3" w:rsidRDefault="007D6A87" w:rsidP="007437A3">
      <w:pPr>
        <w:spacing w:before="120" w:after="120" w:line="360" w:lineRule="auto"/>
        <w:ind w:left="1418" w:hanging="1418"/>
        <w:jc w:val="both"/>
        <w:rPr>
          <w:rFonts w:eastAsia="Times New Roman" w:cstheme="minorHAnsi"/>
          <w:color w:val="000000" w:themeColor="text1"/>
          <w:lang w:eastAsia="pt-BR"/>
        </w:rPr>
      </w:pPr>
    </w:p>
    <w:p w14:paraId="7B269E9C" w14:textId="77741697" w:rsidR="004224C5" w:rsidRPr="007437A3" w:rsidRDefault="002F526D" w:rsidP="002F526D">
      <w:pPr>
        <w:pStyle w:val="PargrafodaLista"/>
        <w:numPr>
          <w:ilvl w:val="0"/>
          <w:numId w:val="11"/>
        </w:numPr>
        <w:spacing w:before="120" w:after="120" w:line="360" w:lineRule="auto"/>
        <w:jc w:val="both"/>
        <w:rPr>
          <w:rFonts w:cstheme="minorHAnsi"/>
          <w:b/>
          <w:bCs/>
        </w:rPr>
      </w:pPr>
      <w:r w:rsidRPr="007437A3">
        <w:rPr>
          <w:rFonts w:cstheme="minorHAnsi"/>
          <w:b/>
          <w:bCs/>
        </w:rPr>
        <w:t xml:space="preserve">Altera </w:t>
      </w:r>
      <w:r w:rsidR="00B63225" w:rsidRPr="00B63225">
        <w:rPr>
          <w:rFonts w:cstheme="minorHAnsi"/>
          <w:b/>
          <w:bCs/>
        </w:rPr>
        <w:t>os itens 11, 14, 21, 22 e 23 e adicion</w:t>
      </w:r>
      <w:r w:rsidR="00B63225">
        <w:rPr>
          <w:rFonts w:cstheme="minorHAnsi"/>
          <w:b/>
          <w:bCs/>
        </w:rPr>
        <w:t>a</w:t>
      </w:r>
      <w:r w:rsidR="00B63225" w:rsidRPr="00B63225">
        <w:rPr>
          <w:rFonts w:cstheme="minorHAnsi"/>
          <w:b/>
          <w:bCs/>
        </w:rPr>
        <w:t xml:space="preserve"> os itens 21A, 21B, 21C</w:t>
      </w:r>
      <w:r w:rsidR="00B63225">
        <w:rPr>
          <w:rFonts w:cstheme="minorHAnsi"/>
          <w:b/>
          <w:bCs/>
        </w:rPr>
        <w:t>,</w:t>
      </w:r>
      <w:r w:rsidR="00B63225" w:rsidRPr="00B63225">
        <w:rPr>
          <w:rFonts w:cstheme="minorHAnsi"/>
          <w:b/>
          <w:bCs/>
        </w:rPr>
        <w:t xml:space="preserve"> 23A</w:t>
      </w:r>
      <w:r w:rsidR="00B63225">
        <w:rPr>
          <w:rFonts w:cstheme="minorHAnsi"/>
          <w:b/>
          <w:bCs/>
        </w:rPr>
        <w:t xml:space="preserve"> e 64Q</w:t>
      </w:r>
      <w:r w:rsidR="00B63225" w:rsidRPr="00B63225">
        <w:rPr>
          <w:rFonts w:cstheme="minorHAnsi"/>
          <w:b/>
          <w:bCs/>
        </w:rPr>
        <w:t xml:space="preserve"> </w:t>
      </w:r>
      <w:r w:rsidR="00B63225">
        <w:rPr>
          <w:rFonts w:cstheme="minorHAnsi"/>
          <w:b/>
          <w:bCs/>
        </w:rPr>
        <w:t>n</w:t>
      </w:r>
      <w:r w:rsidRPr="007437A3">
        <w:rPr>
          <w:rFonts w:cstheme="minorHAnsi"/>
          <w:b/>
          <w:bCs/>
        </w:rPr>
        <w:t xml:space="preserve">o CPC 15 (R1) – </w:t>
      </w:r>
      <w:r w:rsidR="00870B60" w:rsidRPr="007437A3">
        <w:rPr>
          <w:rFonts w:cstheme="minorHAnsi"/>
          <w:b/>
          <w:bCs/>
        </w:rPr>
        <w:t>C</w:t>
      </w:r>
      <w:r w:rsidRPr="007437A3">
        <w:rPr>
          <w:rFonts w:cstheme="minorHAnsi"/>
          <w:b/>
          <w:bCs/>
        </w:rPr>
        <w:t>ombinação de Negócios, que passa</w:t>
      </w:r>
      <w:r w:rsidR="00340553">
        <w:rPr>
          <w:rFonts w:cstheme="minorHAnsi"/>
          <w:b/>
          <w:bCs/>
        </w:rPr>
        <w:t>m</w:t>
      </w:r>
      <w:r w:rsidRPr="007437A3">
        <w:rPr>
          <w:rFonts w:cstheme="minorHAnsi"/>
          <w:b/>
          <w:bCs/>
        </w:rPr>
        <w:t xml:space="preserve"> a vigorar com a seguinte redação:</w:t>
      </w:r>
    </w:p>
    <w:p w14:paraId="254635C0" w14:textId="6BA2B831" w:rsidR="006B093C" w:rsidRPr="007437A3" w:rsidRDefault="006B093C" w:rsidP="00545071">
      <w:pPr>
        <w:spacing w:before="120" w:after="120" w:line="360" w:lineRule="auto"/>
        <w:ind w:left="1418" w:hanging="1418"/>
        <w:jc w:val="both"/>
        <w:rPr>
          <w:rFonts w:cstheme="minorHAnsi"/>
          <w:strike/>
        </w:rPr>
      </w:pPr>
      <w:r w:rsidRPr="007437A3">
        <w:rPr>
          <w:rFonts w:cstheme="minorHAnsi"/>
        </w:rPr>
        <w:t>11</w:t>
      </w:r>
      <w:r w:rsidR="006B3F97">
        <w:rPr>
          <w:rFonts w:cstheme="minorHAnsi"/>
        </w:rPr>
        <w:t>.</w:t>
      </w:r>
      <w:r w:rsidRPr="007437A3">
        <w:rPr>
          <w:rFonts w:cstheme="minorHAnsi"/>
        </w:rPr>
        <w:tab/>
      </w:r>
      <w:r w:rsidR="00D907F2" w:rsidRPr="007437A3">
        <w:rPr>
          <w:rFonts w:cstheme="minorHAnsi"/>
        </w:rPr>
        <w:t xml:space="preserve">Para se qualificarem para reconhecimento, como parte da aplicação do método de aquisição, os ativos identificáveis adquiridos e os passivos assumidos devem atender, na data da aquisição, às definições de ativo e de passivo dispostas no CPC 00 – </w:t>
      </w:r>
      <w:r w:rsidR="00D907F2" w:rsidRPr="007437A3">
        <w:rPr>
          <w:rFonts w:cstheme="minorHAnsi"/>
          <w:u w:val="single"/>
        </w:rPr>
        <w:t>Estrutura Conceitual para Relatório Financeiro</w:t>
      </w:r>
      <w:r w:rsidR="00D907F2" w:rsidRPr="007437A3">
        <w:rPr>
          <w:rFonts w:cstheme="minorHAnsi"/>
        </w:rPr>
        <w:t>. Por exemplo, os custos que o adquirente espera, porém não está obrigado a incorrer no futuro, para efetivar um plano para encerrar uma atividade da adquirida, ou os custos para realocar ou desligar empregados da adquirida não constituem passivo na data da aquisição. Portanto, o adquirente não deve reconhecer tais custos como parte da aplicação do método de aquisição. Em vez disso, o adquirente deve reconhecer tais custos em suas demonstrações contábeis pós-combinação, de acordo com o disposto em outros pronunciamentos, interpretações e orientações do CPC.</w:t>
      </w:r>
    </w:p>
    <w:p w14:paraId="57CDAF16" w14:textId="5C812E47" w:rsidR="00500316" w:rsidRPr="001E3983" w:rsidRDefault="00500316" w:rsidP="00545071">
      <w:pPr>
        <w:spacing w:before="120" w:after="120" w:line="360" w:lineRule="auto"/>
        <w:ind w:left="1418" w:hanging="1418"/>
        <w:jc w:val="both"/>
        <w:rPr>
          <w:rFonts w:cstheme="minorHAnsi"/>
        </w:rPr>
      </w:pPr>
      <w:r w:rsidRPr="007437A3">
        <w:rPr>
          <w:rFonts w:cstheme="minorHAnsi"/>
        </w:rPr>
        <w:lastRenderedPageBreak/>
        <w:t>14</w:t>
      </w:r>
      <w:r w:rsidR="006B3F97">
        <w:rPr>
          <w:rFonts w:cstheme="minorHAnsi"/>
        </w:rPr>
        <w:t>.</w:t>
      </w:r>
      <w:r w:rsidRPr="007437A3">
        <w:rPr>
          <w:rFonts w:cstheme="minorHAnsi"/>
        </w:rPr>
        <w:tab/>
        <w:t xml:space="preserve">Os itens B31 a B40 fornecem orientações para o reconhecimento de ativos intangíveis. Os </w:t>
      </w:r>
      <w:r w:rsidR="002F7CE1">
        <w:rPr>
          <w:rFonts w:cstheme="minorHAnsi"/>
        </w:rPr>
        <w:t xml:space="preserve">itens de </w:t>
      </w:r>
      <w:r w:rsidR="002F7CE1" w:rsidRPr="001E3983">
        <w:rPr>
          <w:rFonts w:cstheme="minorHAnsi"/>
          <w:strike/>
        </w:rPr>
        <w:t>22</w:t>
      </w:r>
      <w:r w:rsidR="002F7CE1" w:rsidRPr="001E3983">
        <w:rPr>
          <w:rFonts w:cstheme="minorHAnsi"/>
          <w:u w:val="single"/>
        </w:rPr>
        <w:t>21A</w:t>
      </w:r>
      <w:r w:rsidRPr="007437A3">
        <w:rPr>
          <w:rFonts w:cstheme="minorHAnsi"/>
        </w:rPr>
        <w:t xml:space="preserve"> a 28B especificam os tipos de ativos identificáveis e os passivos, os quais incluem itens para os quais este pronunciamento prevê limitadas exceções ao princípio e às condições de reconhecimento.</w:t>
      </w:r>
    </w:p>
    <w:p w14:paraId="000C08E5" w14:textId="68BDFC06" w:rsidR="00500316" w:rsidRPr="001E3983" w:rsidRDefault="00500316" w:rsidP="00545071">
      <w:pPr>
        <w:spacing w:before="120" w:after="120" w:line="360" w:lineRule="auto"/>
        <w:jc w:val="both"/>
        <w:rPr>
          <w:rFonts w:cstheme="minorHAnsi"/>
        </w:rPr>
      </w:pPr>
    </w:p>
    <w:p w14:paraId="16596370" w14:textId="62D94B02" w:rsidR="00397D1C" w:rsidRPr="007437A3" w:rsidRDefault="00397D1C" w:rsidP="00545071">
      <w:pPr>
        <w:spacing w:before="120" w:after="120" w:line="360" w:lineRule="auto"/>
        <w:ind w:left="1418" w:hanging="1418"/>
        <w:jc w:val="both"/>
        <w:rPr>
          <w:rFonts w:cstheme="minorHAnsi"/>
        </w:rPr>
      </w:pPr>
      <w:r w:rsidRPr="007437A3">
        <w:rPr>
          <w:rFonts w:cstheme="minorHAnsi"/>
        </w:rPr>
        <w:t>21</w:t>
      </w:r>
      <w:r w:rsidR="006B3F97">
        <w:rPr>
          <w:rFonts w:cstheme="minorHAnsi"/>
        </w:rPr>
        <w:t>.</w:t>
      </w:r>
      <w:r w:rsidRPr="007437A3">
        <w:rPr>
          <w:rFonts w:cstheme="minorHAnsi"/>
        </w:rPr>
        <w:tab/>
        <w:t>Este Pronunciamento prevê limitadas exceções aos princípios de reconhecimento e de mensuração. Os itens</w:t>
      </w:r>
      <w:r w:rsidR="003261D8">
        <w:rPr>
          <w:rFonts w:cstheme="minorHAnsi"/>
        </w:rPr>
        <w:t xml:space="preserve"> de</w:t>
      </w:r>
      <w:r w:rsidRPr="007437A3">
        <w:rPr>
          <w:rFonts w:cstheme="minorHAnsi"/>
        </w:rPr>
        <w:t xml:space="preserve"> </w:t>
      </w:r>
      <w:r w:rsidR="00A1364B" w:rsidRPr="007437A3">
        <w:rPr>
          <w:rFonts w:cstheme="minorHAnsi"/>
          <w:strike/>
        </w:rPr>
        <w:t>22</w:t>
      </w:r>
      <w:r w:rsidR="00A1364B" w:rsidRPr="007437A3">
        <w:rPr>
          <w:rFonts w:cstheme="minorHAnsi"/>
          <w:u w:val="single"/>
        </w:rPr>
        <w:t>21A</w:t>
      </w:r>
      <w:r w:rsidRPr="007437A3">
        <w:rPr>
          <w:rFonts w:cstheme="minorHAnsi"/>
        </w:rPr>
        <w:t xml:space="preserve"> a 31</w:t>
      </w:r>
      <w:r w:rsidR="0013298D" w:rsidRPr="007437A3">
        <w:rPr>
          <w:rFonts w:cstheme="minorHAnsi"/>
        </w:rPr>
        <w:t>A</w:t>
      </w:r>
      <w:r w:rsidRPr="007437A3">
        <w:rPr>
          <w:rFonts w:cstheme="minorHAnsi"/>
        </w:rPr>
        <w:t xml:space="preserve"> determinam os itens específicos para os quais são previstas exceções e também a natureza dessas exceções. O adquirente deve contabilizar esses itens pela aplicação das exigências dispostas nos itens </w:t>
      </w:r>
      <w:r w:rsidR="003261D8">
        <w:rPr>
          <w:rFonts w:cstheme="minorHAnsi"/>
        </w:rPr>
        <w:t xml:space="preserve">de </w:t>
      </w:r>
      <w:r w:rsidR="00A1364B" w:rsidRPr="007437A3">
        <w:rPr>
          <w:rFonts w:cstheme="minorHAnsi"/>
          <w:strike/>
        </w:rPr>
        <w:t>22</w:t>
      </w:r>
      <w:r w:rsidR="00A1364B" w:rsidRPr="007437A3">
        <w:rPr>
          <w:rFonts w:cstheme="minorHAnsi"/>
          <w:u w:val="single"/>
        </w:rPr>
        <w:t>21A</w:t>
      </w:r>
      <w:r w:rsidRPr="007437A3">
        <w:rPr>
          <w:rFonts w:cstheme="minorHAnsi"/>
        </w:rPr>
        <w:t xml:space="preserve"> a 31</w:t>
      </w:r>
      <w:r w:rsidR="0013298D" w:rsidRPr="007437A3">
        <w:rPr>
          <w:rFonts w:cstheme="minorHAnsi"/>
        </w:rPr>
        <w:t>A</w:t>
      </w:r>
      <w:r w:rsidRPr="007437A3">
        <w:rPr>
          <w:rFonts w:cstheme="minorHAnsi"/>
        </w:rPr>
        <w:t xml:space="preserve">, o que vai resultar em alguns itens sendo: </w:t>
      </w:r>
    </w:p>
    <w:p w14:paraId="3CE13F25" w14:textId="6098EB21" w:rsidR="00397D1C" w:rsidRPr="007437A3" w:rsidRDefault="00397D1C" w:rsidP="00545071">
      <w:pPr>
        <w:spacing w:before="120" w:after="120" w:line="360" w:lineRule="auto"/>
        <w:ind w:left="1418"/>
        <w:jc w:val="both"/>
        <w:rPr>
          <w:rFonts w:cstheme="minorHAnsi"/>
        </w:rPr>
      </w:pPr>
      <w:r w:rsidRPr="007437A3">
        <w:rPr>
          <w:rFonts w:cstheme="minorHAnsi"/>
        </w:rPr>
        <w:t>(a)</w:t>
      </w:r>
      <w:r w:rsidR="00E54929" w:rsidRPr="007437A3">
        <w:rPr>
          <w:rFonts w:cstheme="minorHAnsi"/>
        </w:rPr>
        <w:tab/>
      </w:r>
      <w:r w:rsidRPr="007437A3">
        <w:rPr>
          <w:rFonts w:cstheme="minorHAnsi"/>
        </w:rPr>
        <w:t xml:space="preserve">reconhecidos pela aplicação de condições de reconhecimento adicionais àquelas previstas nos itens 11 e 12, ou pela aplicação das exigências de outros Pronunciamentos, Interpretações e Orientações do CPC, com resultados diferentes dos que seriam obtidos mediante aplicação do princípio e das condições de reconhecimento; </w:t>
      </w:r>
    </w:p>
    <w:p w14:paraId="43EF0A3C" w14:textId="23096D36" w:rsidR="006B093C" w:rsidRPr="007437A3" w:rsidRDefault="00397D1C" w:rsidP="00545071">
      <w:pPr>
        <w:spacing w:before="120" w:after="120" w:line="360" w:lineRule="auto"/>
        <w:ind w:left="1418"/>
        <w:jc w:val="both"/>
        <w:rPr>
          <w:rFonts w:cstheme="minorHAnsi"/>
        </w:rPr>
      </w:pPr>
      <w:r w:rsidRPr="007437A3">
        <w:rPr>
          <w:rFonts w:cstheme="minorHAnsi"/>
        </w:rPr>
        <w:t>(b)</w:t>
      </w:r>
      <w:r w:rsidR="00E54929" w:rsidRPr="007437A3">
        <w:rPr>
          <w:rFonts w:cstheme="minorHAnsi"/>
        </w:rPr>
        <w:tab/>
      </w:r>
      <w:r w:rsidRPr="007437A3">
        <w:rPr>
          <w:rFonts w:cstheme="minorHAnsi"/>
        </w:rPr>
        <w:t>mensurados por montante diferente do seu valor justo na data da aquisição.</w:t>
      </w:r>
      <w:r w:rsidR="00514A9E" w:rsidRPr="007437A3">
        <w:rPr>
          <w:rFonts w:cstheme="minorHAnsi"/>
        </w:rPr>
        <w:t xml:space="preserve"> </w:t>
      </w:r>
    </w:p>
    <w:p w14:paraId="0837C47B" w14:textId="451F772C" w:rsidR="006973D9" w:rsidRDefault="00225CDB" w:rsidP="00E64672">
      <w:pPr>
        <w:spacing w:before="120" w:after="120" w:line="360" w:lineRule="auto"/>
        <w:ind w:left="1418" w:hanging="1418"/>
        <w:jc w:val="both"/>
        <w:rPr>
          <w:rFonts w:cstheme="minorHAnsi"/>
          <w:u w:val="single"/>
        </w:rPr>
      </w:pPr>
      <w:r w:rsidRPr="007437A3">
        <w:rPr>
          <w:rFonts w:cstheme="minorHAnsi"/>
          <w:u w:val="single"/>
        </w:rPr>
        <w:t>21A</w:t>
      </w:r>
      <w:r w:rsidR="006B3F97">
        <w:rPr>
          <w:rFonts w:cstheme="minorHAnsi"/>
          <w:u w:val="single"/>
        </w:rPr>
        <w:t>.</w:t>
      </w:r>
      <w:r w:rsidRPr="007437A3">
        <w:rPr>
          <w:rFonts w:cstheme="minorHAnsi"/>
        </w:rPr>
        <w:tab/>
      </w:r>
      <w:r w:rsidR="00E64672" w:rsidRPr="007437A3">
        <w:rPr>
          <w:rFonts w:cstheme="minorHAnsi"/>
          <w:u w:val="single"/>
        </w:rPr>
        <w:t xml:space="preserve">O item 21B aplica-se a passivos e passivos contingentes que estariam dentro do escopo do </w:t>
      </w:r>
      <w:r w:rsidR="003261D8">
        <w:rPr>
          <w:rFonts w:cstheme="minorHAnsi"/>
          <w:u w:val="single"/>
        </w:rPr>
        <w:t xml:space="preserve">Pronunciamento Técnico </w:t>
      </w:r>
      <w:r w:rsidR="00E64672" w:rsidRPr="007437A3">
        <w:rPr>
          <w:rFonts w:cstheme="minorHAnsi"/>
          <w:u w:val="single"/>
        </w:rPr>
        <w:t xml:space="preserve">CPC 25 ou </w:t>
      </w:r>
      <w:r w:rsidR="003261D8">
        <w:rPr>
          <w:rFonts w:cstheme="minorHAnsi"/>
          <w:u w:val="single"/>
        </w:rPr>
        <w:t xml:space="preserve">da Interpretação Técnica </w:t>
      </w:r>
      <w:r w:rsidR="00E64672" w:rsidRPr="007437A3">
        <w:rPr>
          <w:rFonts w:cstheme="minorHAnsi"/>
          <w:u w:val="single"/>
        </w:rPr>
        <w:t>ICPC 19 se fossem incorridos separadamente em vez de assumidos em uma combinação de negócios.</w:t>
      </w:r>
      <w:r w:rsidR="00E64672" w:rsidRPr="007437A3" w:rsidDel="00E64672">
        <w:rPr>
          <w:rFonts w:cstheme="minorHAnsi"/>
          <w:u w:val="single"/>
        </w:rPr>
        <w:t xml:space="preserve"> </w:t>
      </w:r>
    </w:p>
    <w:p w14:paraId="43C9D0D9" w14:textId="202BEF1C" w:rsidR="006973D9" w:rsidRDefault="006973D9" w:rsidP="00545071">
      <w:pPr>
        <w:spacing w:before="120" w:after="120" w:line="360" w:lineRule="auto"/>
        <w:ind w:left="1418" w:hanging="1418"/>
        <w:jc w:val="both"/>
        <w:rPr>
          <w:rFonts w:cstheme="minorHAnsi"/>
          <w:u w:val="single"/>
        </w:rPr>
      </w:pPr>
      <w:r w:rsidRPr="007437A3">
        <w:rPr>
          <w:rFonts w:cstheme="minorHAnsi"/>
          <w:u w:val="single"/>
        </w:rPr>
        <w:t>21B</w:t>
      </w:r>
      <w:r w:rsidR="006B3F97">
        <w:rPr>
          <w:rFonts w:cstheme="minorHAnsi"/>
          <w:u w:val="single"/>
        </w:rPr>
        <w:t>.</w:t>
      </w:r>
      <w:r w:rsidRPr="007437A3">
        <w:rPr>
          <w:rFonts w:cstheme="minorHAnsi"/>
        </w:rPr>
        <w:tab/>
      </w:r>
      <w:r w:rsidR="001C39F1" w:rsidRPr="007437A3">
        <w:rPr>
          <w:rFonts w:cstheme="minorHAnsi"/>
          <w:u w:val="single"/>
        </w:rPr>
        <w:t xml:space="preserve">A Estrutura Conceitual para Relatórios Financeiros define um passivo como "uma obrigação presente da entidade de transferir um recurso econômico como resultado de eventos passados". Para uma provisão ou passivo contingente que estaria dentro do escopo do </w:t>
      </w:r>
      <w:r w:rsidR="003261D8">
        <w:rPr>
          <w:rFonts w:cstheme="minorHAnsi"/>
          <w:u w:val="single"/>
        </w:rPr>
        <w:t xml:space="preserve">Pronunciamento Técnico </w:t>
      </w:r>
      <w:r w:rsidR="001C39F1" w:rsidRPr="007437A3">
        <w:rPr>
          <w:rFonts w:cstheme="minorHAnsi"/>
          <w:u w:val="single"/>
        </w:rPr>
        <w:t xml:space="preserve">CPC 25, a adquirente deve aplicar os itens de 15 a 22 do CPC 25 para determinar se na data de aquisição existe uma obrigação presente como resultado de eventos passados. Para </w:t>
      </w:r>
      <w:r w:rsidR="003261D8">
        <w:rPr>
          <w:rFonts w:cstheme="minorHAnsi"/>
          <w:u w:val="single"/>
        </w:rPr>
        <w:t>um tributo</w:t>
      </w:r>
      <w:r w:rsidR="001C39F1" w:rsidRPr="007437A3">
        <w:rPr>
          <w:rFonts w:cstheme="minorHAnsi"/>
          <w:u w:val="single"/>
        </w:rPr>
        <w:t xml:space="preserve"> que estaria dentro do escopo d</w:t>
      </w:r>
      <w:r w:rsidR="003261D8">
        <w:rPr>
          <w:rFonts w:cstheme="minorHAnsi"/>
          <w:u w:val="single"/>
        </w:rPr>
        <w:t>a</w:t>
      </w:r>
      <w:r w:rsidR="001C39F1" w:rsidRPr="007437A3">
        <w:rPr>
          <w:rFonts w:cstheme="minorHAnsi"/>
          <w:u w:val="single"/>
        </w:rPr>
        <w:t xml:space="preserve"> ICPC 19, o adquirente deve aplicar </w:t>
      </w:r>
      <w:r w:rsidR="003261D8">
        <w:rPr>
          <w:rFonts w:cstheme="minorHAnsi"/>
          <w:u w:val="single"/>
        </w:rPr>
        <w:t>a</w:t>
      </w:r>
      <w:r w:rsidR="001C39F1" w:rsidRPr="007437A3">
        <w:rPr>
          <w:rFonts w:cstheme="minorHAnsi"/>
          <w:u w:val="single"/>
        </w:rPr>
        <w:t xml:space="preserve"> ICPC 19 para determinar se o evento que gera a obrigação de pagar a taxa ocorreu até a data de aquisição.</w:t>
      </w:r>
      <w:r w:rsidR="001C39F1" w:rsidRPr="007437A3" w:rsidDel="00502D77">
        <w:rPr>
          <w:rFonts w:cstheme="minorHAnsi"/>
          <w:u w:val="single"/>
        </w:rPr>
        <w:t xml:space="preserve"> </w:t>
      </w:r>
    </w:p>
    <w:p w14:paraId="1F3DBC67" w14:textId="5080B833" w:rsidR="006973D9" w:rsidRPr="007437A3" w:rsidRDefault="006973D9" w:rsidP="00545071">
      <w:pPr>
        <w:spacing w:before="120" w:after="120" w:line="360" w:lineRule="auto"/>
        <w:ind w:left="1418" w:hanging="1418"/>
        <w:jc w:val="both"/>
        <w:rPr>
          <w:rFonts w:cstheme="minorHAnsi"/>
          <w:u w:val="single"/>
        </w:rPr>
      </w:pPr>
      <w:r w:rsidRPr="007437A3">
        <w:rPr>
          <w:rFonts w:cstheme="minorHAnsi"/>
          <w:u w:val="single"/>
        </w:rPr>
        <w:t>21C</w:t>
      </w:r>
      <w:r w:rsidR="006B3F97">
        <w:rPr>
          <w:rFonts w:cstheme="minorHAnsi"/>
          <w:u w:val="single"/>
        </w:rPr>
        <w:t>.</w:t>
      </w:r>
      <w:r w:rsidRPr="007437A3">
        <w:rPr>
          <w:rFonts w:cstheme="minorHAnsi"/>
        </w:rPr>
        <w:tab/>
      </w:r>
      <w:r w:rsidR="00502D77" w:rsidRPr="007437A3">
        <w:rPr>
          <w:rFonts w:cstheme="minorHAnsi"/>
          <w:u w:val="single"/>
        </w:rPr>
        <w:t>Uma obrigação presente identificada de acordo com o item 21B pode corresponder à definição de um passivo contingente estabelecida no item 22 (b). Nesse caso, o item 23 aplica-se a esse passivo contingente.</w:t>
      </w:r>
      <w:r w:rsidR="00502D77" w:rsidRPr="007437A3" w:rsidDel="00502D77">
        <w:rPr>
          <w:rFonts w:cstheme="minorHAnsi"/>
          <w:u w:val="single"/>
        </w:rPr>
        <w:t xml:space="preserve"> </w:t>
      </w:r>
    </w:p>
    <w:p w14:paraId="6E75A518" w14:textId="75274AC0" w:rsidR="00710FC4" w:rsidRPr="007437A3" w:rsidRDefault="00710FC4" w:rsidP="00545071">
      <w:pPr>
        <w:spacing w:before="120" w:after="120" w:line="360" w:lineRule="auto"/>
        <w:ind w:left="1418" w:hanging="1418"/>
        <w:jc w:val="both"/>
        <w:rPr>
          <w:rFonts w:cstheme="minorHAnsi"/>
        </w:rPr>
      </w:pPr>
      <w:r w:rsidRPr="007437A3">
        <w:rPr>
          <w:rFonts w:cstheme="minorHAnsi"/>
        </w:rPr>
        <w:t>22</w:t>
      </w:r>
      <w:r w:rsidR="006B3F97">
        <w:rPr>
          <w:rFonts w:cstheme="minorHAnsi"/>
        </w:rPr>
        <w:t>.</w:t>
      </w:r>
      <w:r w:rsidRPr="007437A3">
        <w:rPr>
          <w:rFonts w:cstheme="minorHAnsi"/>
        </w:rPr>
        <w:tab/>
        <w:t xml:space="preserve">O Pronunciamento Técnico CPC 25 – </w:t>
      </w:r>
      <w:r w:rsidRPr="007437A3">
        <w:rPr>
          <w:rFonts w:cstheme="minorHAnsi"/>
          <w:strike/>
        </w:rPr>
        <w:t>Provisões, Passivos Contingentes e Ativos Contingentes</w:t>
      </w:r>
      <w:r w:rsidRPr="007437A3">
        <w:rPr>
          <w:rFonts w:cstheme="minorHAnsi"/>
        </w:rPr>
        <w:t xml:space="preserve"> define “passivo contingente” como: </w:t>
      </w:r>
    </w:p>
    <w:p w14:paraId="130BC1B2" w14:textId="01A06B8E" w:rsidR="00710FC4" w:rsidRPr="007437A3" w:rsidRDefault="00710FC4" w:rsidP="00545071">
      <w:pPr>
        <w:spacing w:before="120" w:after="120" w:line="360" w:lineRule="auto"/>
        <w:ind w:left="1418"/>
        <w:jc w:val="both"/>
        <w:rPr>
          <w:rFonts w:cstheme="minorHAnsi"/>
        </w:rPr>
      </w:pPr>
      <w:r w:rsidRPr="007437A3">
        <w:rPr>
          <w:rFonts w:cstheme="minorHAnsi"/>
        </w:rPr>
        <w:lastRenderedPageBreak/>
        <w:t>(a)</w:t>
      </w:r>
      <w:r w:rsidR="006D0B5E" w:rsidRPr="007437A3">
        <w:rPr>
          <w:rFonts w:cstheme="minorHAnsi"/>
        </w:rPr>
        <w:tab/>
      </w:r>
      <w:r w:rsidRPr="007437A3">
        <w:rPr>
          <w:rFonts w:cstheme="minorHAnsi"/>
        </w:rPr>
        <w:t xml:space="preserve">uma possível obrigação que resulta de eventos passados e cuja existência será confirmada apenas pela ocorrência ou não de um ou mais eventos futuros incertos não totalmente </w:t>
      </w:r>
      <w:r w:rsidR="000450F5" w:rsidRPr="007437A3">
        <w:rPr>
          <w:rFonts w:cstheme="minorHAnsi"/>
        </w:rPr>
        <w:t>controlados pela</w:t>
      </w:r>
      <w:r w:rsidRPr="007437A3">
        <w:rPr>
          <w:rFonts w:cstheme="minorHAnsi"/>
        </w:rPr>
        <w:t xml:space="preserve"> entidade; ou </w:t>
      </w:r>
    </w:p>
    <w:p w14:paraId="706ECA39" w14:textId="2256D936" w:rsidR="00710FC4" w:rsidRPr="007437A3" w:rsidRDefault="00710FC4" w:rsidP="00545071">
      <w:pPr>
        <w:spacing w:before="120" w:after="120" w:line="360" w:lineRule="auto"/>
        <w:ind w:left="1418"/>
        <w:jc w:val="both"/>
        <w:rPr>
          <w:rFonts w:cstheme="minorHAnsi"/>
        </w:rPr>
      </w:pPr>
      <w:r w:rsidRPr="007437A3">
        <w:rPr>
          <w:rFonts w:cstheme="minorHAnsi"/>
        </w:rPr>
        <w:t>(b)</w:t>
      </w:r>
      <w:r w:rsidR="006D0B5E" w:rsidRPr="007437A3">
        <w:rPr>
          <w:rFonts w:cstheme="minorHAnsi"/>
        </w:rPr>
        <w:tab/>
      </w:r>
      <w:r w:rsidRPr="007437A3">
        <w:rPr>
          <w:rFonts w:cstheme="minorHAnsi"/>
        </w:rPr>
        <w:t xml:space="preserve">uma obrigação presente que resulta de eventos passados, mas que não é reconhecida porque: </w:t>
      </w:r>
    </w:p>
    <w:p w14:paraId="6AD46CE0" w14:textId="050E3469" w:rsidR="00710FC4" w:rsidRPr="007437A3" w:rsidRDefault="00710FC4" w:rsidP="00545071">
      <w:pPr>
        <w:spacing w:before="120" w:after="120" w:line="360" w:lineRule="auto"/>
        <w:ind w:left="2127" w:firstLine="11"/>
        <w:jc w:val="both"/>
        <w:rPr>
          <w:rFonts w:cstheme="minorHAnsi"/>
        </w:rPr>
      </w:pPr>
      <w:r w:rsidRPr="007437A3">
        <w:rPr>
          <w:rFonts w:cstheme="minorHAnsi"/>
        </w:rPr>
        <w:t>(i)</w:t>
      </w:r>
      <w:r w:rsidR="006D0B5E" w:rsidRPr="007437A3">
        <w:rPr>
          <w:rFonts w:cstheme="minorHAnsi"/>
        </w:rPr>
        <w:tab/>
      </w:r>
      <w:r w:rsidRPr="007437A3">
        <w:rPr>
          <w:rFonts w:cstheme="minorHAnsi"/>
        </w:rPr>
        <w:t xml:space="preserve">não é provável que uma saída de recursos que incorporam benefícios econômicos seja exigida para liquidar a obrigação; ou </w:t>
      </w:r>
    </w:p>
    <w:p w14:paraId="78B95E96" w14:textId="6BEB5E89" w:rsidR="00710FC4" w:rsidRPr="007437A3" w:rsidRDefault="00710FC4" w:rsidP="00545071">
      <w:pPr>
        <w:spacing w:before="120" w:after="120" w:line="360" w:lineRule="auto"/>
        <w:ind w:left="2127"/>
        <w:jc w:val="both"/>
        <w:rPr>
          <w:rFonts w:cstheme="minorHAnsi"/>
        </w:rPr>
      </w:pPr>
      <w:r w:rsidRPr="007437A3">
        <w:rPr>
          <w:rFonts w:cstheme="minorHAnsi"/>
        </w:rPr>
        <w:t>(ii)</w:t>
      </w:r>
      <w:r w:rsidR="006D0B5E" w:rsidRPr="007437A3">
        <w:rPr>
          <w:rFonts w:cstheme="minorHAnsi"/>
        </w:rPr>
        <w:tab/>
      </w:r>
      <w:r w:rsidRPr="007437A3">
        <w:rPr>
          <w:rFonts w:cstheme="minorHAnsi"/>
        </w:rPr>
        <w:t>o montante da obrigação não pode ser mensurado com suficiente confiabilidade.</w:t>
      </w:r>
    </w:p>
    <w:p w14:paraId="0B65DB16" w14:textId="61602B09" w:rsidR="00187554" w:rsidRPr="007437A3" w:rsidRDefault="00187554" w:rsidP="00545071">
      <w:pPr>
        <w:spacing w:before="120" w:after="120" w:line="360" w:lineRule="auto"/>
        <w:ind w:left="1418" w:hanging="1418"/>
        <w:jc w:val="both"/>
        <w:rPr>
          <w:rFonts w:cstheme="minorHAnsi"/>
        </w:rPr>
      </w:pPr>
      <w:r w:rsidRPr="007437A3">
        <w:rPr>
          <w:rFonts w:cstheme="minorHAnsi"/>
        </w:rPr>
        <w:t>23</w:t>
      </w:r>
      <w:r w:rsidR="006B3F97">
        <w:rPr>
          <w:rFonts w:cstheme="minorHAnsi"/>
        </w:rPr>
        <w:t>.</w:t>
      </w:r>
      <w:r w:rsidRPr="007437A3">
        <w:rPr>
          <w:rFonts w:cstheme="minorHAnsi"/>
        </w:rPr>
        <w:tab/>
      </w:r>
      <w:r w:rsidRPr="007437A3">
        <w:rPr>
          <w:rFonts w:cstheme="minorHAnsi"/>
          <w:strike/>
        </w:rPr>
        <w:t>As exigências do Pronunciamento Técnico CPC 25 - Provisões, Passivos Contingentes e Ativos Contingentes não se aplicam na determinação de quais passivos contingentes devem ser reconhecidos na data da aquisição. Em vez disso</w:t>
      </w:r>
      <w:r w:rsidRPr="007437A3">
        <w:rPr>
          <w:rFonts w:cstheme="minorHAnsi"/>
        </w:rPr>
        <w:t xml:space="preserve"> </w:t>
      </w:r>
      <w:r w:rsidR="00BD53C9" w:rsidRPr="007437A3">
        <w:rPr>
          <w:rFonts w:cstheme="minorHAnsi"/>
        </w:rPr>
        <w:t>O</w:t>
      </w:r>
      <w:r w:rsidRPr="007437A3">
        <w:rPr>
          <w:rFonts w:cstheme="minorHAnsi"/>
        </w:rPr>
        <w:t xml:space="preserve"> adquirente deve reconhecer, na data da aquisição, um passivo contingente assumido em combinação de negócios se ele for uma obrigação presente que surge de eventos passados e se o seu valor justo puder ser mensurado com confiabilidade. Portanto, de forma contrária</w:t>
      </w:r>
      <w:r w:rsidRPr="007437A3">
        <w:rPr>
          <w:rFonts w:cstheme="minorHAnsi"/>
          <w:u w:val="single"/>
        </w:rPr>
        <w:t xml:space="preserve"> </w:t>
      </w:r>
      <w:r w:rsidR="00D27A7B" w:rsidRPr="007437A3">
        <w:rPr>
          <w:rFonts w:cstheme="minorHAnsi"/>
          <w:u w:val="single"/>
        </w:rPr>
        <w:t>aos itens 14(b), 23, 27, 29 e 30</w:t>
      </w:r>
      <w:r w:rsidR="00D27A7B" w:rsidRPr="007437A3">
        <w:rPr>
          <w:rFonts w:cstheme="minorHAnsi"/>
        </w:rPr>
        <w:t xml:space="preserve"> </w:t>
      </w:r>
      <w:r w:rsidR="00BD53C9" w:rsidRPr="007437A3">
        <w:rPr>
          <w:rFonts w:cstheme="minorHAnsi"/>
        </w:rPr>
        <w:t>d</w:t>
      </w:r>
      <w:r w:rsidRPr="007437A3">
        <w:rPr>
          <w:rFonts w:cstheme="minorHAnsi"/>
        </w:rPr>
        <w:t>o Pronunciamento Técnico CPC 25, o adquirente deve reconhecer, na data da aquisição, um passivo contingente assumido em combinação de negócios, mesmo se não for provável que sejam requeridas saídas de recursos (incorporando benefícios econômicos) para liquidar a obrigação. O item 56</w:t>
      </w:r>
      <w:r w:rsidRPr="007437A3">
        <w:rPr>
          <w:rFonts w:cstheme="minorHAnsi"/>
          <w:u w:val="single"/>
        </w:rPr>
        <w:t xml:space="preserve"> </w:t>
      </w:r>
      <w:r w:rsidR="00D27A7B" w:rsidRPr="007437A3">
        <w:rPr>
          <w:rFonts w:cstheme="minorHAnsi"/>
          <w:u w:val="single"/>
        </w:rPr>
        <w:t>des</w:t>
      </w:r>
      <w:r w:rsidR="003261D8">
        <w:rPr>
          <w:rFonts w:cstheme="minorHAnsi"/>
          <w:u w:val="single"/>
        </w:rPr>
        <w:t>t</w:t>
      </w:r>
      <w:r w:rsidR="00D27A7B" w:rsidRPr="007437A3">
        <w:rPr>
          <w:rFonts w:cstheme="minorHAnsi"/>
          <w:u w:val="single"/>
        </w:rPr>
        <w:t>e CPC</w:t>
      </w:r>
      <w:r w:rsidR="00D27A7B" w:rsidRPr="007437A3">
        <w:rPr>
          <w:rFonts w:cstheme="minorHAnsi"/>
        </w:rPr>
        <w:t xml:space="preserve"> </w:t>
      </w:r>
      <w:r w:rsidRPr="007437A3">
        <w:rPr>
          <w:rFonts w:cstheme="minorHAnsi"/>
        </w:rPr>
        <w:t>orienta a contabilização subsequente de passivos contingentes.</w:t>
      </w:r>
    </w:p>
    <w:p w14:paraId="6130DBB2" w14:textId="5DFAA5B3" w:rsidR="00F20E9F" w:rsidRPr="007437A3" w:rsidRDefault="00F20E9F" w:rsidP="00B63225">
      <w:pPr>
        <w:spacing w:before="120" w:after="120" w:line="360" w:lineRule="auto"/>
        <w:ind w:left="1418" w:hanging="1418"/>
        <w:jc w:val="both"/>
        <w:rPr>
          <w:rFonts w:cstheme="minorHAnsi"/>
        </w:rPr>
      </w:pPr>
      <w:r w:rsidRPr="007437A3">
        <w:rPr>
          <w:rFonts w:cstheme="minorHAnsi"/>
          <w:u w:val="single"/>
        </w:rPr>
        <w:t>23A</w:t>
      </w:r>
      <w:r w:rsidR="006B3F97">
        <w:rPr>
          <w:rFonts w:cstheme="minorHAnsi"/>
          <w:u w:val="single"/>
        </w:rPr>
        <w:t>.</w:t>
      </w:r>
      <w:r w:rsidRPr="007437A3">
        <w:rPr>
          <w:rFonts w:cstheme="minorHAnsi"/>
        </w:rPr>
        <w:tab/>
      </w:r>
      <w:r w:rsidR="00B63225">
        <w:rPr>
          <w:rFonts w:cstheme="minorHAnsi"/>
          <w:u w:val="single"/>
        </w:rPr>
        <w:t>O Pronunciamento Técnico CPC 25</w:t>
      </w:r>
      <w:r w:rsidR="00502D77" w:rsidRPr="007437A3">
        <w:rPr>
          <w:rFonts w:cstheme="minorHAnsi"/>
          <w:u w:val="single"/>
        </w:rPr>
        <w:t xml:space="preserve"> define um ativo contingente como </w:t>
      </w:r>
      <w:r w:rsidR="00B63225">
        <w:rPr>
          <w:rFonts w:cstheme="minorHAnsi"/>
          <w:u w:val="single"/>
        </w:rPr>
        <w:t xml:space="preserve">“um </w:t>
      </w:r>
      <w:r w:rsidR="00B63225" w:rsidRPr="00B63225">
        <w:rPr>
          <w:rFonts w:cstheme="minorHAnsi"/>
          <w:u w:val="single"/>
        </w:rPr>
        <w:t>ativo possível que resulta de eventos passados e cuja existência</w:t>
      </w:r>
      <w:r w:rsidR="00B63225">
        <w:rPr>
          <w:rFonts w:cstheme="minorHAnsi"/>
          <w:u w:val="single"/>
        </w:rPr>
        <w:t xml:space="preserve"> </w:t>
      </w:r>
      <w:r w:rsidR="00B63225" w:rsidRPr="00B63225">
        <w:rPr>
          <w:rFonts w:cstheme="minorHAnsi"/>
          <w:u w:val="single"/>
        </w:rPr>
        <w:t>será confirmada apenas pela ocorrência ou não de um ou mais eventos futuros incertos não</w:t>
      </w:r>
      <w:r w:rsidR="00B63225">
        <w:rPr>
          <w:rFonts w:cstheme="minorHAnsi"/>
          <w:u w:val="single"/>
        </w:rPr>
        <w:t xml:space="preserve"> </w:t>
      </w:r>
      <w:r w:rsidR="00B63225" w:rsidRPr="00B63225">
        <w:rPr>
          <w:rFonts w:cstheme="minorHAnsi"/>
          <w:u w:val="single"/>
        </w:rPr>
        <w:t>totalmente sob controle da entidade</w:t>
      </w:r>
      <w:r w:rsidR="00B63225">
        <w:rPr>
          <w:rFonts w:cstheme="minorHAnsi"/>
          <w:u w:val="single"/>
        </w:rPr>
        <w:t>”</w:t>
      </w:r>
      <w:r w:rsidR="00502D77" w:rsidRPr="007437A3">
        <w:rPr>
          <w:rFonts w:cstheme="minorHAnsi"/>
          <w:u w:val="single"/>
        </w:rPr>
        <w:t>. A adquirente não deve reconhecer um ativo contingente na data de aquisição.</w:t>
      </w:r>
      <w:r w:rsidR="00502D77" w:rsidRPr="007437A3" w:rsidDel="00502D77">
        <w:rPr>
          <w:rFonts w:cstheme="minorHAnsi"/>
          <w:u w:val="single"/>
        </w:rPr>
        <w:t xml:space="preserve"> </w:t>
      </w:r>
    </w:p>
    <w:p w14:paraId="376A0252" w14:textId="007C47DB" w:rsidR="004224C5" w:rsidRPr="002F526D" w:rsidRDefault="00D02062" w:rsidP="00440236">
      <w:pPr>
        <w:spacing w:before="120" w:after="120" w:line="360" w:lineRule="auto"/>
        <w:ind w:left="1418" w:hanging="1418"/>
        <w:jc w:val="both"/>
        <w:rPr>
          <w:rFonts w:cstheme="minorHAnsi"/>
          <w:u w:val="single"/>
        </w:rPr>
      </w:pPr>
      <w:r w:rsidRPr="007437A3">
        <w:rPr>
          <w:rFonts w:cstheme="minorHAnsi"/>
          <w:u w:val="single"/>
        </w:rPr>
        <w:t>64Q</w:t>
      </w:r>
      <w:r w:rsidR="006B3F97">
        <w:rPr>
          <w:rFonts w:cstheme="minorHAnsi"/>
          <w:u w:val="single"/>
        </w:rPr>
        <w:t>.</w:t>
      </w:r>
      <w:r w:rsidRPr="007437A3">
        <w:rPr>
          <w:rFonts w:cstheme="minorHAnsi"/>
        </w:rPr>
        <w:tab/>
      </w:r>
      <w:r w:rsidR="00B82AE2" w:rsidRPr="007437A3">
        <w:rPr>
          <w:rFonts w:cstheme="minorHAnsi"/>
          <w:u w:val="single"/>
        </w:rPr>
        <w:t xml:space="preserve">A </w:t>
      </w:r>
      <w:r w:rsidR="00964583">
        <w:rPr>
          <w:rFonts w:cstheme="minorHAnsi"/>
          <w:u w:val="single"/>
        </w:rPr>
        <w:t>Revisão CPC 19</w:t>
      </w:r>
      <w:r w:rsidR="00B82AE2" w:rsidRPr="007437A3">
        <w:rPr>
          <w:rFonts w:cstheme="minorHAnsi"/>
          <w:u w:val="single"/>
        </w:rPr>
        <w:t>, aprovada pelo CPC em XX de XXXX de 2021, alterou os itens 11, 14, 21, 22 e 23 e adicionou os itens 21A, 21B, 21C e 23A. A vigência desta Revisão será estabelecida pelos órgãos reguladores que a aprovarem, sendo que para o pleno atendimento às normas internacionais de contabilidade, a entidade deve aplicar esta revisão para períodos anuais com início em ou após 1º de janeiro de 2022.</w:t>
      </w:r>
      <w:r w:rsidR="00B82AE2" w:rsidRPr="007437A3">
        <w:rPr>
          <w:rFonts w:cstheme="minorHAnsi"/>
        </w:rPr>
        <w:t xml:space="preserve"> </w:t>
      </w:r>
    </w:p>
    <w:sectPr w:rsidR="004224C5" w:rsidRPr="002F526D" w:rsidSect="00F0793E">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5FCD" w14:textId="77777777" w:rsidR="00360F76" w:rsidRDefault="00360F76" w:rsidP="00F46716">
      <w:pPr>
        <w:spacing w:after="0" w:line="240" w:lineRule="auto"/>
      </w:pPr>
      <w:r>
        <w:separator/>
      </w:r>
    </w:p>
  </w:endnote>
  <w:endnote w:type="continuationSeparator" w:id="0">
    <w:p w14:paraId="09B9189B" w14:textId="77777777" w:rsidR="00360F76" w:rsidRDefault="00360F76" w:rsidP="00F4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2363" w14:textId="77777777" w:rsidR="00360F76" w:rsidRDefault="00360F76" w:rsidP="00F46716">
      <w:pPr>
        <w:spacing w:after="0" w:line="240" w:lineRule="auto"/>
      </w:pPr>
      <w:r>
        <w:separator/>
      </w:r>
    </w:p>
  </w:footnote>
  <w:footnote w:type="continuationSeparator" w:id="0">
    <w:p w14:paraId="23E71BBD" w14:textId="77777777" w:rsidR="00360F76" w:rsidRDefault="00360F76" w:rsidP="00F46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697"/>
    <w:multiLevelType w:val="hybridMultilevel"/>
    <w:tmpl w:val="2B6AF580"/>
    <w:lvl w:ilvl="0" w:tplc="5BEE4122">
      <w:start w:val="10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F32656"/>
    <w:multiLevelType w:val="hybridMultilevel"/>
    <w:tmpl w:val="3AD8BA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1B57BC"/>
    <w:multiLevelType w:val="hybridMultilevel"/>
    <w:tmpl w:val="1BBC74BC"/>
    <w:lvl w:ilvl="0" w:tplc="AF9EB242">
      <w:start w:val="1"/>
      <w:numFmt w:val="bullet"/>
      <w:lvlText w:val=""/>
      <w:lvlJc w:val="left"/>
      <w:pPr>
        <w:ind w:left="720" w:hanging="360"/>
      </w:pPr>
      <w:rPr>
        <w:rFonts w:ascii="Symbol" w:eastAsiaTheme="minorHAnsi" w:hAnsi="Symbol" w:cstheme="minorBidi"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B583726"/>
    <w:multiLevelType w:val="hybridMultilevel"/>
    <w:tmpl w:val="4F726062"/>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0F9240D"/>
    <w:multiLevelType w:val="hybridMultilevel"/>
    <w:tmpl w:val="1A0C8226"/>
    <w:lvl w:ilvl="0" w:tplc="4EBA93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E72F0A"/>
    <w:multiLevelType w:val="hybridMultilevel"/>
    <w:tmpl w:val="CEC871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6F4FDE"/>
    <w:multiLevelType w:val="hybridMultilevel"/>
    <w:tmpl w:val="CEBEEC16"/>
    <w:lvl w:ilvl="0" w:tplc="D598B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FF79B3"/>
    <w:multiLevelType w:val="hybridMultilevel"/>
    <w:tmpl w:val="ACE45C4C"/>
    <w:lvl w:ilvl="0" w:tplc="2BCC832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48BE6ACD"/>
    <w:multiLevelType w:val="hybridMultilevel"/>
    <w:tmpl w:val="517EB748"/>
    <w:lvl w:ilvl="0" w:tplc="8000FC0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5AE003BE"/>
    <w:multiLevelType w:val="hybridMultilevel"/>
    <w:tmpl w:val="CEC871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D07148B"/>
    <w:multiLevelType w:val="hybridMultilevel"/>
    <w:tmpl w:val="CEC871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F3542A0"/>
    <w:multiLevelType w:val="hybridMultilevel"/>
    <w:tmpl w:val="CEC871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99585D"/>
    <w:multiLevelType w:val="hybridMultilevel"/>
    <w:tmpl w:val="63646D16"/>
    <w:lvl w:ilvl="0" w:tplc="EA660BCE">
      <w:start w:val="105"/>
      <w:numFmt w:val="decimal"/>
      <w:lvlText w:val="%1"/>
      <w:lvlJc w:val="left"/>
      <w:pPr>
        <w:ind w:left="1080" w:hanging="360"/>
      </w:pPr>
      <w:rPr>
        <w:rFonts w:ascii="Arial" w:hAnsi="Arial" w:cs="Aria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673B0E3F"/>
    <w:multiLevelType w:val="hybridMultilevel"/>
    <w:tmpl w:val="4F726062"/>
    <w:lvl w:ilvl="0" w:tplc="0416000F">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6AA87E64"/>
    <w:multiLevelType w:val="hybridMultilevel"/>
    <w:tmpl w:val="EEB2CE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68759E"/>
    <w:multiLevelType w:val="hybridMultilevel"/>
    <w:tmpl w:val="63EE38EA"/>
    <w:lvl w:ilvl="0" w:tplc="770C639A">
      <w:start w:val="6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275C8A"/>
    <w:multiLevelType w:val="hybridMultilevel"/>
    <w:tmpl w:val="CEC871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C4524F"/>
    <w:multiLevelType w:val="hybridMultilevel"/>
    <w:tmpl w:val="CEC871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A8D4746"/>
    <w:multiLevelType w:val="hybridMultilevel"/>
    <w:tmpl w:val="01661FE4"/>
    <w:lvl w:ilvl="0" w:tplc="B724555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6"/>
  </w:num>
  <w:num w:numId="2">
    <w:abstractNumId w:val="3"/>
  </w:num>
  <w:num w:numId="3">
    <w:abstractNumId w:val="13"/>
  </w:num>
  <w:num w:numId="4">
    <w:abstractNumId w:val="4"/>
  </w:num>
  <w:num w:numId="5">
    <w:abstractNumId w:val="7"/>
  </w:num>
  <w:num w:numId="6">
    <w:abstractNumId w:val="8"/>
  </w:num>
  <w:num w:numId="7">
    <w:abstractNumId w:val="18"/>
  </w:num>
  <w:num w:numId="8">
    <w:abstractNumId w:val="2"/>
  </w:num>
  <w:num w:numId="9">
    <w:abstractNumId w:val="1"/>
  </w:num>
  <w:num w:numId="10">
    <w:abstractNumId w:val="14"/>
  </w:num>
  <w:num w:numId="11">
    <w:abstractNumId w:val="17"/>
  </w:num>
  <w:num w:numId="12">
    <w:abstractNumId w:val="0"/>
  </w:num>
  <w:num w:numId="13">
    <w:abstractNumId w:val="15"/>
  </w:num>
  <w:num w:numId="14">
    <w:abstractNumId w:val="12"/>
  </w:num>
  <w:num w:numId="15">
    <w:abstractNumId w:val="9"/>
  </w:num>
  <w:num w:numId="16">
    <w:abstractNumId w:val="10"/>
  </w:num>
  <w:num w:numId="17">
    <w:abstractNumId w:val="16"/>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3D"/>
    <w:rsid w:val="00004ACF"/>
    <w:rsid w:val="00006C4D"/>
    <w:rsid w:val="0001139B"/>
    <w:rsid w:val="000141A6"/>
    <w:rsid w:val="00015301"/>
    <w:rsid w:val="000164C7"/>
    <w:rsid w:val="000164F6"/>
    <w:rsid w:val="00016987"/>
    <w:rsid w:val="00017F16"/>
    <w:rsid w:val="00033277"/>
    <w:rsid w:val="00034B8B"/>
    <w:rsid w:val="00043663"/>
    <w:rsid w:val="000450F5"/>
    <w:rsid w:val="000514F9"/>
    <w:rsid w:val="000543A9"/>
    <w:rsid w:val="00056436"/>
    <w:rsid w:val="00061439"/>
    <w:rsid w:val="00062E1C"/>
    <w:rsid w:val="00064B35"/>
    <w:rsid w:val="00076418"/>
    <w:rsid w:val="000767E4"/>
    <w:rsid w:val="00084288"/>
    <w:rsid w:val="0009589B"/>
    <w:rsid w:val="000964AB"/>
    <w:rsid w:val="000A0FE1"/>
    <w:rsid w:val="000A4B9A"/>
    <w:rsid w:val="000B3446"/>
    <w:rsid w:val="000C1B86"/>
    <w:rsid w:val="000D5137"/>
    <w:rsid w:val="000E0692"/>
    <w:rsid w:val="000E6261"/>
    <w:rsid w:val="000E647C"/>
    <w:rsid w:val="000E79E4"/>
    <w:rsid w:val="000E7C60"/>
    <w:rsid w:val="0010165D"/>
    <w:rsid w:val="00103FDC"/>
    <w:rsid w:val="001074C4"/>
    <w:rsid w:val="00111519"/>
    <w:rsid w:val="00120835"/>
    <w:rsid w:val="0013298D"/>
    <w:rsid w:val="001357A1"/>
    <w:rsid w:val="00147BC0"/>
    <w:rsid w:val="00151C64"/>
    <w:rsid w:val="0016225A"/>
    <w:rsid w:val="00173848"/>
    <w:rsid w:val="0017685D"/>
    <w:rsid w:val="00177F86"/>
    <w:rsid w:val="0018189C"/>
    <w:rsid w:val="00181900"/>
    <w:rsid w:val="001856F4"/>
    <w:rsid w:val="00186E15"/>
    <w:rsid w:val="001874EB"/>
    <w:rsid w:val="00187554"/>
    <w:rsid w:val="00191BD0"/>
    <w:rsid w:val="00192F2D"/>
    <w:rsid w:val="001A436C"/>
    <w:rsid w:val="001B28A3"/>
    <w:rsid w:val="001B4BBE"/>
    <w:rsid w:val="001C07F4"/>
    <w:rsid w:val="001C0ED1"/>
    <w:rsid w:val="001C24F7"/>
    <w:rsid w:val="001C39F1"/>
    <w:rsid w:val="001C5312"/>
    <w:rsid w:val="001D3424"/>
    <w:rsid w:val="001D4059"/>
    <w:rsid w:val="001D5818"/>
    <w:rsid w:val="001D67CB"/>
    <w:rsid w:val="001E3983"/>
    <w:rsid w:val="001E46F1"/>
    <w:rsid w:val="001E68A3"/>
    <w:rsid w:val="001F10C7"/>
    <w:rsid w:val="001F3E07"/>
    <w:rsid w:val="002000AC"/>
    <w:rsid w:val="00202E93"/>
    <w:rsid w:val="00205E19"/>
    <w:rsid w:val="00225CDB"/>
    <w:rsid w:val="002372A6"/>
    <w:rsid w:val="0024112B"/>
    <w:rsid w:val="00243D2D"/>
    <w:rsid w:val="002479FB"/>
    <w:rsid w:val="00247FA2"/>
    <w:rsid w:val="0026280E"/>
    <w:rsid w:val="002667C1"/>
    <w:rsid w:val="00266F30"/>
    <w:rsid w:val="002801EA"/>
    <w:rsid w:val="002804A9"/>
    <w:rsid w:val="002813A5"/>
    <w:rsid w:val="0028199A"/>
    <w:rsid w:val="00295D49"/>
    <w:rsid w:val="002A02C1"/>
    <w:rsid w:val="002A37EB"/>
    <w:rsid w:val="002B0B0D"/>
    <w:rsid w:val="002B2B54"/>
    <w:rsid w:val="002B4CF2"/>
    <w:rsid w:val="002B71C1"/>
    <w:rsid w:val="002D04D2"/>
    <w:rsid w:val="002D19E6"/>
    <w:rsid w:val="002D476A"/>
    <w:rsid w:val="002F12CA"/>
    <w:rsid w:val="002F526D"/>
    <w:rsid w:val="002F7CE1"/>
    <w:rsid w:val="00300772"/>
    <w:rsid w:val="00303C62"/>
    <w:rsid w:val="003103FD"/>
    <w:rsid w:val="00312E71"/>
    <w:rsid w:val="00314DCF"/>
    <w:rsid w:val="0031783D"/>
    <w:rsid w:val="00324028"/>
    <w:rsid w:val="003261D8"/>
    <w:rsid w:val="00330690"/>
    <w:rsid w:val="00332944"/>
    <w:rsid w:val="003339B7"/>
    <w:rsid w:val="00340385"/>
    <w:rsid w:val="00340553"/>
    <w:rsid w:val="00347381"/>
    <w:rsid w:val="003503A9"/>
    <w:rsid w:val="00352C08"/>
    <w:rsid w:val="00353CB0"/>
    <w:rsid w:val="00354DB0"/>
    <w:rsid w:val="003577B8"/>
    <w:rsid w:val="00360F76"/>
    <w:rsid w:val="00362820"/>
    <w:rsid w:val="003637EA"/>
    <w:rsid w:val="00373024"/>
    <w:rsid w:val="0037614D"/>
    <w:rsid w:val="00381351"/>
    <w:rsid w:val="0038347F"/>
    <w:rsid w:val="003848B4"/>
    <w:rsid w:val="00397D1C"/>
    <w:rsid w:val="003B16F0"/>
    <w:rsid w:val="003B2284"/>
    <w:rsid w:val="003B4C91"/>
    <w:rsid w:val="003B4FB3"/>
    <w:rsid w:val="003C2726"/>
    <w:rsid w:val="003C2A74"/>
    <w:rsid w:val="003D7361"/>
    <w:rsid w:val="003E5A57"/>
    <w:rsid w:val="003F4412"/>
    <w:rsid w:val="00400285"/>
    <w:rsid w:val="00401821"/>
    <w:rsid w:val="004025F8"/>
    <w:rsid w:val="00410BA2"/>
    <w:rsid w:val="00421BB5"/>
    <w:rsid w:val="004224C5"/>
    <w:rsid w:val="00422C97"/>
    <w:rsid w:val="004253B0"/>
    <w:rsid w:val="004255F9"/>
    <w:rsid w:val="004305EA"/>
    <w:rsid w:val="00432388"/>
    <w:rsid w:val="004331FA"/>
    <w:rsid w:val="00435300"/>
    <w:rsid w:val="00436CF2"/>
    <w:rsid w:val="00440236"/>
    <w:rsid w:val="00447B3E"/>
    <w:rsid w:val="0045038E"/>
    <w:rsid w:val="004566A6"/>
    <w:rsid w:val="0046519B"/>
    <w:rsid w:val="004706AE"/>
    <w:rsid w:val="0047182E"/>
    <w:rsid w:val="0047505E"/>
    <w:rsid w:val="00480011"/>
    <w:rsid w:val="00490AE5"/>
    <w:rsid w:val="00491E3B"/>
    <w:rsid w:val="00493AE0"/>
    <w:rsid w:val="004A1307"/>
    <w:rsid w:val="004B2A2E"/>
    <w:rsid w:val="004B30C4"/>
    <w:rsid w:val="004B616F"/>
    <w:rsid w:val="004C2494"/>
    <w:rsid w:val="004D04FC"/>
    <w:rsid w:val="004D42BF"/>
    <w:rsid w:val="004D5B93"/>
    <w:rsid w:val="004D630B"/>
    <w:rsid w:val="004E219C"/>
    <w:rsid w:val="004E780C"/>
    <w:rsid w:val="004F08B8"/>
    <w:rsid w:val="004F2B26"/>
    <w:rsid w:val="004F4891"/>
    <w:rsid w:val="00500316"/>
    <w:rsid w:val="00502D77"/>
    <w:rsid w:val="00514A9E"/>
    <w:rsid w:val="00517C63"/>
    <w:rsid w:val="0053066D"/>
    <w:rsid w:val="0053317F"/>
    <w:rsid w:val="005338AA"/>
    <w:rsid w:val="00533C10"/>
    <w:rsid w:val="00534223"/>
    <w:rsid w:val="00535F92"/>
    <w:rsid w:val="00535FA2"/>
    <w:rsid w:val="0054013B"/>
    <w:rsid w:val="00545071"/>
    <w:rsid w:val="00554FF1"/>
    <w:rsid w:val="0056218C"/>
    <w:rsid w:val="0057194F"/>
    <w:rsid w:val="00571EF7"/>
    <w:rsid w:val="005729E8"/>
    <w:rsid w:val="0057542B"/>
    <w:rsid w:val="00584FBF"/>
    <w:rsid w:val="0059118C"/>
    <w:rsid w:val="00593508"/>
    <w:rsid w:val="005979DA"/>
    <w:rsid w:val="005B2B4C"/>
    <w:rsid w:val="005B3ABE"/>
    <w:rsid w:val="005B43DD"/>
    <w:rsid w:val="005B441F"/>
    <w:rsid w:val="005B4998"/>
    <w:rsid w:val="005C1369"/>
    <w:rsid w:val="005C3A8B"/>
    <w:rsid w:val="005D0327"/>
    <w:rsid w:val="005D4F13"/>
    <w:rsid w:val="005F0AF9"/>
    <w:rsid w:val="005F47EC"/>
    <w:rsid w:val="005F7E3D"/>
    <w:rsid w:val="006061D6"/>
    <w:rsid w:val="006067A6"/>
    <w:rsid w:val="00617E71"/>
    <w:rsid w:val="0062004D"/>
    <w:rsid w:val="00622B16"/>
    <w:rsid w:val="00625694"/>
    <w:rsid w:val="00630D43"/>
    <w:rsid w:val="0063747D"/>
    <w:rsid w:val="00655295"/>
    <w:rsid w:val="006741D9"/>
    <w:rsid w:val="0067529F"/>
    <w:rsid w:val="00677118"/>
    <w:rsid w:val="00683848"/>
    <w:rsid w:val="0068508B"/>
    <w:rsid w:val="006963C9"/>
    <w:rsid w:val="006973D9"/>
    <w:rsid w:val="006A0903"/>
    <w:rsid w:val="006A24E3"/>
    <w:rsid w:val="006A4804"/>
    <w:rsid w:val="006B0055"/>
    <w:rsid w:val="006B093C"/>
    <w:rsid w:val="006B135F"/>
    <w:rsid w:val="006B1CCE"/>
    <w:rsid w:val="006B25A2"/>
    <w:rsid w:val="006B3F97"/>
    <w:rsid w:val="006B5771"/>
    <w:rsid w:val="006C03C1"/>
    <w:rsid w:val="006C4C0C"/>
    <w:rsid w:val="006D0B5E"/>
    <w:rsid w:val="006E0628"/>
    <w:rsid w:val="006E30FA"/>
    <w:rsid w:val="006F4C9D"/>
    <w:rsid w:val="007051F0"/>
    <w:rsid w:val="00706B5A"/>
    <w:rsid w:val="00710FC4"/>
    <w:rsid w:val="00727A74"/>
    <w:rsid w:val="0073101E"/>
    <w:rsid w:val="0074124E"/>
    <w:rsid w:val="00741DFF"/>
    <w:rsid w:val="007437A3"/>
    <w:rsid w:val="0075317D"/>
    <w:rsid w:val="007532FC"/>
    <w:rsid w:val="007673DE"/>
    <w:rsid w:val="0077138A"/>
    <w:rsid w:val="00774B9C"/>
    <w:rsid w:val="007757F1"/>
    <w:rsid w:val="007813A5"/>
    <w:rsid w:val="00783ACE"/>
    <w:rsid w:val="0078633D"/>
    <w:rsid w:val="0078700C"/>
    <w:rsid w:val="007904FC"/>
    <w:rsid w:val="00792278"/>
    <w:rsid w:val="007947EA"/>
    <w:rsid w:val="00796AF0"/>
    <w:rsid w:val="007A5916"/>
    <w:rsid w:val="007C7D55"/>
    <w:rsid w:val="007D0E59"/>
    <w:rsid w:val="007D6A87"/>
    <w:rsid w:val="007D711C"/>
    <w:rsid w:val="007E07BC"/>
    <w:rsid w:val="007E160E"/>
    <w:rsid w:val="007E7F5E"/>
    <w:rsid w:val="007F211D"/>
    <w:rsid w:val="007F53FB"/>
    <w:rsid w:val="00801282"/>
    <w:rsid w:val="00815BE4"/>
    <w:rsid w:val="008226D7"/>
    <w:rsid w:val="008268A0"/>
    <w:rsid w:val="00831653"/>
    <w:rsid w:val="00833CCF"/>
    <w:rsid w:val="0085635A"/>
    <w:rsid w:val="00863B0E"/>
    <w:rsid w:val="008654D1"/>
    <w:rsid w:val="0086577E"/>
    <w:rsid w:val="00867933"/>
    <w:rsid w:val="00870B60"/>
    <w:rsid w:val="00871851"/>
    <w:rsid w:val="00874202"/>
    <w:rsid w:val="008744D1"/>
    <w:rsid w:val="008758DA"/>
    <w:rsid w:val="008762DB"/>
    <w:rsid w:val="008A1F16"/>
    <w:rsid w:val="008A66A1"/>
    <w:rsid w:val="008B1B1B"/>
    <w:rsid w:val="008C0AFA"/>
    <w:rsid w:val="008C7151"/>
    <w:rsid w:val="008D162E"/>
    <w:rsid w:val="008D587D"/>
    <w:rsid w:val="008D7312"/>
    <w:rsid w:val="008E16FC"/>
    <w:rsid w:val="008F48D8"/>
    <w:rsid w:val="008F73D5"/>
    <w:rsid w:val="008F75C0"/>
    <w:rsid w:val="00900E67"/>
    <w:rsid w:val="00905CF6"/>
    <w:rsid w:val="009074B4"/>
    <w:rsid w:val="00927A82"/>
    <w:rsid w:val="00930B61"/>
    <w:rsid w:val="009405F3"/>
    <w:rsid w:val="00941064"/>
    <w:rsid w:val="009439D1"/>
    <w:rsid w:val="00946761"/>
    <w:rsid w:val="00955376"/>
    <w:rsid w:val="0095568B"/>
    <w:rsid w:val="00960292"/>
    <w:rsid w:val="00964583"/>
    <w:rsid w:val="00967610"/>
    <w:rsid w:val="00967BF9"/>
    <w:rsid w:val="00972C22"/>
    <w:rsid w:val="00975FA0"/>
    <w:rsid w:val="00981552"/>
    <w:rsid w:val="009821FA"/>
    <w:rsid w:val="009918CB"/>
    <w:rsid w:val="009948C2"/>
    <w:rsid w:val="00996061"/>
    <w:rsid w:val="009A0E71"/>
    <w:rsid w:val="009A3F8A"/>
    <w:rsid w:val="009A6C3F"/>
    <w:rsid w:val="009B2055"/>
    <w:rsid w:val="009C39B8"/>
    <w:rsid w:val="009D7385"/>
    <w:rsid w:val="009E4B43"/>
    <w:rsid w:val="009E6147"/>
    <w:rsid w:val="009F6CEF"/>
    <w:rsid w:val="00A115D9"/>
    <w:rsid w:val="00A13300"/>
    <w:rsid w:val="00A1364B"/>
    <w:rsid w:val="00A173EA"/>
    <w:rsid w:val="00A25003"/>
    <w:rsid w:val="00A322E8"/>
    <w:rsid w:val="00A44FFF"/>
    <w:rsid w:val="00A522AC"/>
    <w:rsid w:val="00A636A4"/>
    <w:rsid w:val="00A64B7C"/>
    <w:rsid w:val="00A654E6"/>
    <w:rsid w:val="00A65A6F"/>
    <w:rsid w:val="00A811F0"/>
    <w:rsid w:val="00A8365B"/>
    <w:rsid w:val="00A84DBD"/>
    <w:rsid w:val="00A86D54"/>
    <w:rsid w:val="00A917A3"/>
    <w:rsid w:val="00A94BA7"/>
    <w:rsid w:val="00AA3D0B"/>
    <w:rsid w:val="00AA4D6F"/>
    <w:rsid w:val="00AA53B2"/>
    <w:rsid w:val="00AC0667"/>
    <w:rsid w:val="00AC1610"/>
    <w:rsid w:val="00AC56AF"/>
    <w:rsid w:val="00AC6680"/>
    <w:rsid w:val="00AD031E"/>
    <w:rsid w:val="00AD0DFD"/>
    <w:rsid w:val="00AD3EBD"/>
    <w:rsid w:val="00AE0227"/>
    <w:rsid w:val="00AE0EF4"/>
    <w:rsid w:val="00AE18A6"/>
    <w:rsid w:val="00AE502E"/>
    <w:rsid w:val="00AE7A41"/>
    <w:rsid w:val="00AF21F6"/>
    <w:rsid w:val="00AF2A47"/>
    <w:rsid w:val="00AF50D9"/>
    <w:rsid w:val="00AF5BB5"/>
    <w:rsid w:val="00B01ADA"/>
    <w:rsid w:val="00B02CA0"/>
    <w:rsid w:val="00B03E55"/>
    <w:rsid w:val="00B05B78"/>
    <w:rsid w:val="00B0681C"/>
    <w:rsid w:val="00B0725C"/>
    <w:rsid w:val="00B17FC8"/>
    <w:rsid w:val="00B20CD5"/>
    <w:rsid w:val="00B21184"/>
    <w:rsid w:val="00B21BCA"/>
    <w:rsid w:val="00B31562"/>
    <w:rsid w:val="00B3491A"/>
    <w:rsid w:val="00B35BD7"/>
    <w:rsid w:val="00B373FA"/>
    <w:rsid w:val="00B426AF"/>
    <w:rsid w:val="00B4637E"/>
    <w:rsid w:val="00B60885"/>
    <w:rsid w:val="00B61983"/>
    <w:rsid w:val="00B63225"/>
    <w:rsid w:val="00B63C4F"/>
    <w:rsid w:val="00B64D14"/>
    <w:rsid w:val="00B65CF1"/>
    <w:rsid w:val="00B6793D"/>
    <w:rsid w:val="00B751E4"/>
    <w:rsid w:val="00B77796"/>
    <w:rsid w:val="00B809E4"/>
    <w:rsid w:val="00B82AE2"/>
    <w:rsid w:val="00B87ECC"/>
    <w:rsid w:val="00B91783"/>
    <w:rsid w:val="00B92FE9"/>
    <w:rsid w:val="00B94CB1"/>
    <w:rsid w:val="00B95784"/>
    <w:rsid w:val="00BA0D38"/>
    <w:rsid w:val="00BA1E69"/>
    <w:rsid w:val="00BB6B64"/>
    <w:rsid w:val="00BB76C1"/>
    <w:rsid w:val="00BC0A9B"/>
    <w:rsid w:val="00BC3167"/>
    <w:rsid w:val="00BD007E"/>
    <w:rsid w:val="00BD2BC7"/>
    <w:rsid w:val="00BD3BC1"/>
    <w:rsid w:val="00BD5235"/>
    <w:rsid w:val="00BD53C9"/>
    <w:rsid w:val="00BE35BA"/>
    <w:rsid w:val="00BE3923"/>
    <w:rsid w:val="00BE4346"/>
    <w:rsid w:val="00C0088D"/>
    <w:rsid w:val="00C163C0"/>
    <w:rsid w:val="00C23EC8"/>
    <w:rsid w:val="00C26E2A"/>
    <w:rsid w:val="00C3296E"/>
    <w:rsid w:val="00C3336F"/>
    <w:rsid w:val="00C34ABC"/>
    <w:rsid w:val="00C35031"/>
    <w:rsid w:val="00C35F3A"/>
    <w:rsid w:val="00C367AC"/>
    <w:rsid w:val="00C429F0"/>
    <w:rsid w:val="00C450FD"/>
    <w:rsid w:val="00C46268"/>
    <w:rsid w:val="00C64A47"/>
    <w:rsid w:val="00C65DF1"/>
    <w:rsid w:val="00C81929"/>
    <w:rsid w:val="00C81A96"/>
    <w:rsid w:val="00C878D2"/>
    <w:rsid w:val="00CA0B31"/>
    <w:rsid w:val="00CA4E8E"/>
    <w:rsid w:val="00CA6259"/>
    <w:rsid w:val="00CA68ED"/>
    <w:rsid w:val="00CB312F"/>
    <w:rsid w:val="00CD01DE"/>
    <w:rsid w:val="00CD1E33"/>
    <w:rsid w:val="00CD2BD1"/>
    <w:rsid w:val="00CD5B16"/>
    <w:rsid w:val="00CE7847"/>
    <w:rsid w:val="00CF45A7"/>
    <w:rsid w:val="00CF6A33"/>
    <w:rsid w:val="00D00C82"/>
    <w:rsid w:val="00D02062"/>
    <w:rsid w:val="00D11965"/>
    <w:rsid w:val="00D27A7B"/>
    <w:rsid w:val="00D30F93"/>
    <w:rsid w:val="00D42BB5"/>
    <w:rsid w:val="00D52999"/>
    <w:rsid w:val="00D707B5"/>
    <w:rsid w:val="00D74CC5"/>
    <w:rsid w:val="00D8172D"/>
    <w:rsid w:val="00D849FF"/>
    <w:rsid w:val="00D85574"/>
    <w:rsid w:val="00D907F2"/>
    <w:rsid w:val="00D90921"/>
    <w:rsid w:val="00DA17D5"/>
    <w:rsid w:val="00DA2F9E"/>
    <w:rsid w:val="00DA5661"/>
    <w:rsid w:val="00DB1FDC"/>
    <w:rsid w:val="00DB2B2B"/>
    <w:rsid w:val="00DB7691"/>
    <w:rsid w:val="00DC065C"/>
    <w:rsid w:val="00DD351B"/>
    <w:rsid w:val="00DE3A40"/>
    <w:rsid w:val="00DF16EB"/>
    <w:rsid w:val="00E000C6"/>
    <w:rsid w:val="00E063E1"/>
    <w:rsid w:val="00E0767D"/>
    <w:rsid w:val="00E07711"/>
    <w:rsid w:val="00E128FE"/>
    <w:rsid w:val="00E13A54"/>
    <w:rsid w:val="00E15093"/>
    <w:rsid w:val="00E25F8E"/>
    <w:rsid w:val="00E32B38"/>
    <w:rsid w:val="00E46B5A"/>
    <w:rsid w:val="00E517A3"/>
    <w:rsid w:val="00E54929"/>
    <w:rsid w:val="00E63EC5"/>
    <w:rsid w:val="00E64672"/>
    <w:rsid w:val="00E71C8F"/>
    <w:rsid w:val="00E7239E"/>
    <w:rsid w:val="00E76756"/>
    <w:rsid w:val="00E852FD"/>
    <w:rsid w:val="00E9086D"/>
    <w:rsid w:val="00EB69D6"/>
    <w:rsid w:val="00EB7E64"/>
    <w:rsid w:val="00EC062F"/>
    <w:rsid w:val="00ED32D9"/>
    <w:rsid w:val="00ED52BE"/>
    <w:rsid w:val="00ED5C16"/>
    <w:rsid w:val="00EF0876"/>
    <w:rsid w:val="00EF555D"/>
    <w:rsid w:val="00F01620"/>
    <w:rsid w:val="00F0238F"/>
    <w:rsid w:val="00F029DC"/>
    <w:rsid w:val="00F06E2E"/>
    <w:rsid w:val="00F0793E"/>
    <w:rsid w:val="00F20E9F"/>
    <w:rsid w:val="00F21293"/>
    <w:rsid w:val="00F34652"/>
    <w:rsid w:val="00F34733"/>
    <w:rsid w:val="00F37547"/>
    <w:rsid w:val="00F40E7C"/>
    <w:rsid w:val="00F43568"/>
    <w:rsid w:val="00F435B4"/>
    <w:rsid w:val="00F46716"/>
    <w:rsid w:val="00F47489"/>
    <w:rsid w:val="00F56054"/>
    <w:rsid w:val="00F56789"/>
    <w:rsid w:val="00F6281F"/>
    <w:rsid w:val="00F66A09"/>
    <w:rsid w:val="00F71392"/>
    <w:rsid w:val="00F77F2F"/>
    <w:rsid w:val="00F825DE"/>
    <w:rsid w:val="00F83286"/>
    <w:rsid w:val="00F869E5"/>
    <w:rsid w:val="00F86C09"/>
    <w:rsid w:val="00F976D8"/>
    <w:rsid w:val="00F97730"/>
    <w:rsid w:val="00FA2A30"/>
    <w:rsid w:val="00FA5810"/>
    <w:rsid w:val="00FB0349"/>
    <w:rsid w:val="00FB6B0E"/>
    <w:rsid w:val="00FB6CD8"/>
    <w:rsid w:val="00FC1045"/>
    <w:rsid w:val="00FD1D05"/>
    <w:rsid w:val="00FD2655"/>
    <w:rsid w:val="00FD365F"/>
    <w:rsid w:val="00FD73B1"/>
    <w:rsid w:val="00FE3569"/>
    <w:rsid w:val="00FE60C2"/>
    <w:rsid w:val="00FF1DB3"/>
    <w:rsid w:val="00FF217C"/>
    <w:rsid w:val="00FF655C"/>
    <w:rsid w:val="00FF77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EF82B"/>
  <w15:docId w15:val="{5362B175-2A27-4B9A-B856-FAAFABD4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A2"/>
    <w:rPr>
      <w:noProo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4671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6716"/>
    <w:rPr>
      <w:sz w:val="20"/>
      <w:szCs w:val="20"/>
    </w:rPr>
  </w:style>
  <w:style w:type="character" w:styleId="Refdenotaderodap">
    <w:name w:val="footnote reference"/>
    <w:basedOn w:val="Fontepargpadro"/>
    <w:uiPriority w:val="99"/>
    <w:semiHidden/>
    <w:unhideWhenUsed/>
    <w:rsid w:val="00F46716"/>
    <w:rPr>
      <w:vertAlign w:val="superscript"/>
    </w:rPr>
  </w:style>
  <w:style w:type="character" w:styleId="Hyperlink">
    <w:name w:val="Hyperlink"/>
    <w:basedOn w:val="Fontepargpadro"/>
    <w:uiPriority w:val="99"/>
    <w:unhideWhenUsed/>
    <w:rsid w:val="00F46716"/>
    <w:rPr>
      <w:color w:val="0000FF" w:themeColor="hyperlink"/>
      <w:u w:val="single"/>
    </w:rPr>
  </w:style>
  <w:style w:type="character" w:styleId="HiperlinkVisitado">
    <w:name w:val="FollowedHyperlink"/>
    <w:basedOn w:val="Fontepargpadro"/>
    <w:uiPriority w:val="99"/>
    <w:semiHidden/>
    <w:unhideWhenUsed/>
    <w:rsid w:val="00F46716"/>
    <w:rPr>
      <w:color w:val="0000FF" w:themeColor="followedHyperlink"/>
      <w:u w:val="single"/>
    </w:rPr>
  </w:style>
  <w:style w:type="paragraph" w:styleId="PargrafodaLista">
    <w:name w:val="List Paragraph"/>
    <w:basedOn w:val="Normal"/>
    <w:uiPriority w:val="1"/>
    <w:qFormat/>
    <w:rsid w:val="005C3A8B"/>
    <w:pPr>
      <w:ind w:left="720"/>
      <w:contextualSpacing/>
    </w:pPr>
  </w:style>
  <w:style w:type="paragraph" w:styleId="Pr-formataoHTML">
    <w:name w:val="HTML Preformatted"/>
    <w:basedOn w:val="Normal"/>
    <w:link w:val="Pr-formataoHTMLChar"/>
    <w:uiPriority w:val="99"/>
    <w:semiHidden/>
    <w:unhideWhenUsed/>
    <w:rsid w:val="009E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9E4B43"/>
    <w:rPr>
      <w:rFonts w:ascii="Courier New" w:eastAsia="Times New Roman" w:hAnsi="Courier New" w:cs="Courier New"/>
      <w:sz w:val="20"/>
      <w:szCs w:val="20"/>
    </w:rPr>
  </w:style>
  <w:style w:type="character" w:styleId="Refdecomentrio">
    <w:name w:val="annotation reference"/>
    <w:basedOn w:val="Fontepargpadro"/>
    <w:uiPriority w:val="99"/>
    <w:semiHidden/>
    <w:unhideWhenUsed/>
    <w:rsid w:val="00CA6259"/>
    <w:rPr>
      <w:sz w:val="16"/>
      <w:szCs w:val="16"/>
    </w:rPr>
  </w:style>
  <w:style w:type="paragraph" w:styleId="Textodecomentrio">
    <w:name w:val="annotation text"/>
    <w:basedOn w:val="Normal"/>
    <w:link w:val="TextodecomentrioChar"/>
    <w:uiPriority w:val="99"/>
    <w:semiHidden/>
    <w:unhideWhenUsed/>
    <w:rsid w:val="00CA62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A6259"/>
    <w:rPr>
      <w:sz w:val="20"/>
      <w:szCs w:val="20"/>
    </w:rPr>
  </w:style>
  <w:style w:type="paragraph" w:styleId="Assuntodocomentrio">
    <w:name w:val="annotation subject"/>
    <w:basedOn w:val="Textodecomentrio"/>
    <w:next w:val="Textodecomentrio"/>
    <w:link w:val="AssuntodocomentrioChar"/>
    <w:uiPriority w:val="99"/>
    <w:semiHidden/>
    <w:unhideWhenUsed/>
    <w:rsid w:val="00CA6259"/>
    <w:rPr>
      <w:b/>
      <w:bCs/>
    </w:rPr>
  </w:style>
  <w:style w:type="character" w:customStyle="1" w:styleId="AssuntodocomentrioChar">
    <w:name w:val="Assunto do comentário Char"/>
    <w:basedOn w:val="TextodecomentrioChar"/>
    <w:link w:val="Assuntodocomentrio"/>
    <w:uiPriority w:val="99"/>
    <w:semiHidden/>
    <w:rsid w:val="00CA6259"/>
    <w:rPr>
      <w:b/>
      <w:bCs/>
      <w:sz w:val="20"/>
      <w:szCs w:val="20"/>
    </w:rPr>
  </w:style>
  <w:style w:type="paragraph" w:styleId="Textodebalo">
    <w:name w:val="Balloon Text"/>
    <w:basedOn w:val="Normal"/>
    <w:link w:val="TextodebaloChar"/>
    <w:uiPriority w:val="99"/>
    <w:semiHidden/>
    <w:unhideWhenUsed/>
    <w:rsid w:val="00CA62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6259"/>
    <w:rPr>
      <w:rFonts w:ascii="Tahoma" w:hAnsi="Tahoma" w:cs="Tahoma"/>
      <w:sz w:val="16"/>
      <w:szCs w:val="16"/>
    </w:rPr>
  </w:style>
  <w:style w:type="paragraph" w:styleId="Reviso">
    <w:name w:val="Revision"/>
    <w:hidden/>
    <w:uiPriority w:val="99"/>
    <w:semiHidden/>
    <w:rsid w:val="007947EA"/>
    <w:pPr>
      <w:spacing w:after="0" w:line="240" w:lineRule="auto"/>
    </w:pPr>
  </w:style>
  <w:style w:type="table" w:styleId="Tabelacomgrade">
    <w:name w:val="Table Grid"/>
    <w:basedOn w:val="Tabelanormal"/>
    <w:uiPriority w:val="39"/>
    <w:unhideWhenUsed/>
    <w:rsid w:val="003C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Normalnpara">
    <w:name w:val="IASB Normal npara"/>
    <w:basedOn w:val="Normal"/>
    <w:rsid w:val="00EF0876"/>
    <w:pPr>
      <w:spacing w:before="100" w:after="0" w:line="240" w:lineRule="auto"/>
      <w:ind w:left="782" w:hanging="782"/>
      <w:jc w:val="both"/>
    </w:pPr>
    <w:rPr>
      <w:rFonts w:ascii="Times New Roman" w:eastAsia="Times New Roman" w:hAnsi="Times New Roman" w:cs="Times New Roman"/>
      <w:sz w:val="19"/>
      <w:szCs w:val="20"/>
      <w:lang w:eastAsia="pt-BR"/>
    </w:rPr>
  </w:style>
  <w:style w:type="character" w:customStyle="1" w:styleId="TextoemblocoChar">
    <w:name w:val="Texto em bloco Char"/>
    <w:link w:val="Textoembloco"/>
    <w:uiPriority w:val="99"/>
    <w:semiHidden/>
    <w:locked/>
    <w:rsid w:val="001E68A3"/>
    <w:rPr>
      <w:rFonts w:ascii="Arial" w:hAnsi="Arial" w:cs="Arial"/>
      <w:szCs w:val="24"/>
      <w:lang w:val="pt-PT" w:eastAsia="x-none"/>
    </w:rPr>
  </w:style>
  <w:style w:type="paragraph" w:styleId="Textoembloco">
    <w:name w:val="Block Text"/>
    <w:basedOn w:val="Normal"/>
    <w:link w:val="TextoemblocoChar"/>
    <w:uiPriority w:val="99"/>
    <w:semiHidden/>
    <w:unhideWhenUsed/>
    <w:rsid w:val="001E68A3"/>
    <w:pPr>
      <w:widowControl w:val="0"/>
      <w:tabs>
        <w:tab w:val="left" w:pos="6804"/>
      </w:tabs>
      <w:spacing w:before="2" w:after="2" w:line="249" w:lineRule="auto"/>
      <w:ind w:left="336" w:right="57" w:hanging="279"/>
    </w:pPr>
    <w:rPr>
      <w:rFonts w:ascii="Arial" w:hAnsi="Arial" w:cs="Arial"/>
      <w:noProof w:val="0"/>
      <w:szCs w:val="24"/>
      <w:lang w:val="pt-PT" w:eastAsia="x-none"/>
    </w:rPr>
  </w:style>
  <w:style w:type="character" w:styleId="Forte">
    <w:name w:val="Strong"/>
    <w:basedOn w:val="Fontepargpadro"/>
    <w:uiPriority w:val="22"/>
    <w:qFormat/>
    <w:rsid w:val="002F526D"/>
    <w:rPr>
      <w:b/>
      <w:bCs/>
    </w:rPr>
  </w:style>
  <w:style w:type="character" w:customStyle="1" w:styleId="y2iqfc">
    <w:name w:val="y2iqfc"/>
    <w:basedOn w:val="Fontepargpadro"/>
    <w:rsid w:val="00B7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4376">
      <w:bodyDiv w:val="1"/>
      <w:marLeft w:val="0"/>
      <w:marRight w:val="0"/>
      <w:marTop w:val="0"/>
      <w:marBottom w:val="0"/>
      <w:divBdr>
        <w:top w:val="none" w:sz="0" w:space="0" w:color="auto"/>
        <w:left w:val="none" w:sz="0" w:space="0" w:color="auto"/>
        <w:bottom w:val="none" w:sz="0" w:space="0" w:color="auto"/>
        <w:right w:val="none" w:sz="0" w:space="0" w:color="auto"/>
      </w:divBdr>
    </w:div>
    <w:div w:id="214200830">
      <w:bodyDiv w:val="1"/>
      <w:marLeft w:val="0"/>
      <w:marRight w:val="0"/>
      <w:marTop w:val="0"/>
      <w:marBottom w:val="0"/>
      <w:divBdr>
        <w:top w:val="none" w:sz="0" w:space="0" w:color="auto"/>
        <w:left w:val="none" w:sz="0" w:space="0" w:color="auto"/>
        <w:bottom w:val="none" w:sz="0" w:space="0" w:color="auto"/>
        <w:right w:val="none" w:sz="0" w:space="0" w:color="auto"/>
      </w:divBdr>
    </w:div>
    <w:div w:id="268049686">
      <w:bodyDiv w:val="1"/>
      <w:marLeft w:val="0"/>
      <w:marRight w:val="0"/>
      <w:marTop w:val="0"/>
      <w:marBottom w:val="0"/>
      <w:divBdr>
        <w:top w:val="none" w:sz="0" w:space="0" w:color="auto"/>
        <w:left w:val="none" w:sz="0" w:space="0" w:color="auto"/>
        <w:bottom w:val="none" w:sz="0" w:space="0" w:color="auto"/>
        <w:right w:val="none" w:sz="0" w:space="0" w:color="auto"/>
      </w:divBdr>
    </w:div>
    <w:div w:id="339894134">
      <w:bodyDiv w:val="1"/>
      <w:marLeft w:val="0"/>
      <w:marRight w:val="0"/>
      <w:marTop w:val="0"/>
      <w:marBottom w:val="0"/>
      <w:divBdr>
        <w:top w:val="none" w:sz="0" w:space="0" w:color="auto"/>
        <w:left w:val="none" w:sz="0" w:space="0" w:color="auto"/>
        <w:bottom w:val="none" w:sz="0" w:space="0" w:color="auto"/>
        <w:right w:val="none" w:sz="0" w:space="0" w:color="auto"/>
      </w:divBdr>
    </w:div>
    <w:div w:id="754597385">
      <w:bodyDiv w:val="1"/>
      <w:marLeft w:val="0"/>
      <w:marRight w:val="0"/>
      <w:marTop w:val="0"/>
      <w:marBottom w:val="0"/>
      <w:divBdr>
        <w:top w:val="none" w:sz="0" w:space="0" w:color="auto"/>
        <w:left w:val="none" w:sz="0" w:space="0" w:color="auto"/>
        <w:bottom w:val="none" w:sz="0" w:space="0" w:color="auto"/>
        <w:right w:val="none" w:sz="0" w:space="0" w:color="auto"/>
      </w:divBdr>
    </w:div>
    <w:div w:id="786965373">
      <w:bodyDiv w:val="1"/>
      <w:marLeft w:val="0"/>
      <w:marRight w:val="0"/>
      <w:marTop w:val="0"/>
      <w:marBottom w:val="0"/>
      <w:divBdr>
        <w:top w:val="none" w:sz="0" w:space="0" w:color="auto"/>
        <w:left w:val="none" w:sz="0" w:space="0" w:color="auto"/>
        <w:bottom w:val="none" w:sz="0" w:space="0" w:color="auto"/>
        <w:right w:val="none" w:sz="0" w:space="0" w:color="auto"/>
      </w:divBdr>
    </w:div>
    <w:div w:id="806243927">
      <w:bodyDiv w:val="1"/>
      <w:marLeft w:val="0"/>
      <w:marRight w:val="0"/>
      <w:marTop w:val="0"/>
      <w:marBottom w:val="0"/>
      <w:divBdr>
        <w:top w:val="none" w:sz="0" w:space="0" w:color="auto"/>
        <w:left w:val="none" w:sz="0" w:space="0" w:color="auto"/>
        <w:bottom w:val="none" w:sz="0" w:space="0" w:color="auto"/>
        <w:right w:val="none" w:sz="0" w:space="0" w:color="auto"/>
      </w:divBdr>
    </w:div>
    <w:div w:id="866528360">
      <w:bodyDiv w:val="1"/>
      <w:marLeft w:val="0"/>
      <w:marRight w:val="0"/>
      <w:marTop w:val="0"/>
      <w:marBottom w:val="0"/>
      <w:divBdr>
        <w:top w:val="none" w:sz="0" w:space="0" w:color="auto"/>
        <w:left w:val="none" w:sz="0" w:space="0" w:color="auto"/>
        <w:bottom w:val="none" w:sz="0" w:space="0" w:color="auto"/>
        <w:right w:val="none" w:sz="0" w:space="0" w:color="auto"/>
      </w:divBdr>
    </w:div>
    <w:div w:id="957837661">
      <w:bodyDiv w:val="1"/>
      <w:marLeft w:val="0"/>
      <w:marRight w:val="0"/>
      <w:marTop w:val="0"/>
      <w:marBottom w:val="0"/>
      <w:divBdr>
        <w:top w:val="none" w:sz="0" w:space="0" w:color="auto"/>
        <w:left w:val="none" w:sz="0" w:space="0" w:color="auto"/>
        <w:bottom w:val="none" w:sz="0" w:space="0" w:color="auto"/>
        <w:right w:val="none" w:sz="0" w:space="0" w:color="auto"/>
      </w:divBdr>
    </w:div>
    <w:div w:id="999311299">
      <w:bodyDiv w:val="1"/>
      <w:marLeft w:val="0"/>
      <w:marRight w:val="0"/>
      <w:marTop w:val="0"/>
      <w:marBottom w:val="0"/>
      <w:divBdr>
        <w:top w:val="none" w:sz="0" w:space="0" w:color="auto"/>
        <w:left w:val="none" w:sz="0" w:space="0" w:color="auto"/>
        <w:bottom w:val="none" w:sz="0" w:space="0" w:color="auto"/>
        <w:right w:val="none" w:sz="0" w:space="0" w:color="auto"/>
      </w:divBdr>
    </w:div>
    <w:div w:id="1194657392">
      <w:bodyDiv w:val="1"/>
      <w:marLeft w:val="0"/>
      <w:marRight w:val="0"/>
      <w:marTop w:val="0"/>
      <w:marBottom w:val="0"/>
      <w:divBdr>
        <w:top w:val="none" w:sz="0" w:space="0" w:color="auto"/>
        <w:left w:val="none" w:sz="0" w:space="0" w:color="auto"/>
        <w:bottom w:val="none" w:sz="0" w:space="0" w:color="auto"/>
        <w:right w:val="none" w:sz="0" w:space="0" w:color="auto"/>
      </w:divBdr>
    </w:div>
    <w:div w:id="1333143244">
      <w:bodyDiv w:val="1"/>
      <w:marLeft w:val="0"/>
      <w:marRight w:val="0"/>
      <w:marTop w:val="0"/>
      <w:marBottom w:val="0"/>
      <w:divBdr>
        <w:top w:val="none" w:sz="0" w:space="0" w:color="auto"/>
        <w:left w:val="none" w:sz="0" w:space="0" w:color="auto"/>
        <w:bottom w:val="none" w:sz="0" w:space="0" w:color="auto"/>
        <w:right w:val="none" w:sz="0" w:space="0" w:color="auto"/>
      </w:divBdr>
    </w:div>
    <w:div w:id="1506632662">
      <w:bodyDiv w:val="1"/>
      <w:marLeft w:val="0"/>
      <w:marRight w:val="0"/>
      <w:marTop w:val="0"/>
      <w:marBottom w:val="0"/>
      <w:divBdr>
        <w:top w:val="none" w:sz="0" w:space="0" w:color="auto"/>
        <w:left w:val="none" w:sz="0" w:space="0" w:color="auto"/>
        <w:bottom w:val="none" w:sz="0" w:space="0" w:color="auto"/>
        <w:right w:val="none" w:sz="0" w:space="0" w:color="auto"/>
      </w:divBdr>
    </w:div>
    <w:div w:id="1632512188">
      <w:bodyDiv w:val="1"/>
      <w:marLeft w:val="0"/>
      <w:marRight w:val="0"/>
      <w:marTop w:val="0"/>
      <w:marBottom w:val="0"/>
      <w:divBdr>
        <w:top w:val="none" w:sz="0" w:space="0" w:color="auto"/>
        <w:left w:val="none" w:sz="0" w:space="0" w:color="auto"/>
        <w:bottom w:val="none" w:sz="0" w:space="0" w:color="auto"/>
        <w:right w:val="none" w:sz="0" w:space="0" w:color="auto"/>
      </w:divBdr>
    </w:div>
    <w:div w:id="1744906533">
      <w:bodyDiv w:val="1"/>
      <w:marLeft w:val="0"/>
      <w:marRight w:val="0"/>
      <w:marTop w:val="0"/>
      <w:marBottom w:val="0"/>
      <w:divBdr>
        <w:top w:val="none" w:sz="0" w:space="0" w:color="auto"/>
        <w:left w:val="none" w:sz="0" w:space="0" w:color="auto"/>
        <w:bottom w:val="none" w:sz="0" w:space="0" w:color="auto"/>
        <w:right w:val="none" w:sz="0" w:space="0" w:color="auto"/>
      </w:divBdr>
    </w:div>
    <w:div w:id="1901475835">
      <w:bodyDiv w:val="1"/>
      <w:marLeft w:val="0"/>
      <w:marRight w:val="0"/>
      <w:marTop w:val="0"/>
      <w:marBottom w:val="0"/>
      <w:divBdr>
        <w:top w:val="none" w:sz="0" w:space="0" w:color="auto"/>
        <w:left w:val="none" w:sz="0" w:space="0" w:color="auto"/>
        <w:bottom w:val="none" w:sz="0" w:space="0" w:color="auto"/>
        <w:right w:val="none" w:sz="0" w:space="0" w:color="auto"/>
      </w:divBdr>
    </w:div>
    <w:div w:id="1923831764">
      <w:bodyDiv w:val="1"/>
      <w:marLeft w:val="0"/>
      <w:marRight w:val="0"/>
      <w:marTop w:val="0"/>
      <w:marBottom w:val="0"/>
      <w:divBdr>
        <w:top w:val="none" w:sz="0" w:space="0" w:color="auto"/>
        <w:left w:val="none" w:sz="0" w:space="0" w:color="auto"/>
        <w:bottom w:val="none" w:sz="0" w:space="0" w:color="auto"/>
        <w:right w:val="none" w:sz="0" w:space="0" w:color="auto"/>
      </w:divBdr>
    </w:div>
    <w:div w:id="1996957450">
      <w:bodyDiv w:val="1"/>
      <w:marLeft w:val="0"/>
      <w:marRight w:val="0"/>
      <w:marTop w:val="0"/>
      <w:marBottom w:val="0"/>
      <w:divBdr>
        <w:top w:val="none" w:sz="0" w:space="0" w:color="auto"/>
        <w:left w:val="none" w:sz="0" w:space="0" w:color="auto"/>
        <w:bottom w:val="none" w:sz="0" w:space="0" w:color="auto"/>
        <w:right w:val="none" w:sz="0" w:space="0" w:color="auto"/>
      </w:divBdr>
    </w:div>
    <w:div w:id="20043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8730-31C7-4AC8-B5E5-B4E5EE62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2553</Words>
  <Characters>13791</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RevisãoCPC17</vt:lpstr>
      <vt:lpstr>RevisãoCPC17</vt:lpstr>
    </vt:vector>
  </TitlesOfParts>
  <Company>PricewaterhouseCoopers</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RevisãoCPC17</dc:title>
  <dc:creator>CPC</dc:creator>
  <cp:lastModifiedBy>Gerson Sampaio</cp:lastModifiedBy>
  <cp:revision>2</cp:revision>
  <cp:lastPrinted>2019-11-14T13:48:00Z</cp:lastPrinted>
  <dcterms:created xsi:type="dcterms:W3CDTF">2021-08-26T17:03:00Z</dcterms:created>
  <dcterms:modified xsi:type="dcterms:W3CDTF">2021-08-26T17:03:00Z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y fmtid="{D5CDD505-2E9C-101B-9397-08002B2CF9AE}" pid="3" name="_DocHome">
    <vt:i4>-694701966</vt:i4>
  </property>
</Properties>
</file>